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OATH : Pense no OATH como uma maneira de entrar em um lugar sem precisar usar uma senha. Ele utiliza tokens temporários, como se fossem chaves que você recebe por um curto período. Assim, você pode acessar diferentes serviços de forma segura e prática, sem precisar lembrar de várias senhas.</w:t>
      </w:r>
    </w:p>
    <w:p w:rsidR="00000000" w:rsidDel="00000000" w:rsidP="00000000" w:rsidRDefault="00000000" w:rsidRPr="00000000" w14:paraId="00000002">
      <w:pPr>
        <w:rPr/>
      </w:pPr>
      <w:r w:rsidDel="00000000" w:rsidR="00000000" w:rsidRPr="00000000">
        <w:rPr>
          <w:sz w:val="21"/>
          <w:szCs w:val="21"/>
          <w:highlight w:val="white"/>
          <w:rtl w:val="0"/>
        </w:rPr>
        <w:t xml:space="preserve">JWT : Agora, imagine o JWT como um cartão de identificação digital. Ele é uma forma compacta e segura de transmitir informações entre você e um serviço. Quando você faz login, o servidor cria um token assinado que contém seus dados. Esse token funciona como um «vale» que você pode apresentar em futuras interações, permitindo que o servidor confirme quem você é sem precisar ficar perguntando a todo momento.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