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xml="http://www.w3.org/XML/1998/namespace">
  <w:body>
    <w:p>
      <w:pPr>
        <w:pStyle w:val="Title"/>
        <w:spacing w:before="0" w:after="40" w:line="264" w:lineRule="auto"/>
      </w:pPr>
      <w:r>
        <w:rPr/>
        <w:t xml:space="preserve">Guion de reunión</w:t>
      </w:r>
    </w:p>
    <w:p>
      <w:pPr>
        <w:pStyle w:val="Subtitle"/>
        <w:spacing w:before="0" w:after="40" w:line="264" w:lineRule="auto"/>
      </w:pPr>
      <w:r>
        <w:rPr/>
        <w:t xml:space="preserve">Cátedra UNESCO de Educación Ambiental y Desarrollo Sostenible — UNED</w:t>
      </w:r>
    </w:p>
    <w:p>
      <w:pPr>
        <w:pBdr>
          <w:bottom w:val="single" w:sz="4" w:space="1" w:color="BFC9C2"/>
        </w:pBdr>
        <w:spacing w:before="0" w:after="240" w:line="264" w:lineRule="auto"/>
      </w:pPr>
      <w:r>
        <w:rPr>
          <w:i/>
          <w:color w:val="5F6F66"/>
          <w:sz w:val="20"/>
          <w:szCs w:val="20"/>
        </w:rPr>
        <w:t xml:space="preserve">Janire Sánchez · agosto de 2026</w:t>
      </w:r>
    </w:p>
    <w:p>
      <w:pPr>
        <w:pStyle w:val="Heading1"/>
        <w:spacing w:before="240" w:after="120" w:line="264" w:lineRule="auto"/>
      </w:pPr>
      <w:r>
        <w:rPr/>
        <w:t xml:space="preserve">1. Quién soy</w:t>
      </w:r>
    </w:p>
    <w:p>
      <w:pPr>
        <w:spacing w:before="0" w:after="120" w:line="264" w:lineRule="auto"/>
      </w:pPr>
      <w:r>
        <w:rPr/>
        <w:t xml:space="preserve">Ambientóloga (UAM, 2016-2021) y máster en Gestión del Turismo Sostenible (UPM, 2021-2023). Responsable de Educación y Sensibilización en Fundación Renovables.</w:t>
      </w:r>
    </w:p>
    <w:p>
      <w:pPr>
        <w:spacing w:before="0" w:after="120" w:line="264" w:lineRule="auto"/>
      </w:pPr>
      <w:r>
        <w:rPr/>
        <w:t xml:space="preserve">Diseño e imparto talleres en centros educativos. En el curso 2025/2026, el primero del programa, hemos realizado </w:t>
      </w:r>
      <w:r>
        <w:rPr>
          <w:b/>
        </w:rPr>
        <w:t xml:space="preserve">diecisiete</w:t>
      </w:r>
      <w:r>
        <w:rPr/>
        <w:t xml:space="preserve">. Los de Secundaria, FP y Bachillerato abordan la crisis climática desde la perspectiva de la </w:t>
      </w:r>
      <w:r>
        <w:rPr>
          <w:b/>
        </w:rPr>
        <w:t xml:space="preserve">transición justa</w:t>
      </w:r>
      <w:r>
        <w:rPr/>
        <w:t xml:space="preserve"> —incluyendo pobreza energética y afectación desigual— e incorporan una dinámica propia de </w:t>
      </w:r>
      <w:r>
        <w:rPr>
          <w:b/>
        </w:rPr>
        <w:t xml:space="preserve">verificación de información climática</w:t>
      </w:r>
      <w:r>
        <w:rPr/>
        <w:t xml:space="preserve">.</w:t>
      </w:r>
    </w:p>
    <w:p>
      <w:pPr>
        <w:spacing w:before="0" w:after="120" w:line="264" w:lineRule="auto"/>
      </w:pPr>
      <w:r>
        <w:rPr/>
        <w:t xml:space="preserve">Publiqué como primera autora en Diversity (Q2, Biodiversity Conservation) un estudio sobre el impacto del ecoturismo en el comportamiento de Cebus imitator. Aquel trabajo concluía recomendando programas de educación ambiental con participación comunitaria: esta propuesta continúa esa línea desde el lado educativo.</w:t>
      </w:r>
    </w:p>
    <w:p>
      <w:pPr>
        <w:spacing w:before="0" w:after="120" w:line="264" w:lineRule="auto"/>
      </w:pPr>
      <w:r>
        <w:rPr/>
        <w:t xml:space="preserve">Llego por sugerencia de Rubén Díaz Sierra.</w:t>
      </w:r>
    </w:p>
    <w:p>
      <w:pPr>
        <w:pStyle w:val="Heading1"/>
        <w:spacing w:before="240" w:after="120" w:line="264" w:lineRule="auto"/>
      </w:pPr>
      <w:r>
        <w:rPr/>
        <w:t xml:space="preserve">2. La idea, en una frase</w:t>
      </w:r>
    </w:p>
    <w:p>
      <w:pPr>
        <w:pStyle w:val="Quote"/>
        <w:spacing w:before="0" w:after="120" w:line="264" w:lineRule="auto"/>
      </w:pPr>
      <w:r>
        <w:rPr/>
        <w:t xml:space="preserve">¿Forma el currículo verde una conciencia verde?</w:t>
      </w:r>
    </w:p>
    <w:p>
      <w:pPr>
        <w:spacing w:before="0" w:after="120" w:line="264" w:lineRule="auto"/>
      </w:pPr>
      <w:r>
        <w:rPr/>
        <w:t xml:space="preserve">Qué nivel de alfabetización ecosocial —incluida la capacidad de detectar desinformación climática— presenta el alumnado de Secundaria, FP y Bachillerato, y en qué medida se explica por el tipo de currículo cursado y por el contexto territorial del centro.</w:t>
      </w:r>
    </w:p>
    <w:p>
      <w:pPr>
        <w:spacing w:before="0" w:after="120" w:line="264" w:lineRule="auto"/>
      </w:pPr>
      <w:r>
        <w:rPr/>
        <w:t xml:space="preserve">Diseño factorial 2×2: currículo (con o sin contenido ambiental) × territorio (rural o urbano). Cuestionario CAFTÁN adaptado, con un bloque nuevo sobre desinformación, más grupos de discusión.</w:t>
      </w:r>
    </w:p>
    <w:p>
      <w:pPr>
        <w:pStyle w:val="Heading1"/>
        <w:spacing w:before="240" w:after="120" w:line="264" w:lineRule="auto"/>
      </w:pPr>
      <w:r>
        <w:rPr/>
        <w:t xml:space="preserve">3. Los tres huecos que ocupo</w:t>
      </w:r>
    </w:p>
    <w:p>
      <w:pPr>
        <w:numPr>
          <w:ilvl w:val="0"/>
          <w:numId w:val="1"/>
        </w:numPr>
        <w:spacing w:before="0" w:after="120" w:line="264" w:lineRule="auto"/>
      </w:pPr>
      <w:r>
        <w:rPr>
          <w:b/>
        </w:rPr>
        <w:t xml:space="preserve">Población.</w:t>
      </w:r>
      <w:r>
        <w:rPr/>
        <w:t xml:space="preserve"> El trabajo de la Cátedra se ha centrado en la formación inicial del profesorado. Hay mucha menos evidencia sobre el alumnado, y prácticamente ninguna sobre FP, pese a que los ciclos de renovables y eficiencia forman a quienes ejecutarán la transición.</w:t>
      </w:r>
    </w:p>
    <w:p>
      <w:pPr>
        <w:numPr>
          <w:ilvl w:val="0"/>
          <w:numId w:val="1"/>
        </w:numPr>
        <w:spacing w:before="0" w:after="120" w:line="264" w:lineRule="auto"/>
      </w:pPr>
      <w:r>
        <w:rPr>
          <w:b/>
        </w:rPr>
        <w:t xml:space="preserve">Constructo.</w:t>
      </w:r>
      <w:r>
        <w:rPr/>
        <w:t xml:space="preserve"> El CAFTÁN mide conocimientos, actitudes y comportamientos, pero no la capacidad de discriminar desinformación climática. Cook, Lewandowsky y Ecker (2017) muestran que reconocer una técnica argumentativa engañosa funciona incluso sin aportar la información correcta: son capacidades distintas.</w:t>
      </w:r>
    </w:p>
    <w:p>
      <w:pPr>
        <w:numPr>
          <w:ilvl w:val="0"/>
          <w:numId w:val="1"/>
        </w:numPr>
        <w:spacing w:before="0" w:after="120" w:line="264" w:lineRule="auto"/>
      </w:pPr>
      <w:r>
        <w:rPr>
          <w:b/>
        </w:rPr>
        <w:t xml:space="preserve">Método.</w:t>
      </w:r>
      <w:r>
        <w:rPr/>
        <w:t xml:space="preserve"> Su catálogo combina encuestas amplias, comparación entre territorios, trabajo conceptual y etnografía, pero no cuestionario más cualitativo en el mismo diseño.</w:t>
      </w:r>
    </w:p>
    <w:p>
      <w:pPr>
        <w:pStyle w:val="Heading1"/>
        <w:spacing w:before="240" w:after="120" w:line="264" w:lineRule="auto"/>
      </w:pPr>
      <w:r>
        <w:rPr/>
        <w:t xml:space="preserve">4. Lo que aporto, y lo que no</w:t>
      </w:r>
    </w:p>
    <w:p>
      <w:pPr>
        <w:pStyle w:val="Heading2"/>
        <w:spacing w:before="120" w:after="60" w:line="264" w:lineRule="auto"/>
      </w:pPr>
      <w:r>
        <w:rPr/>
        <w:t xml:space="preserve">Aporto</w:t>
      </w:r>
    </w:p>
    <w:p>
      <w:pPr>
        <w:numPr>
          <w:ilvl w:val="0"/>
          <w:numId w:val="1"/>
        </w:numPr>
        <w:spacing w:before="0" w:after="120" w:line="264" w:lineRule="auto"/>
      </w:pPr>
      <w:r>
        <w:rPr>
          <w:b/>
        </w:rPr>
        <w:t xml:space="preserve">Acceso directo al campo.</w:t>
      </w:r>
      <w:r>
        <w:rPr/>
        <w:t xml:space="preserve"> Los talleres son de diseño propio y los imparto yo. No dependo de que un centro me abra la puerta ni de que otro equipo me ceda datos.</w:t>
      </w:r>
    </w:p>
    <w:p>
      <w:pPr>
        <w:numPr>
          <w:ilvl w:val="0"/>
          <w:numId w:val="1"/>
        </w:numPr>
        <w:spacing w:before="0" w:after="120" w:line="264" w:lineRule="auto"/>
      </w:pPr>
      <w:r>
        <w:rPr>
          <w:b/>
        </w:rPr>
        <w:t xml:space="preserve">Un prototipo de instrumento ya probado en aula.</w:t>
      </w:r>
      <w:r>
        <w:rPr/>
        <w:t xml:space="preserve"> La dinámica de verificación clasifica afirmaciones reales en cinco categorías —bulo, doble bulo, alerta, necesita contexto, verdad— entregando fuentes deliberadamente mezcladas. Mide destreza, no memoria.</w:t>
      </w:r>
    </w:p>
    <w:p>
      <w:pPr>
        <w:numPr>
          <w:ilvl w:val="0"/>
          <w:numId w:val="1"/>
        </w:numPr>
        <w:spacing w:before="0" w:after="120" w:line="264" w:lineRule="auto"/>
      </w:pPr>
      <w:r>
        <w:rPr>
          <w:b/>
        </w:rPr>
        <w:t xml:space="preserve">Contenido ya alineado con su marco.</w:t>
      </w:r>
      <w:r>
        <w:rPr/>
        <w:t xml:space="preserve"> La transición justa es clima más equidad, empleo y territorio.</w:t>
      </w:r>
    </w:p>
    <w:p>
      <w:pPr>
        <w:numPr>
          <w:ilvl w:val="0"/>
          <w:numId w:val="1"/>
        </w:numPr>
        <w:spacing w:before="0" w:after="120" w:line="264" w:lineRule="auto"/>
      </w:pPr>
      <w:r>
        <w:rPr>
          <w:b/>
        </w:rPr>
        <w:t xml:space="preserve">Un modelo de cuatro ejes de cosmovisión ecológica, y su encuesta.</w:t>
      </w:r>
      <w:r>
        <w:rPr/>
        <w:t xml:space="preserve"> Proyecto Ecomanía, con Álvaro Francisco Gil: yo desarrollo los ejes y los instrumentos, él el software. Ejes antropocéntrico/ecocéntrico, tecnológico/suficiencia, individual/colectivo y tecnocrático/de base, derivados del NEP, del Environmental Attitudes Inventory y de la teoría cultural del riesgo. Separa qué tipo de verde de cuánto verde — que es justo el riesgo de un 2×2 donde todo el alumnado salga moderadamente verde. Le falta validación factorial sobre datos reales.</w:t>
      </w:r>
    </w:p>
    <w:p>
      <w:pPr>
        <w:pStyle w:val="Heading2"/>
        <w:spacing w:before="180" w:after="60" w:line="264" w:lineRule="auto"/>
      </w:pPr>
      <w:r>
        <w:rPr/>
        <w:t xml:space="preserve">No prometo</w:t>
      </w:r>
    </w:p>
    <w:p>
      <w:pPr>
        <w:numPr>
          <w:ilvl w:val="0"/>
          <w:numId w:val="1"/>
        </w:numPr>
        <w:spacing w:before="0" w:after="120" w:line="264" w:lineRule="auto"/>
      </w:pPr>
      <w:r>
        <w:rPr>
          <w:b/>
        </w:rPr>
        <w:t xml:space="preserve">Muestra grande.</w:t>
      </w:r>
      <w:r>
        <w:rPr/>
        <w:t xml:space="preserve"> Diecisiete talleres no dan potencia estadística. El plan realista: validar el instrumento el primer año y acumular muestra en los siguientes.</w:t>
      </w:r>
    </w:p>
    <w:p>
      <w:pPr>
        <w:numPr>
          <w:ilvl w:val="0"/>
          <w:numId w:val="1"/>
        </w:numPr>
        <w:spacing w:before="0" w:after="120" w:line="264" w:lineRule="auto"/>
      </w:pPr>
      <w:r>
        <w:rPr>
          <w:b/>
        </w:rPr>
        <w:t xml:space="preserve">Impacto sostenido.</w:t>
      </w:r>
      <w:r>
        <w:rPr/>
        <w:t xml:space="preserve"> Sesión única de hora y media: permite pre-post en la propia sesión, no efectos duraderos sin medición diferida.</w:t>
      </w:r>
    </w:p>
    <w:p>
      <w:pPr>
        <w:numPr>
          <w:ilvl w:val="0"/>
          <w:numId w:val="1"/>
        </w:numPr>
        <w:spacing w:before="0" w:after="120" w:line="264" w:lineRule="auto"/>
      </w:pPr>
      <w:r>
        <w:rPr>
          <w:b/>
        </w:rPr>
        <w:t xml:space="preserve">Acceso rural confirmado.</w:t>
      </w:r>
      <w:r>
        <w:rPr/>
        <w:t xml:space="preserve"> Extender los talleres a Segovia y La Rioja es una vía que quiero abrir con mi organización. A día de hoy no está cerrada.</w:t>
      </w:r>
    </w:p>
    <w:p>
      <w:pPr>
        <w:numPr>
          <w:ilvl w:val="0"/>
          <w:numId w:val="1"/>
        </w:numPr>
        <w:spacing w:before="0" w:after="120" w:line="264" w:lineRule="auto"/>
      </w:pPr>
      <w:r>
        <w:rPr>
          <w:b/>
        </w:rPr>
        <w:t xml:space="preserve">Datos de Ecomanía.</w:t>
      </w:r>
      <w:r>
        <w:rPr/>
        <w:t xml:space="preserve"> El producto no está construido: no hay encuesta implementada ni respuestas recogidas. Lo que llevo es el modelo y el diseño del instrumento. Además, el modelo asume usuarios ya concienciados que se autoseleccionan; el alumnado de un instituto no lo está.</w:t>
      </w:r>
    </w:p>
    <w:p>
      <w:pPr>
        <w:pStyle w:val="Heading1"/>
        <w:spacing w:before="280" w:after="120" w:line="264" w:lineRule="auto"/>
      </w:pPr>
      <w:r>
        <w:rPr/>
        <w:t xml:space="preserve">5. Preguntas que llevo</w:t>
      </w:r>
    </w:p>
    <w:p>
      <w:pPr>
        <w:spacing w:before="0" w:after="200" w:line="264" w:lineRule="auto"/>
      </w:pPr>
      <w:r>
        <w:rPr>
          <w:i/>
          <w:color w:val="5F6F66"/>
          <w:sz w:val="19"/>
          <w:szCs w:val="19"/>
        </w:rPr>
        <w:t xml:space="preserve">Espacio para anotar sus respuestas durante la conversación.</w:t>
      </w:r>
    </w:p>
    <w:p>
      <w:pPr>
        <w:pStyle w:val="Heading2"/>
        <w:spacing w:before="200" w:after="40" w:line="264" w:lineRule="auto"/>
      </w:pPr>
      <w:r>
        <w:rPr/>
        <w:t xml:space="preserve">1. ¿Cuál es la vía de acceso al programa a día de hoy, y en qué plazos?</w:t>
      </w:r>
    </w:p>
    <w:p>
      <w:pPr>
        <w:spacing w:before="0" w:after="120" w:line="264" w:lineRule="auto"/>
      </w:pPr>
      <w:r>
        <w:rPr>
          <w:i/>
          <w:color w:val="5F6F66"/>
          <w:sz w:val="19"/>
          <w:szCs w:val="19"/>
        </w:rPr>
        <w:t xml:space="preserve">Tengo entendido que la preinscripción 2026/2027 pudo cerrar en junio. Determina si el arranque es este curso o el siguiente.</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2. ¿Tendría sentido dentro de algún proyecto en marcha de la Cátedra, o como tesis independiente?</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3. ¿Ve viable compatibilizar la tesis con un trabajo a jornada completa?</w:t>
      </w:r>
    </w:p>
    <w:p>
      <w:pPr>
        <w:spacing w:before="0" w:after="120" w:line="264" w:lineRule="auto"/>
      </w:pPr>
      <w:r>
        <w:rPr>
          <w:i/>
          <w:color w:val="5F6F66"/>
          <w:sz w:val="19"/>
          <w:szCs w:val="19"/>
        </w:rPr>
        <w:t xml:space="preserve">En qué régimen de dedicación, y con qué ritmo esperado.</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4. ¿Conviene abarcar Secundaria, FP y Bachillerato, o concentrarse en FP?</w:t>
      </w:r>
    </w:p>
    <w:p>
      <w:pPr>
        <w:spacing w:before="0" w:after="120" w:line="264" w:lineRule="auto"/>
      </w:pPr>
      <w:r>
        <w:rPr>
          <w:i/>
          <w:color w:val="5F6F66"/>
          <w:sz w:val="19"/>
          <w:szCs w:val="19"/>
        </w:rPr>
        <w:t xml:space="preserve">Mi criterio: no cerrar puertas, por la escala actual del programa. Pero el hueco de literatura es mayor en FP.</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5. ¿La desinformación climática debe ser una dimensión dentro de la alfabetización ecosocial, o tiene entidad para vertebrar la tesis?</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6. ¿Vería publicable una validación factorial del modelo de cuatro ejes?</w:t>
      </w:r>
    </w:p>
    <w:p>
      <w:pPr>
        <w:spacing w:before="0" w:after="120" w:line="264" w:lineRule="auto"/>
      </w:pPr>
      <w:r>
        <w:rPr>
          <w:i/>
          <w:color w:val="5F6F66"/>
          <w:sz w:val="19"/>
          <w:szCs w:val="19"/>
        </w:rPr>
        <w:t xml:space="preserve">Artículo metodológico separable de la tesis. Le ofrezco algo, no solo pido. Hablarlo antes con Álvaro.</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7. ¿Qué implicaciones éticas tendría pasar un instrumento de valores a menores en centros?</w:t>
      </w:r>
    </w:p>
    <w:p>
      <w:pPr>
        <w:spacing w:before="0" w:after="120" w:line="264" w:lineRule="auto"/>
      </w:pPr>
      <w:r>
        <w:rPr>
          <w:i/>
          <w:color w:val="5F6F66"/>
          <w:sz w:val="19"/>
          <w:szCs w:val="19"/>
        </w:rPr>
        <w:t xml:space="preserve">Dato de categoría especial, consentimiento parental, comité de ética.</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2"/>
        <w:spacing w:before="200" w:after="40" w:line="264" w:lineRule="auto"/>
      </w:pPr>
      <w:r>
        <w:rPr/>
        <w:t xml:space="preserve">8. ¿Qué le falta a esta idea para ser una tesis?</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1"/>
        <w:spacing w:before="280" w:after="120" w:line="264" w:lineRule="auto"/>
      </w:pPr>
      <w:r>
        <w:rPr/>
        <w:t xml:space="preserve">6. Otras notas</w:t>
      </w: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Bdr>
          <w:bottom w:val="single" w:sz="4" w:space="1" w:color="BFC9C2"/>
        </w:pBdr>
        <w:spacing w:before="0" w:after="200" w:line="264" w:lineRule="auto"/>
      </w:pPr>
    </w:p>
    <w:p>
      <w:pPr>
        <w:pStyle w:val="Heading1"/>
        <w:spacing w:before="240" w:after="120" w:line="264" w:lineRule="auto"/>
      </w:pPr>
      <w:r>
        <w:rPr/>
        <w:t xml:space="preserve">7. Después de la reunión</w:t>
      </w:r>
    </w:p>
    <w:p>
      <w:pPr>
        <w:numPr>
          <w:ilvl w:val="0"/>
          <w:numId w:val="1"/>
        </w:numPr>
        <w:spacing w:before="0" w:after="120" w:line="264" w:lineRule="auto"/>
      </w:pPr>
      <w:r>
        <w:rPr/>
        <w:t xml:space="preserve">Escribir a Fundación Renovables: extensión de talleres a Segovia y La Rioja, y uso del material con fines de investigación.</w:t>
      </w:r>
    </w:p>
    <w:p>
      <w:pPr>
        <w:numPr>
          <w:ilvl w:val="0"/>
          <w:numId w:val="1"/>
        </w:numPr>
        <w:spacing w:before="0" w:after="120" w:line="264" w:lineRule="auto"/>
      </w:pPr>
      <w:r>
        <w:rPr/>
        <w:t xml:space="preserve">Hablar con Álvaro sobre la validación del modelo de ejes como artículo, y sobre coautoría.</w:t>
      </w:r>
    </w:p>
    <w:p>
      <w:pPr>
        <w:numPr>
          <w:ilvl w:val="0"/>
          <w:numId w:val="1"/>
        </w:numPr>
        <w:spacing w:before="0" w:after="120" w:line="264" w:lineRule="auto"/>
      </w:pPr>
      <w:r>
        <w:rPr/>
        <w:t xml:space="preserve">Agradecer a Rubén Díaz Sierra.</w:t>
      </w:r>
    </w:p>
    <w:p>
      <w:pPr>
        <w:numPr>
          <w:ilvl w:val="0"/>
          <w:numId w:val="1"/>
        </w:numPr>
        <w:spacing w:before="0" w:after="120" w:line="264" w:lineRule="auto"/>
      </w:pPr>
      <w:r>
        <w:rPr/>
        <w:t xml:space="preserve">Actualizar el brief del proyecto en el repositorio.</w:t>
      </w:r>
    </w:p>
    <w:sectPr>
      <w:pgSz w:w="11906" w:h="16838"/>
      <w:pgMar w:top="1418" w:right="1418" w:bottom="1418" w:left="1418" w:header="708" w:footer="708" w:gutter="0"/>
    </w:sectPr>
  </w:body>
</w:document>
</file>

<file path=word/numbering.xml><?xml version="1.0" encoding="utf-8"?>
<w:numbering xmlns:w="http://schemas.openxmlformats.org/wordprocessingml/2006/main">
  <w:abstractNum w:abstractNumId="0">
    <w:nsid w:val="1A2B3C4D"/>
    <w:multiLevelType w:val="hybridMultilevel"/>
    <w:lvl w:ilvl="0">
      <w:start w:val="1"/>
      <w:numFmt w:val="bullet"/>
      <w:lvlText w:val="•"/>
      <w:lvlJc w:val="left"/>
      <w:pPr>
        <w:ind w:left="426" w:hanging="284"/>
      </w:pPr>
      <w:rPr>
        <w:rFonts w:ascii="Calibri" w:hAnsi="Calibri" w:hint="default"/>
        <w:color w:val="2C6A4C"/>
      </w:rPr>
    </w:lvl>
  </w:abstractNum>
  <w:num w:numId="1">
    <w:abstractNumId w:val="0"/>
  </w:num>
</w:numbering>
</file>

<file path=word/settings.xml><?xml version="1.0" encoding="utf-8"?>
<w:settings xmlns:w="http://schemas.openxmlformats.org/wordprocessingml/2006/main">
  <w:zoom w:percent="100"/>
  <w:defaultTabStop w:val="708"/>
  <w:themeFontLang w:val="es-ES"/>
</w:settings>
</file>

<file path=word/styles.xml><?xml version="1.0" encoding="utf-8"?>
<w:styles xmlns:w="http://schemas.openxmlformats.org/wordprocessingml/2006/main">
  <w:docDefaults>
    <w:rPrDefault>
      <w:rPr>
        <w:rFonts w:ascii="Calibri" w:hAnsi="Calibri" w:cs="Calibri"/>
        <w:color w:val="1F2B25"/>
        <w:sz w:val="21"/>
        <w:szCs w:val="21"/>
        <w:lang w:val="es-ES"/>
      </w:rPr>
    </w:rPrDefault>
  </w:docDefaults>
  <w:style w:type="paragraph" w:default="1" w:styleId="Normal">
    <w:name w:val="Normal"/>
    <w:qFormat/>
  </w:style>
  <w:style w:type="paragraph" w:styleId="Title">
    <w:name w:val="Title"/>
    <w:basedOn w:val="Normal"/>
    <w:qFormat/>
    <w:pPr>
      <w:outlineLvl w:val="0"/>
    </w:pPr>
    <w:rPr>
      <w:rFonts w:ascii="Cambria" w:hAnsi="Cambria"/>
      <w:b/>
      <w:color w:val="14201A"/>
      <w:sz w:val="46"/>
      <w:szCs w:val="46"/>
    </w:rPr>
  </w:style>
  <w:style w:type="paragraph" w:styleId="Subtitle">
    <w:name w:val="Subtitle"/>
    <w:basedOn w:val="Normal"/>
    <w:qFormat/>
    <w:rPr>
      <w:rFonts w:ascii="Cambria" w:hAnsi="Cambria"/>
      <w:color w:val="2C6A4C"/>
      <w:sz w:val="24"/>
      <w:szCs w:val="24"/>
    </w:rPr>
  </w:style>
  <w:style w:type="paragraph" w:styleId="Heading1">
    <w:name w:val="heading 1"/>
    <w:basedOn w:val="Normal"/>
    <w:qFormat/>
    <w:pPr>
      <w:pBdr>
        <w:bottom w:val="single" w:sz="6" w:space="4" w:color="2C6A4C"/>
      </w:pBdr>
      <w:outlineLvl w:val="0"/>
    </w:pPr>
    <w:rPr>
      <w:rFonts w:ascii="Cambria" w:hAnsi="Cambria"/>
      <w:b/>
      <w:color w:val="14201A"/>
      <w:sz w:val="28"/>
      <w:szCs w:val="28"/>
    </w:rPr>
  </w:style>
  <w:style w:type="paragraph" w:styleId="Heading2">
    <w:name w:val="heading 2"/>
    <w:basedOn w:val="Normal"/>
    <w:qFormat/>
    <w:pPr>
      <w:outlineLvl w:val="1"/>
    </w:pPr>
    <w:rPr>
      <w:b/>
      <w:color w:val="14201A"/>
      <w:sz w:val="23"/>
      <w:szCs w:val="23"/>
    </w:rPr>
  </w:style>
  <w:style w:type="paragraph" w:styleId="Quote">
    <w:name w:val="Quote"/>
    <w:basedOn w:val="Normal"/>
    <w:qFormat/>
    <w:pPr>
      <w:pBdr>
        <w:left w:val="single" w:sz="18" w:space="8" w:color="2C6A4C"/>
      </w:pBdr>
      <w:ind w:left="284"/>
    </w:pPr>
    <w:rPr>
      <w:rFonts w:ascii="Cambria" w:hAnsi="Cambria"/>
      <w:i/>
      <w:color w:val="14201A"/>
      <w:sz w:val="26"/>
      <w:szCs w:val="26"/>
    </w:rPr>
  </w:style>
  <w:style w:type="numbering" w:styleId="NoList">
    <w:name w:val="No Lis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Guion de reunion - Catedra UNESCO EADS UNED</dc:title>
  <dc:creator>Janire Sanchez</dc:creator>
  <cp:lastModifiedBy>Janire Sanchez</cp:lastModifiedBy>
  <dcterms:created xsi:type="dcterms:W3CDTF">2026-08-23T00:00:00Z</dcterms:created>
  <dcterms:modified xsi:type="dcterms:W3CDTF">2026-08-23T00:00:00Z</dcterms:modified>
</cp:coreProperties>
</file>