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SiliconSandbox</w:t>
      </w:r>
    </w:p>
    <w:p>
      <w:pPr>
        <w:pStyle w:val="Subtitle"/>
      </w:pPr>
      <w:r>
        <w:t>Revised Game Design Specification</w:t>
      </w:r>
    </w:p>
    <w:p>
      <w:pPr>
        <w:pStyle w:val="SmallNote"/>
      </w:pPr>
      <w:r>
        <w:t>Decisions consolidated through 29 September 2026</w:t>
      </w:r>
    </w:p>
    <w:p>
      <w:r>
        <w:t>SiliconSandbox is a single-player 3D digital-design sandbox for building circuits from logic gates, packaging them into reusable modules, and learning successive levels of abstraction. This specification combines the original design with the final decisions from the twelve-area discussion. It defines the complete core game and separates that scope from the smaller professor demonstration and later educational and EDA features.</w:t>
      </w:r>
    </w:p>
    <w:p>
      <w:r>
        <w:rPr>
          <w:b/>
        </w:rPr>
        <w:t>Status convention.</w:t>
      </w:r>
      <w:r>
        <w:t xml:space="preserve"> Unqualified requirements in the main specification are confirmed by the original design or an accepted chat decision. </w:t>
      </w:r>
      <w:r>
        <w:rPr>
          <w:b/>
        </w:rPr>
        <w:t>Proposed</w:t>
      </w:r>
      <w:r>
        <w:t xml:space="preserve"> text needs approval; </w:t>
      </w:r>
      <w:r>
        <w:rPr>
          <w:b/>
        </w:rPr>
        <w:t>Open</w:t>
      </w:r>
      <w:r>
        <w:t xml:space="preserve"> text identifies an unresolved implementation or design choice; </w:t>
      </w:r>
      <w:r>
        <w:rPr>
          <w:b/>
        </w:rPr>
        <w:t>Future</w:t>
      </w:r>
      <w:r>
        <w:t xml:space="preserve"> text is outside the core release. A confirmed future direction is not a commitment to deliver it in the first release. Accepted provisional numbers remain provisional. Later explicit decisions govern earlier conflicting text.</w:t>
      </w:r>
    </w:p>
    <w:p>
      <w:r>
        <w:t>The original research backlog is retained verbatim in Appendix C, including its supporting notes and quotations. It is unresearched material, not a second set of operative requirements. Its older assumptions do not override the specifications in Sections 1–12.</w:t>
      </w:r>
    </w:p>
    <w:p>
      <w:pPr>
        <w:pStyle w:val="Heading2"/>
      </w:pPr>
      <w:r>
        <w:t>Document map</w:t>
      </w:r>
    </w:p>
    <w:p>
      <w:pPr>
        <w:pStyle w:val="SmallNote"/>
      </w:pPr>
      <w:r>
        <w:t>Project vision and world</w:t>
      </w:r>
    </w:p>
    <w:p>
      <w:pPr>
        <w:pStyle w:val="SmallNote"/>
      </w:pPr>
      <w:r>
        <w:t>1 Digital simulation and signal values</w:t>
      </w:r>
    </w:p>
    <w:p>
      <w:pPr>
        <w:pStyle w:val="SmallNote"/>
      </w:pPr>
      <w:r>
        <w:t>2 Circuit time and world clock</w:t>
      </w:r>
    </w:p>
    <w:p>
      <w:pPr>
        <w:pStyle w:val="SmallNote"/>
      </w:pPr>
      <w:r>
        <w:t>3 Physical connections and rotation</w:t>
      </w:r>
    </w:p>
    <w:p>
      <w:pPr>
        <w:pStyle w:val="SmallNote"/>
      </w:pPr>
      <w:r>
        <w:t>4 Harnesses and Net Links</w:t>
      </w:r>
    </w:p>
    <w:p>
      <w:pPr>
        <w:pStyle w:val="SmallNote"/>
      </w:pPr>
      <w:r>
        <w:t>5 Module lifecycle and packaging</w:t>
      </w:r>
    </w:p>
    <w:p>
      <w:pPr>
        <w:pStyle w:val="SmallNote"/>
      </w:pPr>
      <w:r>
        <w:t>6 Components and RTL timing</w:t>
      </w:r>
    </w:p>
    <w:p>
      <w:pPr>
        <w:pStyle w:val="SmallNote"/>
      </w:pPr>
      <w:r>
        <w:t>7 Building and interface</w:t>
      </w:r>
    </w:p>
    <w:p>
      <w:pPr>
        <w:pStyle w:val="SmallNote"/>
      </w:pPr>
      <w:r>
        <w:t>8 Inspection and diagnostics</w:t>
      </w:r>
    </w:p>
    <w:p>
      <w:pPr>
        <w:pStyle w:val="SmallNote"/>
      </w:pPr>
      <w:r>
        <w:t>9 Saving and recovery</w:t>
      </w:r>
    </w:p>
    <w:p>
      <w:pPr>
        <w:pStyle w:val="SmallNote"/>
      </w:pPr>
      <w:r>
        <w:t>10 Performance and platforms</w:t>
      </w:r>
    </w:p>
    <w:p>
      <w:pPr>
        <w:pStyle w:val="SmallNote"/>
      </w:pPr>
      <w:r>
        <w:t>11 Education and onboarding</w:t>
      </w:r>
    </w:p>
    <w:p>
      <w:pPr>
        <w:pStyle w:val="SmallNote"/>
      </w:pPr>
      <w:r>
        <w:t>12 Delivery and acceptance</w:t>
      </w:r>
    </w:p>
    <w:p>
      <w:pPr>
        <w:pStyle w:val="SmallNote"/>
      </w:pPr>
      <w:r>
        <w:t>Appendix A Graphics and future tools</w:t>
      </w:r>
    </w:p>
    <w:p>
      <w:pPr>
        <w:pStyle w:val="SmallNote"/>
      </w:pPr>
      <w:r>
        <w:t>Appendix B Open decisions and technical cautions</w:t>
      </w:r>
    </w:p>
    <w:p>
      <w:pPr>
        <w:pStyle w:val="SmallNote"/>
      </w:pPr>
      <w:r>
        <w:t>Appendix C Original research backlog</w:t>
      </w:r>
    </w:p>
    <w:p>
      <w:pPr>
        <w:pStyle w:val="SmallNote"/>
      </w:pPr>
      <w:r>
        <w:t>Appendix D Review findings and change log</w:t>
      </w:r>
    </w:p>
    <w:p>
      <w:r>
        <w:br w:type="page"/>
      </w:r>
    </w:p>
    <w:p>
      <w:pPr>
        <w:pStyle w:val="Heading1"/>
      </w:pPr>
      <w:r>
        <w:t>Project vision and world</w:t>
      </w:r>
    </w:p>
    <w:p>
      <w:pPr>
        <w:pStyle w:val="Heading2"/>
      </w:pPr>
      <w:r>
        <w:t>Purpose and learning rationale</w:t>
      </w:r>
    </w:p>
    <w:p>
      <w:r>
        <w:t>The game gives computer engineering students a spatial, hands-on way to understand digital logic while having fun. Students can start with individual gates, build functional blocks, package those circuits, and use nested modules to build increasingly complex systems and functioning integrated circuits. A reusable four-bit multiplexer, for example, avoids rebuilding or copying its entire circuit every time a larger design needs it.</w:t>
      </w:r>
    </w:p>
    <w:p>
      <w:r>
        <w:t>The motivating problem is the difficulty of translating hundreds of lines of SystemVerilog into an understandable hardware design. RTL diagrams help, but the intended experience lets students stand inside and navigate a three-dimensional representation, with flight providing an overhead view of large circuits. The educational benefit is a design hypothesis, not a measured outcome of this project.</w:t>
      </w:r>
    </w:p>
    <w:p>
      <w:r>
        <w:t>Minecraft supplies the voxel placement and creative-sandbox inspiration. SiliconSandbox supplies digital components, explicit wiring, and packaging to reduce sprawling constructions and teach abstraction. The original comparison with Minecraft redstone and Logic World, and the original educational evidence claims, are retained below as rationale needing verification rather than current verified facts.</w:t>
      </w:r>
    </w:p>
    <w:p>
      <w:pPr>
        <w:pStyle w:val="Heading3"/>
      </w:pPr>
      <w:r>
        <w:t>Original rationale claims pending verification</w:t>
      </w:r>
    </w:p>
    <w:p>
      <w:r>
        <w:rPr>
          <w:b/>
        </w:rPr>
        <w:t>Unverified source claims.</w:t>
      </w:r>
      <w:r>
        <w:t xml:space="preserve"> The original document states that Purdue ECE 270, ECE 337, and ECE 437 use SystemVerilog and each has a GPA average below 3.0; that tactile, immersive environments improve technical mastery; and that educational games improve motivation. It contrasts diagrams and code with physical breadboarding and spatial interaction. These claims require sources before use as evidence in a proposal or publication.</w:t>
      </w:r>
    </w:p>
    <w:p>
      <w:r>
        <w:rPr>
          <w:b/>
        </w:rPr>
        <w:t>Unverified comparison.</w:t>
      </w:r>
      <w:r>
        <w:t xml:space="preserve"> The original describes Minecraft and Logic World as partial precedents: Minecraft redstone is not intended to replicate electronic components, has large components and no circuit packaging; Logic World is described as having realistic components but lacking packaging into higher abstraction levels. It argues that widely spread wires and switches confuse beginners. These are the original comparison claims, not a verified assessment of either product’s current capabilities.</w:t>
      </w:r>
    </w:p>
    <w:p>
      <w:pPr>
        <w:pStyle w:val="Heading2"/>
      </w:pPr>
      <w:r>
        <w:t>Modes and platform scope</w:t>
      </w:r>
    </w:p>
    <w:p>
      <w:r>
        <w:t>The core is single player on Windows and macOS PCs and laptops. Freeplay provides all available default modules and educational material from world creation. Education mode is the lowest-priority major mode: learners start with single-bit primitives, construct modules themselves, and unlock optimized developer-built equivalents. Sections 11 and 12 define the progression and delivery stages. Multiplayer and feasible VR headset support are future possibilities.</w:t>
      </w:r>
    </w:p>
    <w:p>
      <w:pPr>
        <w:pStyle w:val="Heading2"/>
      </w:pPr>
      <w:r>
        <w:t>Definitions and extensibility</w:t>
      </w:r>
    </w:p>
    <w:p>
      <w:r>
        <w:t>A game object is a block, component, or module. A pin is a component or module input, output, or inout connection carrying 1–128 bits. A connector is a wire, harness, or Net Link. Looking at an object means targeting it with the player’s crosshair. A net is an electrical connection; a harness contains separately resolved bit nets, not one shorted signal.</w:t>
      </w:r>
    </w:p>
    <w:p>
      <w:r>
        <w:t xml:space="preserve">Keep specified values configurable and make blocks, components, default modules, menus, textures, and world-generation parameters easy to extend without breaking existing functionality or requiring a complete rebuild. </w:t>
      </w:r>
      <w:r>
        <w:rPr>
          <w:b/>
        </w:rPr>
        <w:t>Open:</w:t>
      </w:r>
      <w:r>
        <w:t xml:space="preserve"> which settings are developer configuration versus player controls, and how changes interact with saved-world compatibility. Unity in the original notes was an example; no engine or simulation backend has been selected.</w:t>
      </w:r>
    </w:p>
    <w:p>
      <w:pPr>
        <w:pStyle w:val="Heading2"/>
      </w:pPr>
      <w:r>
        <w:t>Default sandbox and boundaries</w:t>
      </w:r>
    </w:p>
    <w:p>
      <w:r>
        <w:t>Generate a finite, Minecraft Superflat-style creative sandbox, provisionally 1,000 blocks wide by 1,000 blocks long with a height limit of 300 blocks. The player may neither fly nor place objects above the limit. There are no mobs, generated structures, survival mode, or required physical support for circuits.</w:t>
      </w:r>
    </w:p>
    <w:p>
      <w:r>
        <w:t>The generated floor is one block thick, using smooth sandstone. It is unbreakable to avoid exposing a void. Inventory sandstone remains freely placeable and breakable. Terrain material, thickness, breakability, dimensions, and height limit must be easy to change rather than hardcoded.</w:t>
      </w:r>
    </w:p>
    <w:p>
      <w:r>
        <w:t>A bounding wall surrounds the terrain and rises into the sky. The player cannot touch, pass through, or break it. It should resemble the wooden walls of a child’s backyard sandbox, with trees visible beyond and toy trowels and rakes propped on the wall. The wall may be a custom non-placeable object rather than many blocks. World data and backups are local, not a cloud database; Section 9 specifies saving.</w:t>
      </w:r>
    </w:p>
    <w:p>
      <w:pPr>
        <w:pStyle w:val="Heading1"/>
      </w:pPr>
      <w:r>
        <w:t>1 Digital simulation and signal values</w:t>
      </w:r>
    </w:p>
    <w:p>
      <w:pPr>
        <w:pStyle w:val="Heading2"/>
      </w:pPr>
      <w:r>
        <w:t>Reference and scope</w:t>
      </w:r>
    </w:p>
    <w:p>
      <w:r>
        <w:t>SiliconSandbox is a digital circuit sandbox whose relevant behavior is guided by IEEE 1800-2023 SystemVerilog. Synopsys VCS is the primary commercial simulator for comparison, and Synopsys Verdi is the confirmed design reference for a future waveform and debugging interface. The earlier choice of QuestaSim reflected the user’s Purdue experience and was replaced to make the game more relevant to industry practice. This does not assert that NVIDIA exclusively uses VCS, and neither VCS nor Verdi must be bundled with the game. The implementation backend remains open: an internal engine or an external HDL integration must be evaluated through the retained research backlog. A particular VCS setting or extension does not silently define game behavior.</w:t>
      </w:r>
    </w:p>
    <w:p>
      <w:r>
        <w:t>The confirmed vendor-protection rule is:</w:t>
      </w:r>
    </w:p>
    <w:p>
      <w:pPr>
        <w:pStyle w:val="SpecQuote"/>
      </w:pPr>
      <w:r>
        <w:t>Where VCS behavior and IEEE 1800-2023 appear to differ, first determine whether VCS is using an optional feature, command-line setting, or proprietary extension. SiliconSandbox should follow standard SystemVerilog behavior unless the design document explicitly adopts the VCS-specific behavior.</w:t>
      </w:r>
    </w:p>
    <w:p>
      <w:pPr>
        <w:pStyle w:val="Heading2"/>
      </w:pPr>
      <w:r>
        <w:t>Four state behavior</w:t>
      </w:r>
    </w:p>
    <w:p>
      <w:r>
        <w:t>Every signal bit can be 0, 1, X (unknown), or Z (high impedance/no active driver). An ordinary undriven net resolves to Z. A stored four-state value without an explicit initialization or reset starts at X, subject to the separate nonvolatile-memory persistence rule. Conflicting active 0 and 1 drivers of equal strength resolve to X; a driver that releases Z does not fight an active value. The first implementation does not model drive strengths, so active drivers are equal strength. With no active driver the bit is Z; with only known agreeing active drivers it is their common 0 or 1; if an active driver is X or known active drivers disagree, the resolved bit is X. Logic handles X and Z with SystemVerilog-style truth tables and should retain a known result where the result is certain: 0 &amp; Z = 0, while 1 &amp; Z = X. A disconnected input must not be silently forced to zero. Inspection should distinguish known causes of X, such as contention or uninitialized state, from unknown causes.</w:t>
      </w:r>
    </w:p>
    <w:p>
      <w:pPr>
        <w:pStyle w:val="Heading2"/>
      </w:pPr>
      <w:r>
        <w:t>Visuals</w:t>
      </w:r>
    </w:p>
    <w:p>
      <w:r>
        <w:t>Logic 0 is muted blue, logic 1 bright green, X pulsing red, and Z gray. These are game presentation choices, not colors mandated by IEEE or by a simulator. The single short red invalid-placement flash must look different from the repeating red pulse for X. A multibit connector retains per-bit values; its detailed packed-vector view must make mixed values visible.</w:t>
      </w:r>
    </w:p>
    <w:p>
      <w:pPr>
        <w:pStyle w:val="Heading2"/>
      </w:pPr>
      <w:r>
        <w:t>Electrical boundary</w:t>
      </w:r>
    </w:p>
    <w:p>
      <w:r>
        <w:t>The core game does not simulate analog voltage, current, resistance, thresholds, power consumption, transistor behavior, or physical power/ground delivery. Sources drive logic values; names such as Constant Logic Source, Clock Source, and Pulse Source replace misleading “voltage source” wording. A later advanced electrical mode is only a possibility. Document exact game component rules separately from claims that IEEE mandates them; the game’s equal-strength simplification is one example.</w:t>
      </w:r>
    </w:p>
    <w:p>
      <w:pPr>
        <w:pStyle w:val="Heading2"/>
      </w:pPr>
      <w:r>
        <w:t>Verification reference and limits</w:t>
      </w:r>
    </w:p>
    <w:p>
      <w:r>
        <w:t>IEEE 1800-2023 and the documented game-component subset replace the original IEEE 1076 VHDL comparison target. Validate the supported logic and event behavior using known input/output sequences, truth tables, Karnaugh-map examples, and reference circuits compared with the specified VCS configuration. Preserve the original plan to run verification at development milestones and use IEEE 1012 as a verification-and-validation process reference; naming that standard is not a claim of completed compliance. The supported construct list, detailed conformance tests, and applicable IEEE 1012 edition and obligations still need definition.</w:t>
      </w:r>
    </w:p>
    <w:p>
      <w:pPr>
        <w:pStyle w:val="SmallNote"/>
      </w:pPr>
      <w:r>
        <w:t>Reference pointers from the discussion: IEEE 1800-2023 https://standards.ieee.org/ieee/1800/7743/ ; VCS https://www.synopsys.com/verification/simulation/vcs.html ; Verdi https://www.synopsys.com/verification/debug/verdi.html ; original IEEE 1012 reference https://standards.ieee.org/ieee/1012/5609/ . The superseded VHDL reference was https://standards.ieee.org/ieee/1076/5179/ . Verify current authoritative editions and vendor settings before claiming conformance; these pointers do not settle the research backlog.</w:t>
      </w:r>
    </w:p>
    <w:p>
      <w:pPr>
        <w:pStyle w:val="Heading1"/>
      </w:pPr>
      <w:r>
        <w:t>2 Circuit time and world clock</w:t>
      </w:r>
    </w:p>
    <w:p>
      <w:pPr>
        <w:pStyle w:val="Heading2"/>
      </w:pPr>
      <w:r>
        <w:t>Clock and event model</w:t>
      </w:r>
    </w:p>
    <w:p>
      <w:r>
        <w:t>The world clock is the default master clock signal for synchronous components, but it does not gate every simulation update. An event-driven engine updates affected combinational logic whenever its inputs change and updates edge-triggered components on their configured clock edge. Player-built and provided clock dividers can create derived clocks; a wire, harness, or Net Link can feed a component or module CLK pin with a valid signal. World-clock frequency is configurable; its initial level is 0, and its confirmed default duty cycle is 50 percent. Make the world clock available through a clearly identified link or connector.</w:t>
      </w:r>
    </w:p>
    <w:p>
      <w:r>
        <w:t>Simulation time, world-clock transitions, playback speed, and rendered frames are distinct. One clock edge may cause sequential evaluation, nonblocking updates, combinational propagation, and new derived-clock edges within the same simulated time slot. Preserve the needed event ordering and delta-cycle behavior. Slow playback changes how quickly simulated time advances for the player; it must not change the circuit’s simulated relationships. If the engine cannot keep up, report the achieved speed rather than silently skipping edges. Manual controls can advance one world-clock edge or one complete world-clock cycle, settling all consequences before returning control. A circuit continues to simulate when it is out of view, even if its geometry is not rendered.</w:t>
      </w:r>
    </w:p>
    <w:p>
      <w:pPr>
        <w:pStyle w:val="Heading2"/>
      </w:pPr>
      <w:r>
        <w:t>Safe pause and editing</w:t>
      </w:r>
    </w:p>
    <w:p>
      <w:r>
        <w:t>Pressing Escape requests a pause. Finish all events at the current simulation time, including zero-time settling, then stop before the next time slot. Preserve the event queue, clock phase, simulation time, and component state so Resume continues exactly. A temporary “Pausing” indication is acceptable. Structural edits such as placing, breaking, reconnecting, rotating, changing a bit mapping, or changing a pin configuration auto-pause at a safe boundary. Operating a live switch or logic source remains possible while running. The confirmed live-change rule is that a world-clock frequency change affects only future behavior and never rewrites elapsed simulation history. The request is applied after the current simulation time slot and all zero-time settling finish. The clock keeps its current logic level and completes the current high or low interval at the old frequency; the next interval and all later intervals use the new frequency. If the world clock is stopped, the new setting is saved and used when the clock resumes. Frequency must be positive: zero and negative values are invalid, and stopping the clock remains a separate control.</w:t>
      </w:r>
    </w:p>
    <w:p>
      <w:pPr>
        <w:pStyle w:val="Heading2"/>
      </w:pPr>
      <w:r>
        <w:t>Nonsettling feedback</w:t>
      </w:r>
    </w:p>
    <w:p>
      <w:r>
        <w:t>The delta-cycle convergence limit is configurable. Stable storage and a legal latch are distinct from a zero-delay oscillator. The accepted process is:</w:t>
      </w:r>
    </w:p>
    <w:p>
      <w:pPr>
        <w:pStyle w:val="SpecQuote"/>
      </w:pPr>
      <w:r>
        <w:t>If the convergence limit is exceeded, SiliconSandbox shall stop processing the unstable circuit, pause simulation safely, mark the affected signal or network as X, explain that a zero-delay oscillation or non-converging feedback loop was detected, and preserve the world so the player can correct the circuit.</w:t>
      </w:r>
    </w:p>
    <w:p>
      <w:r>
        <w:t>The feedback points to the affected area. Exact simulation time units, the supported positive frequency range, and phase behavior for newly introduced clocks were not fixed in the conversation; Appendix B keeps them open.</w:t>
      </w:r>
    </w:p>
    <w:p>
      <w:pPr>
        <w:pStyle w:val="Heading2"/>
      </w:pPr>
      <w:r>
        <w:t>Clock controls and unrendered transitions</w:t>
      </w:r>
    </w:p>
    <w:p>
      <w:r>
        <w:t>The world-clock frequency is set through the Escape settings menu; P starts or stops the world clock. Stopping this signal is distinct from pausing all simulation: combinational logic still responds to live sources when the world clock is stopped. The simulator processes every electrical transition, including transitions too fast to animate frame by frame. The core game retains the current settled value and the limited diagnostic information needed to explain errors; it does not keep a complete transition-history log. The clock link is a specially identified Net Link under the same physical-channel rules as other Net Links.</w:t>
      </w:r>
    </w:p>
    <w:p>
      <w:pPr>
        <w:pStyle w:val="Heading1"/>
      </w:pPr>
      <w:r>
        <w:t>3 Physical connections and rotation</w:t>
      </w:r>
    </w:p>
    <w:p>
      <w:pPr>
        <w:pStyle w:val="Heading2"/>
      </w:pPr>
      <w:r>
        <w:t>Terms and capacity</w:t>
      </w:r>
    </w:p>
    <w:p>
      <w:r>
        <w:t>“Connector” means a physical wire, a harness, or a Net Link. An electrical net is a continuous signal made of one or more connected segments; an N-bit harness represents N separately resolved bit nets. A Net Link is a visible, targetable, breakable physical stub whose matching link names connect electrically without a continuous route of ordinary segments. Unlike an early proposal, Net Links consume a physical connection channel. Each block space has at most four independent logical channels. Connector geometry may bend or shift for legibility as more segments are placed, but that must never change existing net membership. A connector path may enter or leave any of the six faces: north, south, east, west, up, or down. Every connector type—wire, harness, and Net Link—may both form a junction and participate in concatenation through any of those six faces, subject to the four-channel capacity and the normal width and collision rules.</w:t>
      </w:r>
    </w:p>
    <w:p>
      <w:pPr>
        <w:pStyle w:val="Heading2"/>
      </w:pPr>
      <w:r>
        <w:t>Pins and targeting</w:t>
      </w:r>
    </w:p>
    <w:p>
      <w:r>
        <w:t>A block face can show up to four circular pins at the centers of a 2 by 2 quadrant grid. The crosshair can target a particular pin or individual channel. Right-click places a selected connector by default; left-click breaks the targeted segment by default. A connector placed while targeting a free pin attaches to it. Only a connector can attach to a component or module pin; adjacent components never connect merely by touching. An occupied pin accepts no second connector. To replace its connector, the player targets and breaks the old segment, then targets the pin and places a new one. Reaching or visually touching another object is insufficient to form an electrical connection.</w:t>
      </w:r>
    </w:p>
    <w:p>
      <w:pPr>
        <w:pStyle w:val="Heading2"/>
      </w:pPr>
      <w:r>
        <w:t>Junctions and crossings</w:t>
      </w:r>
    </w:p>
    <w:p>
      <w:r>
        <w:t>A connector placed while targeting another connector makes an electrical junction. Two paths crossing inside the same cell without targeting one another remain separate. A segment that enters and exits a cell remains electrically continuous. An ordinary wire junction unites one-bit nets; an equal-width harness junction unites corresponding bits, not all bits with one another. Breaking a segment can divide one net into several; each part is then recalculated. Adding a south branch to an existing north-to-east elbow while targeting the elbow makes a T junction; the existing elbow must not be silently turned into a separate north-south path. A physical wire and harness may occupy different channels in the same cell.</w:t>
      </w:r>
    </w:p>
    <w:p>
      <w:pPr>
        <w:pStyle w:val="Heading2"/>
      </w:pPr>
      <w:r>
        <w:t>Visible topology</w:t>
      </w:r>
    </w:p>
    <w:p>
      <w:r>
        <w:t>Electrical connection must be inferable from geometry. An endpoint needs no junction marker. A joined path with two incident directions appears as a straight segment or elbow, without a separate marker. A joined net with three to six incident directions gets a visible junction marker. Count directions separately for each net in the cell; crossing nets do not inflate one another’s count. A crossing without a junction stays visibly separate. Removing a branch updates the shape. A concatenation point has a visibly different marker and always appears, even when only two directions are involved. Procedural geometry is acceptable if these distinctions are clear; individual mesh models for every combination are not mandatory. The user specifically accepted this wording:</w:t>
      </w:r>
    </w:p>
    <w:p>
      <w:pPr>
        <w:pStyle w:val="SpecQuote"/>
      </w:pPr>
      <w:r>
        <w:t>Every junction configuration shall visibly show which connector paths are electrically joined. A crossing without a junction shall remain visibly separate.</w:t>
      </w:r>
    </w:p>
    <w:p>
      <w:pPr>
        <w:pStyle w:val="Heading2"/>
      </w:pPr>
      <w:r>
        <w:t>Crowded selection and invalid actions</w:t>
      </w:r>
    </w:p>
    <w:p>
      <w:r>
        <w:t>Crosshair aim first selects the nearest visible segment; moving to a face quadrant selects that channel. The selected segment gets a bright outline and its connected net a softer highlight. Connector pieces joined into one net share a tag; ordinary tags by themselves never create Net Link connectivity. A small hover readout gives tag, width, current value, and connection count. Scroll or a configurable cycling key selects overlapping segments. When no channel remains or a pin is occupied, briefly flash the pin or four occupied channels red once and play a quiet invalid-action click or buzz. No popup text appears, even after repeated attempts. The red flash is short and singular so it cannot be confused with logic X.</w:t>
      </w:r>
    </w:p>
    <w:p>
      <w:pPr>
        <w:pStyle w:val="Heading2"/>
      </w:pPr>
      <w:r>
        <w:t>Post placement rotation</w:t>
      </w:r>
    </w:p>
    <w:p>
      <w:r>
        <w:t>The final decision allows rotation of a placed component or module. Rotation first auto-pauses, previews the new orientation and any connections that would be lost, and requires confirmation. Any connections that would be lost are highlighted. Existing connector segments stay where they are; only new pin positions that still align with compatible connector ends remain attached. Nothing stretches or reroutes. Any disconnected end follows normal four-state resolution. For a multiblock object, the rotated footprint must fit available empty space or the operation is invalid. This final rule supersedes the temporary suggestion to forbid rotation after placement.</w:t>
      </w:r>
    </w:p>
    <w:p>
      <w:pPr>
        <w:pStyle w:val="Heading2"/>
      </w:pPr>
      <w:r>
        <w:t>Connector appearance</w:t>
      </w:r>
    </w:p>
    <w:p>
      <w:r>
        <w:t>Wire diameter is 0.25 of a block width, with a hitbox matching the thin geometry so players can walk close to it. Straight pieces, 90-degree elbows, and branches can use all six faces. Harnesses have the same diameter and narrow hitbox regardless of width, with a distinctive texture. A Net Link is a straight wire-like stub with a semispherical cap. It remains a physical, visible, targetable, breakable segment even though matching links communicate without a continuous physical chain.</w:t>
      </w:r>
    </w:p>
    <w:p>
      <w:pPr>
        <w:pStyle w:val="Heading1"/>
      </w:pPr>
      <w:r>
        <w:t>4 Harnesses and Net Links</w:t>
      </w:r>
    </w:p>
    <w:p>
      <w:pPr>
        <w:pStyle w:val="Heading2"/>
      </w:pPr>
      <w:r>
        <w:t>Harness representation</w:t>
      </w:r>
    </w:p>
    <w:p>
      <w:r>
        <w:t>A wire carries one bit; a harness carries a packed vector of 1 through 128 bits in one physical channel and does not change its visible diameter with width. Bit indices are [width-1:0]; bit zero is least significant. Every bit has its own 0/1/X/Z value and its own driver resolution. An individual harness is fixed-width. The requested “dynamic width” experience comes from creating a new harness and tag when combining or splitting, not mutating an existing connector’s width in place. The player can inspect the complete packed vector and reorder individual bits or whole recently concatenated groups; grouping metadata is for the editor and does not create electrical coupling.</w:t>
      </w:r>
    </w:p>
    <w:p>
      <w:pPr>
        <w:pStyle w:val="Heading2"/>
      </w:pPr>
      <w:r>
        <w:t>Direct junction versus concatenation</w:t>
      </w:r>
    </w:p>
    <w:p>
      <w:r>
        <w:t>Normal right-click placement onto an existing connector performs a junction. Two wires become one one-bit net. Two equal-width harnesses connect bit i to bit i and remain width N. A direct wire-to-harness or unequal-width harness connection is invalid, as is a direct connector-to-pin width mismatch. This construction rule is deliberately stricter than some SystemVerilog assignment contexts and must be described as a game rule.</w:t>
      </w:r>
    </w:p>
    <w:p>
      <w:r>
        <w:t>Hold Shift while right-clicking during placement to concatenate instead. This is a momentary alternate action, not a persistent mode; controls are remappable and a controller needs an alternate-action modifier. Concatenation creates a visible combination point, a new wider harness, and a new tag. Its width is the sum of participating widths; a result over 128 is invalid. It does not short its inputs together: each original bit net is mapped to one bit position of the result. This mapping does not impose signal-flow direction; direction is determined by the connected drivers and pins. A target wire W plus a new wire V makes a 2-bit harness {W,V} rather than a one-bit junction. The exact accepted electrical principle is:</w:t>
      </w:r>
    </w:p>
    <w:p>
      <w:pPr>
        <w:pStyle w:val="SpecQuote"/>
      </w:pPr>
      <w:r>
        <w:t>A combination or split point maps constituent bits into a packed-vector order but does not impose a signal-flow direction. Each mapped bit remains the same electrical net on both sides of the connection point. Direction comes from the connected component pins and drivers.</w:t>
      </w:r>
    </w:p>
    <w:p>
      <w:pPr>
        <w:pStyle w:val="Heading2"/>
      </w:pPr>
      <w:r>
        <w:t>Universal bit order</w:t>
      </w:r>
    </w:p>
    <w:p>
      <w:r>
        <w:t>For every concatenation, the existing targeted connector or harness group occupies the MSB side; the newly placed or subsequently selected connector occupies the LSB side, independent of width or type. Thus target A[3:0], add B[7:0] yields {A,B}; reverse the target and the result is {B,A}. Adding C later to targeted {A,B} yields {A,B,C}. A normal junction preview highlights the paths that will become continuous and, for harnesses, shows bit-for-bit correspondence without MSB/LSB labels. A concatenation preview instead shows both groups, MSB and LSB roles, resulting width, and its distinct combination shape. The player may reorder groups or bits afterward. This rule supersedes the earlier larger-width-first and equal-width-random proposals.</w:t>
      </w:r>
    </w:p>
    <w:p>
      <w:pPr>
        <w:pStyle w:val="Heading2"/>
      </w:pPr>
      <w:r>
        <w:t>Split and conversion</w:t>
      </w:r>
    </w:p>
    <w:p>
      <w:r>
        <w:t>A configurable split point can map a harness bit to a wire, a range such as [7:4] to another harness, or selected ranges to several connectors. Combination and split points are connection points, not separate block-sized Harness Splitter or Combiner objects. They expose bit mapping for inspection/editing and use the safe structural-edit pause. Direct width changes never occur silently. A separate Width Adapter component explicitly performs zero-extension, sign-extension, or chosen truncation. Zero-extension adds 0 high bits; sign-extension repeats the sign bit into added high bits; truncation discards selected bits. Exact UI for initiating a split, some overlapping-range rules, and adapter handling of all unknown-value corner cases still need a focused spec.</w:t>
      </w:r>
    </w:p>
    <w:p>
      <w:pPr>
        <w:pStyle w:val="Heading2"/>
      </w:pPr>
      <w:r>
        <w:t>Net Link identity and scope</w:t>
      </w:r>
    </w:p>
    <w:p>
      <w:r>
        <w:t>Net Links can be 1 through 128 bits wide. Matching link name, width, and scope joins noncontiguous stubs as corresponding bit nets. A duplicate name in the same scope with a conflicting width is rejected. Link names and ordinary wire tags are case-sensitive, but ordinary tags alone do not create wireless connectivity. The link configuration panel autocompletes existing names and lets the player select one. Top-level Net Links have world scope. A Net Link packaged inside a module is private to each placed instance; matching internal names in separate instances cannot cross-connect except through ports.</w:t>
      </w:r>
    </w:p>
    <w:p>
      <w:pPr>
        <w:pStyle w:val="Heading2"/>
      </w:pPr>
      <w:r>
        <w:t>Wide gates and education</w:t>
      </w:r>
    </w:p>
    <w:p>
      <w:r>
        <w:t>Basic gate width is configurable from 1 through 128, defaults to one, and all of a gate’s ports share the configured width. The operation is bitwise at matching bit indices; wide connections use equal-width harnesses or Net Links. Freeplay can offer these immediately. Education mode initially offers only one-bit primitives; learners construct multi-bit circuits and modules themselves before unlocking optimized width-configurable versions.</w:t>
      </w:r>
    </w:p>
    <w:p>
      <w:pPr>
        <w:pStyle w:val="Heading1"/>
      </w:pPr>
      <w:r>
        <w:t>5 Module lifecycle and packaging</w:t>
      </w:r>
    </w:p>
    <w:p>
      <w:pPr>
        <w:pStyle w:val="Heading2"/>
      </w:pPr>
      <w:r>
        <w:t>Definition and instance</w:t>
      </w:r>
    </w:p>
    <w:p>
      <w:r>
        <w:t>Packaging copies a selected world circuit into a reusable module definition and leaves the original circuit in place. The definition is not connected to the source circuit after packaging, so editing that circuit does not revise the module. The original may be destroyed without destroying the definition. A placed module is a separate instance of the saved design. This mirrors the distinction between a SystemVerilog module definition and its instantiated copies and supports teaching abstraction: modules may contain other modules, so players can build increasingly complex systems. Direct or indirect recursive containment is invalid. A parent definition records exact child-module versions, so a later child update does not alter the parent silently.</w:t>
      </w:r>
    </w:p>
    <w:p>
      <w:pPr>
        <w:pStyle w:val="Heading2"/>
      </w:pPr>
      <w:r>
        <w:t>Packaging region and ports</w:t>
      </w:r>
    </w:p>
    <w:p>
      <w:r>
        <w:t>The existing two-corner selection chooses a rectangular three-dimensional region. The packaging preview identifies boundary-crossing connectors, qualifying Net Links, and exposed component pins as candidate ports; the player can correct inferred direction and remove redundant candidates. Each port records a unique case-sensitive name, direction (input, output, or inout), width 1–128, packed-vector order, exterior face and quadrant/position, stable internal identifier, and exact internal net/bit mapping. Input takes an external driver inward; output drives outward; inout can be driven from either side. All three simulate in the core, though education can introduce inout later. Multiple separate exterior ports may map to one internal net; show that relationship and resolve any driver conflict normally. Direction inference is an editable starting heuristic: internal receivers with no internal driver suggest input; internal drivers suggest output; deliberate bidirectional or tri-state paths suggest inout. The player can correct it before packaging.</w:t>
      </w:r>
    </w:p>
    <w:p>
      <w:r>
        <w:t>The module can expose ports on all six sides, with at most four pins per block face. The previously inconsistent module-length example is corrected: for separate input and output faces, a 12-input/8-output interface requires ceil(max(12,8)/4) = 3 block lengths, counting ports rather than individual bus bits. The final size and pin layout must fit every required physical position. A connector that merely passes through the selected region without connecting to anything inside is ignored. A connector that connects to an object inside qualifies as a port candidate even if nothing is attached to its outside end; packaging cares about the selected circuit’s internal connection. An internal Net Link connected to the selected design is handled under the same boundary/port mapping rules.</w:t>
      </w:r>
    </w:p>
    <w:p>
      <w:pPr>
        <w:pStyle w:val="Heading2"/>
      </w:pPr>
      <w:r>
        <w:t>What is captured</w:t>
      </w:r>
    </w:p>
    <w:p>
      <w:r>
        <w:t>A definition stores layout, components, internal connectors and bit mappings, nested module versions, settings, explicit initialization and reset rules, and ROM/design images. It captures the design, not the running circuit’s current values. A counter that reads 0110 at package time does not make every future copy start at 0110. Runtime register contents, volatile RAM, current transient signals, pending events, clock phase, and simulation time are not copied into the definition. New instances start from defined initialization/reset values or X. Each instance has independent internal nets, Net Links, memory, register state, event state, and hierarchical identity. Its instance name is unique within its containing world or module. Copying an instance creates a fresh instance; removing an instance discards its internal runtime state; rotation of the same instance preserves it. A live internal viewer shows the selected placed instance’s actual current state and permits navigation into nested child instances without modifying it.</w:t>
      </w:r>
    </w:p>
    <w:p>
      <w:pPr>
        <w:pStyle w:val="Heading2"/>
      </w:pPr>
      <w:r>
        <w:t>Placement</w:t>
      </w:r>
    </w:p>
    <w:p>
      <w:r>
        <w:t>A multi-block module occupies its entire required footprint. The preview shows orientation, port layout, and obstructed cells. Every target cell must be empty; otherwise placement fails atomically and uses the same brief red flash and quiet invalid-action sound as other invalid placements. The module never overwrites or partially overlaps existing blocks. The rotation rule from Section 3 applies to already placed modules with an additional complete-footprint fit check.</w:t>
      </w:r>
    </w:p>
    <w:p>
      <w:pPr>
        <w:pStyle w:val="Heading2"/>
      </w:pPr>
      <w:r>
        <w:t>Creating versions and upgrading</w:t>
      </w:r>
    </w:p>
    <w:p>
      <w:r>
        <w:t>There can be more than two versions. The only way to add a version is to make or edit an ordinary circuit and package it again, selecting “new version of existing module.” Repackaging the old source or a re-expanded copy are both valid workflows. An edit to a source circuit alone creates no module version because the packaged definition has no live source link. Existing placed instances remain pinned to their exact versions; new placements use the newest version by default. The player deliberately upgrades compatible instances individually or in a group. This is important because a faulty design can be corrected once and used to upgrade many instances without replacing every block by hand; pinning prevents an update from silently altering working worlds.</w:t>
      </w:r>
    </w:p>
    <w:p>
      <w:r>
        <w:t xml:space="preserve">In-place version upgrade requires matching case-sensitive port names, directions, widths, packed-vector ordering, exterior pin coordinates/faces/quadrants, and module footprint. Internal circuitry may differ. An incompatible interface or footprint cannot be migrated in place. A changed-interface or changed-footprint design can be packaged as a separate module. </w:t>
      </w:r>
      <w:r>
        <w:rPr>
          <w:b/>
        </w:rPr>
        <w:t>Open:</w:t>
      </w:r>
      <w:r>
        <w:t xml:space="preserve"> whether an incompatible revision may also be stored under the same family for new placements. The confirmed restriction is that it cannot be used for an incompatible in-place upgrade; family membership alone does not establish upgrade compatibility. Upgrade auto-pauses and settles safely. The upgraded instance starts fresh from the selected version’s initialization; old registers, volatile memory, pending events, and nonvolatile memory do not transfer. Warn clearly before an upgrade would replace existing nonvolatile contents. A later explicit memory-migration tool remains possible, but is not part of the accepted core behavior.</w:t>
      </w:r>
    </w:p>
    <w:p>
      <w:pPr>
        <w:pStyle w:val="Heading2"/>
      </w:pPr>
      <w:r>
        <w:t>Library and world independence</w:t>
      </w:r>
    </w:p>
    <w:p>
      <w:r>
        <w:t>A module version may not be deleted from the global library while indexed saved worlds use it; it may be archived out of ordinary inventory while retained for those worlds. A world save embeds every exact referenced module version and nested dependency, with module family ID, module version ID, embedded-definition integrity hash, and instance ID, so a missing global library entry can be supplied by the saved copy. Loading should verify the exact definition, avoid silent substitution of a newer version, and offer to restore a missing global entry. If both global and embedded definitions are missing or damaged, the world still loads with a visibly marked placeholder retaining footprint, pins, and connections. Its output and inout ports drive X; the player can relink an exact compatible definition. A missing module is never silently deleted.</w:t>
      </w:r>
    </w:p>
    <w:p>
      <w:pPr>
        <w:pStyle w:val="Heading2"/>
      </w:pPr>
      <w:r>
        <w:t>Physical re expansion final rule</w:t>
      </w:r>
    </w:p>
    <w:p>
      <w:r>
        <w:t xml:space="preserve">After a temporary decision to remove physical re-expansion, the user restored it because a destroyed source circuit should be recoverable for editing and repackaging. “Expand Module” places a </w:t>
      </w:r>
      <w:r>
        <w:rPr>
          <w:b/>
        </w:rPr>
        <w:t>new editable copy of the saved circuit design and layout</w:t>
      </w:r>
      <w:r>
        <w:t xml:space="preserve"> in the world. It does not replace a placed instance, update the library definition, or copy a live instance’s current state. The player targets the cell intended to be the </w:t>
      </w:r>
      <w:r>
        <w:rPr>
          <w:b/>
        </w:rPr>
        <w:t>bottom-right corner</w:t>
      </w:r>
      <w:r>
        <w:t xml:space="preserve"> of the circuit. A ghost shows the complete saved footprint and orientation. All required cells must be empty; if not, nothing is placed and the usual invalid-action effects occur. The expanded design starts from defined initial conditions. The definition must therefore retain its original spatial layout, not only its functional netlist. The new editable copy can be changed and packaged as a new version. The separate live internal viewer remains available for inspection. The exact view-dependent 3D meaning of “bottom-right” and the command’s entry point still need a UI convention.</w:t>
      </w:r>
    </w:p>
    <w:p>
      <w:pPr>
        <w:pStyle w:val="Heading2"/>
      </w:pPr>
      <w:r>
        <w:t>Selection and package configuration</w:t>
      </w:r>
    </w:p>
    <w:p>
      <w:r>
        <w:t>Target a block, connector, component, or existing module and press R for the first corner, then T on a second object for the opposite corner. Show the rectangular bounding box while selecting. R and T may revise either corner before Enter/Return confirms it. For corners (0,0,0) and (5,5,5), the eight corners are (0,0,0), (5,0,0), (0,5,0), (5,5,0), (0,0,5), (5,0,5), (0,5,5), and (5,5,5).</w:t>
      </w:r>
    </w:p>
    <w:p>
      <w:r>
        <w:t>The package configuration page has seven areas in three rows: a top preview that rotates by click-and-drag, then two rows of three lists corresponding to the six exterior faces. Drag ports between face lists to move them, edit their mappings and directions, and choose module dimensions. An exposed pin qualifies when it lies on the selection boundary and faces outward so a connector outside could reach it. The original input/output tests also include a boundary-crossing wire or harness attached to an internal input/output, and an internal Net Link attached to such a pin. Apply the confirmed pass-through exclusion and editable input/output/inout inference above to these candidates.</w:t>
      </w:r>
    </w:p>
    <w:p>
      <w:r>
        <w:t xml:space="preserve">By default place inputs on one side and outputs on the opposite side, like faces 1 and 6 of a die, with the default one-block-high length calculated using ceiling(max(input ports, output ports)/4). A single block supports at most 24 pins across six faces. Larger interfaces require a larger object. One 128-bit bus pin still takes one quadrant. </w:t>
      </w:r>
      <w:r>
        <w:rPr>
          <w:b/>
        </w:rPr>
        <w:t>Open:</w:t>
      </w:r>
      <w:r>
        <w:t xml:space="preserve"> default arrangement of inout ports and a zero-port minimum footprint.</w:t>
      </w:r>
    </w:p>
    <w:p>
      <w:r>
        <w:t>The module must remain a rectangular prism. With 32 input ports on one face, the player can choose a face 1 by 8, 2 by 4, 4 by 2, or 8 by 1 blocks. A 3 by 3 face supplies 36 positions, leaving one block face unused. Layout choices must have enough positions for every port.</w:t>
      </w:r>
    </w:p>
    <w:p>
      <w:r>
        <w:t>The Confirm button is at the bottom of the configuration page. Confirmation adds the reusable module object to the inventory and global module library, accessible in every world. Players can place unlimited instances, subject to available world space and performance. Packaging does not remove the original build.</w:t>
      </w:r>
    </w:p>
    <w:p>
      <w:pPr>
        <w:pStyle w:val="Heading2"/>
      </w:pPr>
      <w:r>
        <w:t>Educational fidelity and optimization</w:t>
      </w:r>
    </w:p>
    <w:p>
      <w:r>
        <w:t xml:space="preserve">Do not automatically redesign a player-made module into a logically simplified or structurally different circuit that hides the design the player actually built. The original aim is to let players compare efficient and inefficient designs. General simulation and storage optimization is allowed while preserving modeled behavior and the captured circuit shown in the live viewer. With zero physical delay, simulator CPU time cannot stand in for real circuit speed. </w:t>
      </w:r>
      <w:r>
        <w:rPr>
          <w:b/>
        </w:rPr>
        <w:t>Open:</w:t>
      </w:r>
      <w:r>
        <w:t xml:space="preserve"> the exact invariant list for intermediate signals, gate counts, event ordering, and optimization boundaries.</w:t>
      </w:r>
    </w:p>
    <w:p>
      <w:pPr>
        <w:pStyle w:val="Heading1"/>
      </w:pPr>
      <w:r>
        <w:t>6 Components and RTL timing</w:t>
      </w:r>
    </w:p>
    <w:p>
      <w:pPr>
        <w:pStyle w:val="Heading2"/>
      </w:pPr>
      <w:r>
        <w:t>Primary timing model</w:t>
      </w:r>
    </w:p>
    <w:p>
      <w:r>
        <w:t>The core is functional RTL simulation. Gates have zero modeled physical propagation delay; wires, harnesses, and Net Links have zero modeled physical interconnect delay; there is no clock-to-Q or setup/hold timing model. A gate type or individual gate instance cannot set a physical delay in the core. Event ordering, nonblocking updates, delta cycles, derived clocks, and convergence handling still apply, so “zero physical delay” does not mean ignoring event order. Circuit structure can be compared using gate count, registers, memory, fanout, logic depth, and clock cycles per result, but the game cannot infer a real implementation’s maximum clock frequency without a technology and layout model. Engine runtime is simulator performance, not the circuit’s physical timing.</w:t>
      </w:r>
    </w:p>
    <w:p>
      <w:r>
        <w:t>A future implementation-timing mode may use technology-specific cell and interconnect delays, rise/fall differences, clock-to-Q, setup/hold checks, glitch and short-pulse behavior, annotated timing data, and critical-path/slack views. It should be separate from the core RTL rules and based on a chosen target technology/layout. The earlier dual-profile timed-mode proposal is not a current requirement.</w:t>
      </w:r>
    </w:p>
    <w:p>
      <w:pPr>
        <w:pStyle w:val="Heading2"/>
      </w:pPr>
      <w:r>
        <w:t>Decoded seven segment display</w:t>
      </w:r>
    </w:p>
    <w:p>
      <w:r>
        <w:t>One component supports a configurable one through ten digits. Each digit receives its own four-bit nibble; there is no separate scan/address input. D0 controls the rightmost digit; larger indices run leftward. A fully known nibble displays the hexadecimal character 0 through F. A disconnected nibble reads ZZZZ. An input containing X or Z must not display a falsely definite numeral. The confirmed visual behavior is that all seven segments pulse red if any input bit is X; otherwise, all seven segments show steady gray if any bit is Z. X has priority when both occur. Inspection shows the exact four-bit value. A raw seven-segment device with separate segment, decimal-point, and digit-enable pins is an advanced/future component, and education may require the learner to build a decoder before unlocking the convenience display.</w:t>
      </w:r>
    </w:p>
    <w:p>
      <w:pPr>
        <w:pStyle w:val="Heading2"/>
      </w:pPr>
      <w:r>
        <w:t>Default up counter</w:t>
      </w:r>
    </w:p>
    <w:p>
      <w:r>
        <w:t>The default counter width is configurable from 1 through 128 bits. It increments by one on the rising edge of its input clock when optional Enable permits. Active-high Reset is synchronous and clears count and overflow to zero. At maximum value, the next enabled edge wraps count to zero and raises Overflow for one complete counter-clock period. Overflow clears at the following rising edge even if Enable is then low. Sticky overflow and asynchronous-reset variants may be separate future components; they are not the default.</w:t>
      </w:r>
    </w:p>
    <w:p>
      <w:pPr>
        <w:pStyle w:val="Heading2"/>
      </w:pPr>
      <w:r>
        <w:t>Clock divider</w:t>
      </w:r>
    </w:p>
    <w:p>
      <w:r>
        <w:t>N is a configuration setting, not a live signal input. It is a positive integer divisor. N=1 passes the input clock through; for larger N the output frequency is input frequency divided by N. Even N gives 50 percent duty cycle; odd N uses the nearest possible duty cycle, with the low interval one input-clock period longer than the high interval. Reset sets output to zero and restarts the internal count. Editing N auto-pauses and restarts count and phase. A world-clock frequency change does not reset a player-created divider driven by it: the divider retains its internal count and output phase and responds normally to future input edges. A separate future programmable divider could expose N as an input signal and specify its live-update behavior. This accepted direct-divisor definition supersedes the older design-document idea of N as an exponent in 2^N; the merger must not retain both as the same component.</w:t>
      </w:r>
    </w:p>
    <w:p>
      <w:pPr>
        <w:pStyle w:val="Heading2"/>
      </w:pPr>
      <w:r>
        <w:t>Multiplexer</w:t>
      </w:r>
    </w:p>
    <w:p>
      <w:r>
        <w:t>Input count N retains the original range of 2–32, with inputs I0 through I(N-1) and output Y; all data inputs and output have the same width. Select width is ceil(log2(number of inputs)). A fully known valid select chooses that input. A fully known code with no input, such as 11 on a three-input MUX, yields X on every output bit. If select contains X or Z, consider every possible selected input and merge each output bit: a bit remains known only if all possible choices agree; otherwise it is X. A possible invalid index contributes X. This is the defined SiliconSandbox MUX policy, not a blanket assertion that every SystemVerilog case or indexed-array formulation behaves this way under every VCS option.</w:t>
      </w:r>
    </w:p>
    <w:p>
      <w:pPr>
        <w:pStyle w:val="Heading2"/>
      </w:pPr>
      <w:r>
        <w:t>SR storage</w:t>
      </w:r>
    </w:p>
    <w:p>
      <w:r>
        <w:t>There are separate level-sensitive SR latch and edge-sampled SR flip-flop components. Inputs S and R are active high; both components expose Q and Q_bar. S,R=00 holds, 01 resets Q to zero, 10 sets Q to one, and 11 makes Q unknown X. The default SR flip-flop samples this table on rising CLK; the latch responds to S/R levels. A later definite set or reset can recover from X; hold retains an existing X. Q_bar is also X in the invalid condition. This is a digital uncertainty policy, not an analog metastability model.</w:t>
      </w:r>
    </w:p>
    <w:p>
      <w:pPr>
        <w:pStyle w:val="Heading2"/>
      </w:pPr>
      <w:r>
        <w:t>Pulse source</w:t>
      </w:r>
    </w:p>
    <w:p>
      <w:r>
        <w:t>Idle output is zero. Clicking schedules a pulse to start at the next rising edge of the world clock; clicking while paused arms it for resume. Pulse length is a configurable positive whole number of world-clock cycles, default one. It returns low on the appropriate later rising edge. Repeated clicks while a pulse is pending or active queue at most one additional pulse, with at least one full low cycle between pulses. Reset clears active and pending pulses. Idle, armed, and active states are visible. An asynchronous pushbutton can be a separate future source.</w:t>
      </w:r>
    </w:p>
    <w:p>
      <w:pPr>
        <w:pStyle w:val="Heading2"/>
      </w:pPr>
      <w:r>
        <w:t>Sources on load and reset</w:t>
      </w:r>
    </w:p>
    <w:p>
      <w:r>
        <w:t>A Constant Logic Source has a configurable width from 1 through 128 bits, with a default width of one bit. It stores a configured four-state scalar or vector value; every bit may independently be 0, 1, X, or Z, and the default configured value is one on every bit. The source also stores a configured initial On/Off state. Loading the world or using Reset Simulation restores both that initial state and the configured value. While On, the source drives its configured value. While Off, it drives zero on every bit; a player who wants the source to release a net may configure its On value as Z. Right-clicking the source toggles only its current runtime On/Off state and does not rewrite its configured initial state, configured value, or create a live checkpoint. Right-click source toggling still needs an interaction-precedence rule alongside right-click placement. A separate switch/toggle source defaults to initial zero unless configured otherwise. Pulse output resets to idle zero and loses pending activation while keeping its configured duration. World clock resets to level zero and restarts phase while keeping configured frequency. Explicit initial conditions restore on load and Reset Simulation; otherwise stored four-state values use the X rule.</w:t>
      </w:r>
      <w:r>
        <w:rPr>
          <w:b/>
        </w:rPr>
      </w:r>
      <w:r/>
    </w:p>
    <w:p>
      <w:pPr>
        <w:pStyle w:val="Heading2"/>
      </w:pPr>
      <w:r>
        <w:t>Original catalog retained alongside clarified components</w:t>
      </w:r>
    </w:p>
    <w:p>
      <w:r>
        <w:t>The catalog below preserves components and parameter ranges not replaced by later decisions. Basic gates use matching-bit four-state operations at the configurable width in Section 4. The defined SR invalid-state rule above overrides a literal NOR-latch implementation’s forbidden-state outputs. Unknown-control truth tables not explicitly settled by the chat remain open; do not invent a two-state fallback.</w:t>
      </w:r>
    </w:p>
    <w:tbl>
      <w:tblPr>
        <w:tblW w:type="auto" w:w="0"/>
        <w:tblLayout w:type="fixed"/>
        <w:tblLook w:firstColumn="1" w:firstRow="1" w:lastColumn="0" w:lastRow="0" w:noHBand="0" w:noVBand="1" w:val="04A0"/>
      </w:tblPr>
      <w:tblGrid>
        <w:gridCol w:w="1656"/>
        <w:gridCol w:w="8280"/>
      </w:tblGrid>
      <w:tr>
        <w:trPr>
          <w:cantSplit/>
          <w:tblHeader/>
        </w:trPr>
        <w:tc>
          <w:tcPr>
            <w:tcW w:type="dxa" w:w="1656"/>
            <w:tcMar>
              <w:top w:w="75" w:type="dxa"/>
              <w:bottom w:w="75" w:type="dxa"/>
              <w:left w:w="75" w:type="dxa"/>
              <w:right w:w="75" w:type="dxa"/>
            </w:tcMar>
            <w:shd w:fill="E7E6E6"/>
          </w:tcPr>
          <w:p>
            <w:pPr>
              <w:spacing w:after="60" w:line="245" w:lineRule="auto"/>
            </w:pPr>
            <w:r>
              <w:rPr>
                <w:b/>
                <w:sz w:val="19"/>
              </w:rPr>
              <w:t>Gate</w:t>
            </w:r>
          </w:p>
        </w:tc>
        <w:tc>
          <w:tcPr>
            <w:tcW w:type="dxa" w:w="8280"/>
            <w:tcMar>
              <w:top w:w="75" w:type="dxa"/>
              <w:bottom w:w="75" w:type="dxa"/>
              <w:left w:w="75" w:type="dxa"/>
              <w:right w:w="75" w:type="dxa"/>
            </w:tcMar>
            <w:shd w:fill="E7E6E6"/>
          </w:tcPr>
          <w:p>
            <w:pPr>
              <w:spacing w:after="60" w:line="245" w:lineRule="auto"/>
            </w:pPr>
            <w:r>
              <w:rPr>
                <w:b/>
                <w:sz w:val="19"/>
              </w:rPr>
              <w:t>Defined operation</w:t>
            </w:r>
          </w:p>
        </w:tc>
      </w:tr>
      <w:tr>
        <w:trPr>
          <w:cantSplit/>
        </w:trPr>
        <w:tc>
          <w:tcPr>
            <w:tcW w:type="dxa" w:w="1656"/>
            <w:tcMar>
              <w:top w:w="75" w:type="dxa"/>
              <w:bottom w:w="75" w:type="dxa"/>
              <w:left w:w="75" w:type="dxa"/>
              <w:right w:w="75" w:type="dxa"/>
            </w:tcMar>
          </w:tcPr>
          <w:p>
            <w:pPr>
              <w:spacing w:after="60" w:line="245" w:lineRule="auto"/>
            </w:pPr>
            <w:r>
              <w:rPr>
                <w:b w:val="0"/>
                <w:sz w:val="19"/>
              </w:rPr>
              <w:t>BUFFER</w:t>
            </w:r>
          </w:p>
        </w:tc>
        <w:tc>
          <w:tcPr>
            <w:tcW w:type="dxa" w:w="8280"/>
            <w:tcMar>
              <w:top w:w="75" w:type="dxa"/>
              <w:bottom w:w="75" w:type="dxa"/>
              <w:left w:w="75" w:type="dxa"/>
              <w:right w:w="75" w:type="dxa"/>
            </w:tcMar>
          </w:tcPr>
          <w:p>
            <w:pPr>
              <w:spacing w:after="60" w:line="245" w:lineRule="auto"/>
            </w:pPr>
            <w:r>
              <w:rPr>
                <w:b w:val="0"/>
                <w:sz w:val="19"/>
              </w:rPr>
              <w:t>Single-input, single-output directional signal pass-through. Output equals Input (Y = A). Used to enforce directional signal flow or isolate sub-circuits.</w:t>
            </w:r>
          </w:p>
        </w:tc>
      </w:tr>
      <w:tr>
        <w:trPr>
          <w:cantSplit/>
        </w:trPr>
        <w:tc>
          <w:tcPr>
            <w:tcW w:type="dxa" w:w="1656"/>
            <w:tcMar>
              <w:top w:w="75" w:type="dxa"/>
              <w:bottom w:w="75" w:type="dxa"/>
              <w:left w:w="75" w:type="dxa"/>
              <w:right w:w="75" w:type="dxa"/>
            </w:tcMar>
          </w:tcPr>
          <w:p>
            <w:pPr>
              <w:spacing w:after="60" w:line="245" w:lineRule="auto"/>
            </w:pPr>
            <w:r>
              <w:rPr>
                <w:b w:val="0"/>
                <w:sz w:val="19"/>
              </w:rPr>
              <w:t>NOT</w:t>
            </w:r>
          </w:p>
        </w:tc>
        <w:tc>
          <w:tcPr>
            <w:tcW w:type="dxa" w:w="8280"/>
            <w:tcMar>
              <w:top w:w="75" w:type="dxa"/>
              <w:bottom w:w="75" w:type="dxa"/>
              <w:left w:w="75" w:type="dxa"/>
              <w:right w:w="75" w:type="dxa"/>
            </w:tcMar>
          </w:tcPr>
          <w:p>
            <w:pPr>
              <w:spacing w:after="60" w:line="245" w:lineRule="auto"/>
            </w:pPr>
            <w:r>
              <w:rPr>
                <w:b w:val="0"/>
                <w:sz w:val="19"/>
              </w:rPr>
              <w:t>Single-input inverter. Output is the logical negation of the input (Y = ~A).</w:t>
            </w:r>
          </w:p>
        </w:tc>
      </w:tr>
      <w:tr>
        <w:trPr>
          <w:cantSplit/>
        </w:trPr>
        <w:tc>
          <w:tcPr>
            <w:tcW w:type="dxa" w:w="1656"/>
            <w:tcMar>
              <w:top w:w="75" w:type="dxa"/>
              <w:bottom w:w="75" w:type="dxa"/>
              <w:left w:w="75" w:type="dxa"/>
              <w:right w:w="75" w:type="dxa"/>
            </w:tcMar>
          </w:tcPr>
          <w:p>
            <w:pPr>
              <w:spacing w:after="60" w:line="245" w:lineRule="auto"/>
            </w:pPr>
            <w:r>
              <w:rPr>
                <w:b w:val="0"/>
                <w:sz w:val="19"/>
              </w:rPr>
              <w:t>AND</w:t>
            </w:r>
          </w:p>
        </w:tc>
        <w:tc>
          <w:tcPr>
            <w:tcW w:type="dxa" w:w="8280"/>
            <w:tcMar>
              <w:top w:w="75" w:type="dxa"/>
              <w:bottom w:w="75" w:type="dxa"/>
              <w:left w:w="75" w:type="dxa"/>
              <w:right w:w="75" w:type="dxa"/>
            </w:tcMar>
          </w:tcPr>
          <w:p>
            <w:pPr>
              <w:spacing w:after="60" w:line="245" w:lineRule="auto"/>
            </w:pPr>
            <w:r>
              <w:rPr>
                <w:b w:val="0"/>
                <w:sz w:val="19"/>
              </w:rPr>
              <w:t>2-input logic gate. Output is HIGH (1) if and only if both inputs are HIGH (Y = A &amp; B).</w:t>
            </w:r>
          </w:p>
        </w:tc>
      </w:tr>
      <w:tr>
        <w:trPr>
          <w:cantSplit/>
        </w:trPr>
        <w:tc>
          <w:tcPr>
            <w:tcW w:type="dxa" w:w="1656"/>
            <w:tcMar>
              <w:top w:w="75" w:type="dxa"/>
              <w:bottom w:w="75" w:type="dxa"/>
              <w:left w:w="75" w:type="dxa"/>
              <w:right w:w="75" w:type="dxa"/>
            </w:tcMar>
          </w:tcPr>
          <w:p>
            <w:pPr>
              <w:spacing w:after="60" w:line="245" w:lineRule="auto"/>
            </w:pPr>
            <w:r>
              <w:rPr>
                <w:b w:val="0"/>
                <w:sz w:val="19"/>
              </w:rPr>
              <w:t>NAND</w:t>
            </w:r>
          </w:p>
        </w:tc>
        <w:tc>
          <w:tcPr>
            <w:tcW w:type="dxa" w:w="8280"/>
            <w:tcMar>
              <w:top w:w="75" w:type="dxa"/>
              <w:bottom w:w="75" w:type="dxa"/>
              <w:left w:w="75" w:type="dxa"/>
              <w:right w:w="75" w:type="dxa"/>
            </w:tcMar>
          </w:tcPr>
          <w:p>
            <w:pPr>
              <w:spacing w:after="60" w:line="245" w:lineRule="auto"/>
            </w:pPr>
            <w:r>
              <w:rPr>
                <w:b w:val="0"/>
                <w:sz w:val="19"/>
              </w:rPr>
              <w:t>2-input logic gate. Output is LOW (0) if and only if both inputs are HIGH (Y = ~(A &amp; B)). Universal logic gate.</w:t>
            </w:r>
          </w:p>
        </w:tc>
      </w:tr>
      <w:tr>
        <w:trPr>
          <w:cantSplit/>
        </w:trPr>
        <w:tc>
          <w:tcPr>
            <w:tcW w:type="dxa" w:w="1656"/>
            <w:tcMar>
              <w:top w:w="75" w:type="dxa"/>
              <w:bottom w:w="75" w:type="dxa"/>
              <w:left w:w="75" w:type="dxa"/>
              <w:right w:w="75" w:type="dxa"/>
            </w:tcMar>
          </w:tcPr>
          <w:p>
            <w:pPr>
              <w:spacing w:after="60" w:line="245" w:lineRule="auto"/>
            </w:pPr>
            <w:r>
              <w:rPr>
                <w:b w:val="0"/>
                <w:sz w:val="19"/>
              </w:rPr>
              <w:t>OR</w:t>
            </w:r>
          </w:p>
        </w:tc>
        <w:tc>
          <w:tcPr>
            <w:tcW w:type="dxa" w:w="8280"/>
            <w:tcMar>
              <w:top w:w="75" w:type="dxa"/>
              <w:bottom w:w="75" w:type="dxa"/>
              <w:left w:w="75" w:type="dxa"/>
              <w:right w:w="75" w:type="dxa"/>
            </w:tcMar>
          </w:tcPr>
          <w:p>
            <w:pPr>
              <w:spacing w:after="60" w:line="245" w:lineRule="auto"/>
            </w:pPr>
            <w:r>
              <w:rPr>
                <w:b w:val="0"/>
                <w:sz w:val="19"/>
              </w:rPr>
              <w:t>2-input logic gate. Output is HIGH (1) if at least one input is HIGH (Y = A | B).</w:t>
            </w:r>
          </w:p>
        </w:tc>
      </w:tr>
      <w:tr>
        <w:trPr>
          <w:cantSplit/>
        </w:trPr>
        <w:tc>
          <w:tcPr>
            <w:tcW w:type="dxa" w:w="1656"/>
            <w:tcMar>
              <w:top w:w="75" w:type="dxa"/>
              <w:bottom w:w="75" w:type="dxa"/>
              <w:left w:w="75" w:type="dxa"/>
              <w:right w:w="75" w:type="dxa"/>
            </w:tcMar>
          </w:tcPr>
          <w:p>
            <w:pPr>
              <w:spacing w:after="60" w:line="245" w:lineRule="auto"/>
            </w:pPr>
            <w:r>
              <w:rPr>
                <w:b w:val="0"/>
                <w:sz w:val="19"/>
              </w:rPr>
              <w:t>NOR</w:t>
            </w:r>
          </w:p>
        </w:tc>
        <w:tc>
          <w:tcPr>
            <w:tcW w:type="dxa" w:w="8280"/>
            <w:tcMar>
              <w:top w:w="75" w:type="dxa"/>
              <w:bottom w:w="75" w:type="dxa"/>
              <w:left w:w="75" w:type="dxa"/>
              <w:right w:w="75" w:type="dxa"/>
            </w:tcMar>
          </w:tcPr>
          <w:p>
            <w:pPr>
              <w:spacing w:after="60" w:line="245" w:lineRule="auto"/>
            </w:pPr>
            <w:r>
              <w:rPr>
                <w:b w:val="0"/>
                <w:sz w:val="19"/>
              </w:rPr>
              <w:t>2-input logic gate. Output is HIGH (1) if and only if both inputs are LOW (Y = ~(A | B)). Universal logic gate.</w:t>
            </w:r>
          </w:p>
        </w:tc>
      </w:tr>
      <w:tr>
        <w:trPr>
          <w:cantSplit/>
        </w:trPr>
        <w:tc>
          <w:tcPr>
            <w:tcW w:type="dxa" w:w="1656"/>
            <w:tcMar>
              <w:top w:w="75" w:type="dxa"/>
              <w:bottom w:w="75" w:type="dxa"/>
              <w:left w:w="75" w:type="dxa"/>
              <w:right w:w="75" w:type="dxa"/>
            </w:tcMar>
          </w:tcPr>
          <w:p>
            <w:pPr>
              <w:spacing w:after="60" w:line="245" w:lineRule="auto"/>
            </w:pPr>
            <w:r>
              <w:rPr>
                <w:b w:val="0"/>
                <w:sz w:val="19"/>
              </w:rPr>
              <w:t>XOR</w:t>
            </w:r>
          </w:p>
        </w:tc>
        <w:tc>
          <w:tcPr>
            <w:tcW w:type="dxa" w:w="8280"/>
            <w:tcMar>
              <w:top w:w="75" w:type="dxa"/>
              <w:bottom w:w="75" w:type="dxa"/>
              <w:left w:w="75" w:type="dxa"/>
              <w:right w:w="75" w:type="dxa"/>
            </w:tcMar>
          </w:tcPr>
          <w:p>
            <w:pPr>
              <w:spacing w:after="60" w:line="245" w:lineRule="auto"/>
            </w:pPr>
            <w:r>
              <w:rPr>
                <w:b w:val="0"/>
                <w:sz w:val="19"/>
              </w:rPr>
              <w:t>2-input exclusive OR gate. Output is HIGH (1) if exactly one input is HIGH (Y = A ^ B).</w:t>
            </w:r>
          </w:p>
        </w:tc>
      </w:tr>
      <w:tr>
        <w:trPr>
          <w:cantSplit/>
        </w:trPr>
        <w:tc>
          <w:tcPr>
            <w:tcW w:type="dxa" w:w="1656"/>
            <w:tcMar>
              <w:top w:w="75" w:type="dxa"/>
              <w:bottom w:w="75" w:type="dxa"/>
              <w:left w:w="75" w:type="dxa"/>
              <w:right w:w="75" w:type="dxa"/>
            </w:tcMar>
          </w:tcPr>
          <w:p>
            <w:pPr>
              <w:spacing w:after="60" w:line="245" w:lineRule="auto"/>
            </w:pPr>
            <w:r>
              <w:rPr>
                <w:b w:val="0"/>
                <w:sz w:val="19"/>
              </w:rPr>
              <w:t>XNOR</w:t>
            </w:r>
          </w:p>
        </w:tc>
        <w:tc>
          <w:tcPr>
            <w:tcW w:type="dxa" w:w="8280"/>
            <w:tcMar>
              <w:top w:w="75" w:type="dxa"/>
              <w:bottom w:w="75" w:type="dxa"/>
              <w:left w:w="75" w:type="dxa"/>
              <w:right w:w="75" w:type="dxa"/>
            </w:tcMar>
          </w:tcPr>
          <w:p>
            <w:pPr>
              <w:spacing w:after="60" w:line="245" w:lineRule="auto"/>
            </w:pPr>
            <w:r>
              <w:rPr>
                <w:b w:val="0"/>
                <w:sz w:val="19"/>
              </w:rPr>
              <w:t>2-input exclusive NOR gate. Output is HIGH (1) if both inputs are identical (Y = ~(A ^ B)).</w:t>
            </w:r>
          </w:p>
        </w:tc>
      </w:tr>
    </w:tbl>
    <w:p>
      <w:pPr>
        <w:spacing w:after="0"/>
      </w:pPr>
    </w:p>
    <w:tbl>
      <w:tblPr>
        <w:tblW w:type="auto" w:w="0"/>
        <w:tblLayout w:type="fixed"/>
        <w:tblLook w:firstColumn="1" w:firstRow="1" w:lastColumn="0" w:lastRow="0" w:noHBand="0" w:noVBand="1" w:val="04A0"/>
      </w:tblPr>
      <w:tblGrid>
        <w:gridCol w:w="2088"/>
        <w:gridCol w:w="7848"/>
      </w:tblGrid>
      <w:tr>
        <w:trPr>
          <w:cantSplit/>
          <w:tblHeader/>
        </w:trPr>
        <w:tc>
          <w:tcPr>
            <w:tcW w:type="dxa" w:w="2088"/>
            <w:tcMar>
              <w:top w:w="75" w:type="dxa"/>
              <w:bottom w:w="75" w:type="dxa"/>
              <w:left w:w="75" w:type="dxa"/>
              <w:right w:w="75" w:type="dxa"/>
            </w:tcMar>
            <w:shd w:fill="E7E6E6"/>
          </w:tcPr>
          <w:p>
            <w:pPr>
              <w:spacing w:after="60" w:line="245" w:lineRule="auto"/>
            </w:pPr>
            <w:r>
              <w:rPr>
                <w:b/>
                <w:sz w:val="19"/>
              </w:rPr>
              <w:t>Component</w:t>
            </w:r>
          </w:p>
        </w:tc>
        <w:tc>
          <w:tcPr>
            <w:tcW w:type="dxa" w:w="7848"/>
            <w:tcMar>
              <w:top w:w="75" w:type="dxa"/>
              <w:bottom w:w="75" w:type="dxa"/>
              <w:left w:w="75" w:type="dxa"/>
              <w:right w:w="75" w:type="dxa"/>
            </w:tcMar>
            <w:shd w:fill="E7E6E6"/>
          </w:tcPr>
          <w:p>
            <w:pPr>
              <w:spacing w:after="60" w:line="245" w:lineRule="auto"/>
            </w:pPr>
            <w:r>
              <w:rPr>
                <w:b/>
                <w:sz w:val="19"/>
              </w:rPr>
              <w:t>Retained definition</w:t>
            </w:r>
          </w:p>
        </w:tc>
      </w:tr>
      <w:tr>
        <w:trPr>
          <w:cantSplit/>
        </w:trPr>
        <w:tc>
          <w:tcPr>
            <w:tcW w:type="dxa" w:w="2088"/>
            <w:tcMar>
              <w:top w:w="75" w:type="dxa"/>
              <w:bottom w:w="75" w:type="dxa"/>
              <w:left w:w="75" w:type="dxa"/>
              <w:right w:w="75" w:type="dxa"/>
            </w:tcMar>
          </w:tcPr>
          <w:p>
            <w:pPr>
              <w:spacing w:after="60" w:line="245" w:lineRule="auto"/>
            </w:pPr>
            <w:r>
              <w:rPr>
                <w:b w:val="0"/>
                <w:sz w:val="19"/>
              </w:rPr>
              <w:t>D latch</w:t>
            </w:r>
          </w:p>
        </w:tc>
        <w:tc>
          <w:tcPr>
            <w:tcW w:type="dxa" w:w="7848"/>
            <w:tcMar>
              <w:top w:w="75" w:type="dxa"/>
              <w:bottom w:w="75" w:type="dxa"/>
              <w:left w:w="75" w:type="dxa"/>
              <w:right w:w="75" w:type="dxa"/>
            </w:tcMar>
          </w:tcPr>
          <w:p>
            <w:pPr>
              <w:spacing w:after="60" w:line="245" w:lineRule="auto"/>
            </w:pPr>
            <w:r>
              <w:rPr>
                <w:b w:val="0"/>
                <w:sz w:val="19"/>
              </w:rPr>
              <w:t>Inputs D and E; outputs Q and Q_bar. E=1 passes D transparently; E=0 retains the stored value.</w:t>
            </w:r>
          </w:p>
        </w:tc>
      </w:tr>
      <w:tr>
        <w:trPr>
          <w:cantSplit/>
        </w:trPr>
        <w:tc>
          <w:tcPr>
            <w:tcW w:type="dxa" w:w="2088"/>
            <w:tcMar>
              <w:top w:w="75" w:type="dxa"/>
              <w:bottom w:w="75" w:type="dxa"/>
              <w:left w:w="75" w:type="dxa"/>
              <w:right w:w="75" w:type="dxa"/>
            </w:tcMar>
          </w:tcPr>
          <w:p>
            <w:pPr>
              <w:spacing w:after="60" w:line="245" w:lineRule="auto"/>
            </w:pPr>
            <w:r>
              <w:rPr>
                <w:b w:val="0"/>
                <w:sz w:val="19"/>
              </w:rPr>
              <w:t>JK flip flop</w:t>
            </w:r>
          </w:p>
        </w:tc>
        <w:tc>
          <w:tcPr>
            <w:tcW w:type="dxa" w:w="7848"/>
            <w:tcMar>
              <w:top w:w="75" w:type="dxa"/>
              <w:bottom w:w="75" w:type="dxa"/>
              <w:left w:w="75" w:type="dxa"/>
              <w:right w:w="75" w:type="dxa"/>
            </w:tcMar>
          </w:tcPr>
          <w:p>
            <w:pPr>
              <w:spacing w:after="60" w:line="245" w:lineRule="auto"/>
            </w:pPr>
            <w:r>
              <w:rPr>
                <w:b w:val="0"/>
                <w:sz w:val="19"/>
              </w:rPr>
              <w:t>Rising CLK; inputs J and K; outputs Q and Q_bar. J,K=00 holds; 10 sets; 01 resets; 11 toggles.</w:t>
            </w:r>
          </w:p>
        </w:tc>
      </w:tr>
      <w:tr>
        <w:trPr>
          <w:cantSplit/>
        </w:trPr>
        <w:tc>
          <w:tcPr>
            <w:tcW w:type="dxa" w:w="2088"/>
            <w:tcMar>
              <w:top w:w="75" w:type="dxa"/>
              <w:bottom w:w="75" w:type="dxa"/>
              <w:left w:w="75" w:type="dxa"/>
              <w:right w:w="75" w:type="dxa"/>
            </w:tcMar>
          </w:tcPr>
          <w:p>
            <w:pPr>
              <w:spacing w:after="60" w:line="245" w:lineRule="auto"/>
            </w:pPr>
            <w:r>
              <w:rPr>
                <w:b w:val="0"/>
                <w:sz w:val="19"/>
              </w:rPr>
              <w:t>D flip flop</w:t>
            </w:r>
          </w:p>
        </w:tc>
        <w:tc>
          <w:tcPr>
            <w:tcW w:type="dxa" w:w="7848"/>
            <w:tcMar>
              <w:top w:w="75" w:type="dxa"/>
              <w:bottom w:w="75" w:type="dxa"/>
              <w:left w:w="75" w:type="dxa"/>
              <w:right w:w="75" w:type="dxa"/>
            </w:tcMar>
          </w:tcPr>
          <w:p>
            <w:pPr>
              <w:spacing w:after="60" w:line="245" w:lineRule="auto"/>
            </w:pPr>
            <w:r>
              <w:rPr>
                <w:b w:val="0"/>
                <w:sz w:val="19"/>
              </w:rPr>
              <w:t>Inputs D and CLK; outputs Q and Q_bar. Capture D on rising CLK and hold between edges.</w:t>
            </w:r>
          </w:p>
        </w:tc>
      </w:tr>
      <w:tr>
        <w:trPr>
          <w:cantSplit/>
        </w:trPr>
        <w:tc>
          <w:tcPr>
            <w:tcW w:type="dxa" w:w="2088"/>
            <w:tcMar>
              <w:top w:w="75" w:type="dxa"/>
              <w:bottom w:w="75" w:type="dxa"/>
              <w:left w:w="75" w:type="dxa"/>
              <w:right w:w="75" w:type="dxa"/>
            </w:tcMar>
          </w:tcPr>
          <w:p>
            <w:pPr>
              <w:spacing w:after="60" w:line="245" w:lineRule="auto"/>
            </w:pPr>
            <w:r>
              <w:rPr>
                <w:b w:val="0"/>
                <w:sz w:val="19"/>
              </w:rPr>
              <w:t>T flip flop</w:t>
            </w:r>
          </w:p>
        </w:tc>
        <w:tc>
          <w:tcPr>
            <w:tcW w:type="dxa" w:w="7848"/>
            <w:tcMar>
              <w:top w:w="75" w:type="dxa"/>
              <w:bottom w:w="75" w:type="dxa"/>
              <w:left w:w="75" w:type="dxa"/>
              <w:right w:w="75" w:type="dxa"/>
            </w:tcMar>
          </w:tcPr>
          <w:p>
            <w:pPr>
              <w:spacing w:after="60" w:line="245" w:lineRule="auto"/>
            </w:pPr>
            <w:r>
              <w:rPr>
                <w:b w:val="0"/>
                <w:sz w:val="19"/>
              </w:rPr>
              <w:t>Inputs T and CLK; outputs Q and Q_bar. Rising CLK toggles Q when T=1 and holds when T=0.</w:t>
            </w:r>
          </w:p>
        </w:tc>
      </w:tr>
      <w:tr>
        <w:trPr>
          <w:cantSplit/>
        </w:trPr>
        <w:tc>
          <w:tcPr>
            <w:tcW w:type="dxa" w:w="2088"/>
            <w:tcMar>
              <w:top w:w="75" w:type="dxa"/>
              <w:bottom w:w="75" w:type="dxa"/>
              <w:left w:w="75" w:type="dxa"/>
              <w:right w:w="75" w:type="dxa"/>
            </w:tcMar>
          </w:tcPr>
          <w:p>
            <w:pPr>
              <w:spacing w:after="60" w:line="245" w:lineRule="auto"/>
            </w:pPr>
            <w:r>
              <w:rPr>
                <w:b w:val="0"/>
                <w:sz w:val="19"/>
              </w:rPr>
              <w:t>Binary decoder</w:t>
            </w:r>
          </w:p>
        </w:tc>
        <w:tc>
          <w:tcPr>
            <w:tcW w:type="dxa" w:w="7848"/>
            <w:tcMar>
              <w:top w:w="75" w:type="dxa"/>
              <w:bottom w:w="75" w:type="dxa"/>
              <w:left w:w="75" w:type="dxa"/>
              <w:right w:w="75" w:type="dxa"/>
            </w:tcMar>
          </w:tcPr>
          <w:p>
            <w:pPr>
              <w:spacing w:after="60" w:line="245" w:lineRule="auto"/>
            </w:pPr>
            <w:r>
              <w:rPr>
                <w:b w:val="0"/>
                <w:sz w:val="19"/>
              </w:rPr>
              <w:t>N-bit select, N=1–5, and Enable. There are 2^N active-high output lines; known enabled selection asserts its corresponding line.</w:t>
            </w:r>
          </w:p>
        </w:tc>
      </w:tr>
      <w:tr>
        <w:trPr>
          <w:cantSplit/>
        </w:trPr>
        <w:tc>
          <w:tcPr>
            <w:tcW w:type="dxa" w:w="2088"/>
            <w:tcMar>
              <w:top w:w="75" w:type="dxa"/>
              <w:bottom w:w="75" w:type="dxa"/>
              <w:left w:w="75" w:type="dxa"/>
              <w:right w:w="75" w:type="dxa"/>
            </w:tcMar>
          </w:tcPr>
          <w:p>
            <w:pPr>
              <w:spacing w:after="60" w:line="245" w:lineRule="auto"/>
            </w:pPr>
            <w:r>
              <w:rPr>
                <w:b w:val="0"/>
                <w:sz w:val="19"/>
              </w:rPr>
              <w:t>Binary priority encoder</w:t>
            </w:r>
          </w:p>
        </w:tc>
        <w:tc>
          <w:tcPr>
            <w:tcW w:type="dxa" w:w="7848"/>
            <w:tcMar>
              <w:top w:w="75" w:type="dxa"/>
              <w:bottom w:w="75" w:type="dxa"/>
              <w:left w:w="75" w:type="dxa"/>
              <w:right w:w="75" w:type="dxa"/>
            </w:tcMar>
          </w:tcPr>
          <w:p>
            <w:pPr>
              <w:spacing w:after="60" w:line="245" w:lineRule="auto"/>
            </w:pPr>
            <w:r>
              <w:rPr>
                <w:b w:val="0"/>
                <w:sz w:val="19"/>
              </w:rPr>
              <w:t>N=1–5 output address bits; 2^N active-high input lines. Output the highest-index active input address, plus Valid indicating whether any input is active.</w:t>
            </w:r>
          </w:p>
        </w:tc>
      </w:tr>
      <w:tr>
        <w:trPr>
          <w:cantSplit/>
        </w:trPr>
        <w:tc>
          <w:tcPr>
            <w:tcW w:type="dxa" w:w="2088"/>
            <w:tcMar>
              <w:top w:w="75" w:type="dxa"/>
              <w:bottom w:w="75" w:type="dxa"/>
              <w:left w:w="75" w:type="dxa"/>
              <w:right w:w="75" w:type="dxa"/>
            </w:tcMar>
          </w:tcPr>
          <w:p>
            <w:pPr>
              <w:spacing w:after="60" w:line="245" w:lineRule="auto"/>
            </w:pPr>
            <w:r>
              <w:rPr>
                <w:b w:val="0"/>
                <w:sz w:val="19"/>
              </w:rPr>
              <w:t>Single bit full adder</w:t>
            </w:r>
          </w:p>
        </w:tc>
        <w:tc>
          <w:tcPr>
            <w:tcW w:type="dxa" w:w="7848"/>
            <w:tcMar>
              <w:top w:w="75" w:type="dxa"/>
              <w:bottom w:w="75" w:type="dxa"/>
              <w:left w:w="75" w:type="dxa"/>
              <w:right w:w="75" w:type="dxa"/>
            </w:tcMar>
          </w:tcPr>
          <w:p>
            <w:pPr>
              <w:spacing w:after="60" w:line="245" w:lineRule="auto"/>
            </w:pPr>
            <w:r>
              <w:rPr>
                <w:b w:val="0"/>
                <w:sz w:val="19"/>
              </w:rPr>
              <w:t>A, B, Cin inputs; S=A ^ B ^ Cin; Cout=(A &amp; B) | (Cin &amp; (A ^ B)).</w:t>
            </w:r>
          </w:p>
        </w:tc>
      </w:tr>
      <w:tr>
        <w:trPr>
          <w:cantSplit/>
        </w:trPr>
        <w:tc>
          <w:tcPr>
            <w:tcW w:type="dxa" w:w="2088"/>
            <w:tcMar>
              <w:top w:w="75" w:type="dxa"/>
              <w:bottom w:w="75" w:type="dxa"/>
              <w:left w:w="75" w:type="dxa"/>
              <w:right w:w="75" w:type="dxa"/>
            </w:tcMar>
          </w:tcPr>
          <w:p>
            <w:pPr>
              <w:spacing w:after="60" w:line="245" w:lineRule="auto"/>
            </w:pPr>
            <w:r>
              <w:rPr>
                <w:b w:val="0"/>
                <w:sz w:val="19"/>
              </w:rPr>
              <w:t>Multiple bit adder</w:t>
            </w:r>
          </w:p>
        </w:tc>
        <w:tc>
          <w:tcPr>
            <w:tcW w:type="dxa" w:w="7848"/>
            <w:tcMar>
              <w:top w:w="75" w:type="dxa"/>
              <w:bottom w:w="75" w:type="dxa"/>
              <w:left w:w="75" w:type="dxa"/>
              <w:right w:w="75" w:type="dxa"/>
            </w:tcMar>
          </w:tcPr>
          <w:p>
            <w:pPr>
              <w:spacing w:after="60" w:line="245" w:lineRule="auto"/>
            </w:pPr>
            <w:r>
              <w:rPr>
                <w:b w:val="0"/>
                <w:sz w:val="19"/>
              </w:rPr>
              <w:t>Unsigned ripple-carry adder; N=1–32. N-bit A and B plus Cin produce N-bit sum S and Cout; S derives from A+B+Cin.</w:t>
            </w:r>
          </w:p>
        </w:tc>
      </w:tr>
      <w:tr>
        <w:trPr>
          <w:cantSplit/>
        </w:trPr>
        <w:tc>
          <w:tcPr>
            <w:tcW w:type="dxa" w:w="2088"/>
            <w:tcMar>
              <w:top w:w="75" w:type="dxa"/>
              <w:bottom w:w="75" w:type="dxa"/>
              <w:left w:w="75" w:type="dxa"/>
              <w:right w:w="75" w:type="dxa"/>
            </w:tcMar>
          </w:tcPr>
          <w:p>
            <w:pPr>
              <w:spacing w:after="60" w:line="245" w:lineRule="auto"/>
            </w:pPr>
            <w:r>
              <w:rPr>
                <w:b w:val="0"/>
                <w:sz w:val="19"/>
              </w:rPr>
              <w:t>Clock Source</w:t>
            </w:r>
          </w:p>
        </w:tc>
        <w:tc>
          <w:tcPr>
            <w:tcW w:type="dxa" w:w="7848"/>
            <w:tcMar>
              <w:top w:w="75" w:type="dxa"/>
              <w:bottom w:w="75" w:type="dxa"/>
              <w:left w:w="75" w:type="dxa"/>
              <w:right w:w="75" w:type="dxa"/>
            </w:tcMar>
          </w:tcPr>
          <w:p>
            <w:pPr>
              <w:spacing w:after="60" w:line="245" w:lineRule="auto"/>
            </w:pPr>
            <w:r>
              <w:rPr>
                <w:b w:val="0"/>
                <w:sz w:val="19"/>
              </w:rPr>
              <w:t>Former Square Wave Voltage Source. Continuous 0/1 square wave at configurable frequency in Hz. Multiple independent sources, phase controls, frequency range, and relation to world-clock stop remain open.</w:t>
            </w:r>
          </w:p>
        </w:tc>
      </w:tr>
      <w:tr>
        <w:trPr>
          <w:cantSplit/>
        </w:trPr>
        <w:tc>
          <w:tcPr>
            <w:tcW w:type="dxa" w:w="2088"/>
            <w:tcMar>
              <w:top w:w="75" w:type="dxa"/>
              <w:bottom w:w="75" w:type="dxa"/>
              <w:left w:w="75" w:type="dxa"/>
              <w:right w:w="75" w:type="dxa"/>
            </w:tcMar>
          </w:tcPr>
          <w:p>
            <w:pPr>
              <w:spacing w:after="60" w:line="245" w:lineRule="auto"/>
            </w:pPr>
            <w:r>
              <w:rPr>
                <w:b w:val="0"/>
                <w:sz w:val="19"/>
              </w:rPr>
              <w:t>Red Blue and Yellow LEDs</w:t>
            </w:r>
          </w:p>
        </w:tc>
        <w:tc>
          <w:tcPr>
            <w:tcW w:type="dxa" w:w="7848"/>
            <w:tcMar>
              <w:top w:w="75" w:type="dxa"/>
              <w:bottom w:w="75" w:type="dxa"/>
              <w:left w:w="75" w:type="dxa"/>
              <w:right w:w="75" w:type="dxa"/>
            </w:tcMar>
          </w:tcPr>
          <w:p>
            <w:pPr>
              <w:spacing w:after="60" w:line="245" w:lineRule="auto"/>
            </w:pPr>
            <w:r>
              <w:rPr>
                <w:b w:val="0"/>
                <w:sz w:val="19"/>
              </w:rPr>
              <w:t>Three original indicator types: illuminate in their named bright color at 1 and remain dim/off at 0. Their X/Z visual treatment and relationship to general signal colors need definition.</w:t>
            </w:r>
          </w:p>
        </w:tc>
      </w:tr>
      <w:tr>
        <w:trPr>
          <w:cantSplit/>
        </w:trPr>
        <w:tc>
          <w:tcPr>
            <w:tcW w:type="dxa" w:w="2088"/>
            <w:tcMar>
              <w:top w:w="75" w:type="dxa"/>
              <w:bottom w:w="75" w:type="dxa"/>
              <w:left w:w="75" w:type="dxa"/>
              <w:right w:w="75" w:type="dxa"/>
            </w:tcMar>
          </w:tcPr>
          <w:p>
            <w:pPr>
              <w:spacing w:after="60" w:line="245" w:lineRule="auto"/>
            </w:pPr>
            <w:r>
              <w:rPr>
                <w:b w:val="0"/>
                <w:sz w:val="19"/>
              </w:rPr>
              <w:t>Original up down counter</w:t>
            </w:r>
          </w:p>
        </w:tc>
        <w:tc>
          <w:tcPr>
            <w:tcW w:type="dxa" w:w="7848"/>
            <w:tcMar>
              <w:top w:w="75" w:type="dxa"/>
              <w:bottom w:w="75" w:type="dxa"/>
              <w:left w:w="75" w:type="dxa"/>
              <w:right w:w="75" w:type="dxa"/>
            </w:tcMar>
          </w:tcPr>
          <w:p>
            <w:pPr>
              <w:spacing w:after="60" w:line="245" w:lineRule="auto"/>
            </w:pPr>
            <w:r>
              <w:rPr>
                <w:b w:val="0"/>
                <w:sz w:val="19"/>
              </w:rPr>
              <w:t>Original catalog: four-bit counter with CLK, RESET, UP_DOWN (1 up, 0 down), ENABLE, four-bit Q and OVERFLOW/UNDERFLOW. The later confirmed default is the 1–128-bit up counter above. Preserve the original up/down capability as an unresolved catalog variant; no downward-wrap/underflow behavior or decision to remove it was made.</w:t>
            </w:r>
          </w:p>
        </w:tc>
      </w:tr>
    </w:tbl>
    <w:p>
      <w:pPr>
        <w:spacing w:after="0"/>
      </w:pPr>
    </w:p>
    <w:p>
      <w:pPr>
        <w:pStyle w:val="Heading2"/>
      </w:pPr>
      <w:r>
        <w:t>Construction blocks</w:t>
      </w:r>
    </w:p>
    <w:p>
      <w:r>
        <w:t>Sandstone is the ground and a reusable inventory block. Its appearance is inspired by smooth sandstone in Minecraft. The original intent was a distinct texture; changing an existing texture slightly is not treated here as an established permission to reuse it. Scaffolding is a uniform solid-color building block in the following sixteen colors.</w:t>
      </w:r>
    </w:p>
    <w:tbl>
      <w:tblPr>
        <w:tblW w:type="auto" w:w="0"/>
        <w:tblLayout w:type="fixed"/>
        <w:tblLook w:firstColumn="1" w:firstRow="1" w:lastColumn="0" w:lastRow="0" w:noHBand="0" w:noVBand="1" w:val="04A0"/>
      </w:tblPr>
      <w:tblGrid>
        <w:gridCol w:w="2520"/>
        <w:gridCol w:w="2448"/>
        <w:gridCol w:w="2520"/>
        <w:gridCol w:w="2448"/>
      </w:tblGrid>
      <w:tr>
        <w:trPr>
          <w:cantSplit/>
          <w:tblHeader/>
        </w:trPr>
        <w:tc>
          <w:tcPr>
            <w:tcW w:type="dxa" w:w="2520"/>
            <w:tcMar>
              <w:top w:w="75" w:type="dxa"/>
              <w:bottom w:w="75" w:type="dxa"/>
              <w:left w:w="75" w:type="dxa"/>
              <w:right w:w="75" w:type="dxa"/>
            </w:tcMar>
            <w:shd w:fill="E7E6E6"/>
          </w:tcPr>
          <w:p>
            <w:pPr>
              <w:spacing w:after="60" w:line="245" w:lineRule="auto"/>
            </w:pPr>
            <w:r>
              <w:rPr>
                <w:b/>
                <w:sz w:val="19"/>
              </w:rPr>
              <w:t>Color</w:t>
            </w:r>
          </w:p>
        </w:tc>
        <w:tc>
          <w:tcPr>
            <w:tcW w:type="dxa" w:w="2448"/>
            <w:tcMar>
              <w:top w:w="75" w:type="dxa"/>
              <w:bottom w:w="75" w:type="dxa"/>
              <w:left w:w="75" w:type="dxa"/>
              <w:right w:w="75" w:type="dxa"/>
            </w:tcMar>
            <w:shd w:fill="E7E6E6"/>
          </w:tcPr>
          <w:p>
            <w:pPr>
              <w:spacing w:after="60" w:line="245" w:lineRule="auto"/>
            </w:pPr>
            <w:r>
              <w:rPr>
                <w:b/>
                <w:sz w:val="19"/>
              </w:rPr>
              <w:t>Hex</w:t>
            </w:r>
          </w:p>
        </w:tc>
        <w:tc>
          <w:tcPr>
            <w:tcW w:type="dxa" w:w="2520"/>
            <w:tcMar>
              <w:top w:w="75" w:type="dxa"/>
              <w:bottom w:w="75" w:type="dxa"/>
              <w:left w:w="75" w:type="dxa"/>
              <w:right w:w="75" w:type="dxa"/>
            </w:tcMar>
            <w:shd w:fill="E7E6E6"/>
          </w:tcPr>
          <w:p>
            <w:pPr>
              <w:spacing w:after="60" w:line="245" w:lineRule="auto"/>
            </w:pPr>
            <w:r>
              <w:rPr>
                <w:b/>
                <w:sz w:val="19"/>
              </w:rPr>
              <w:t>Color</w:t>
            </w:r>
          </w:p>
        </w:tc>
        <w:tc>
          <w:tcPr>
            <w:tcW w:type="dxa" w:w="2448"/>
            <w:tcMar>
              <w:top w:w="75" w:type="dxa"/>
              <w:bottom w:w="75" w:type="dxa"/>
              <w:left w:w="75" w:type="dxa"/>
              <w:right w:w="75" w:type="dxa"/>
            </w:tcMar>
            <w:shd w:fill="E7E6E6"/>
          </w:tcPr>
          <w:p>
            <w:pPr>
              <w:spacing w:after="60" w:line="245" w:lineRule="auto"/>
            </w:pPr>
            <w:r>
              <w:rPr>
                <w:b/>
                <w:sz w:val="19"/>
              </w:rPr>
              <w:t>Hex</w:t>
            </w:r>
          </w:p>
        </w:tc>
      </w:tr>
      <w:tr>
        <w:trPr>
          <w:cantSplit/>
        </w:trPr>
        <w:tc>
          <w:tcPr>
            <w:tcW w:type="dxa" w:w="2520"/>
            <w:tcMar>
              <w:top w:w="75" w:type="dxa"/>
              <w:bottom w:w="75" w:type="dxa"/>
              <w:left w:w="75" w:type="dxa"/>
              <w:right w:w="75" w:type="dxa"/>
            </w:tcMar>
          </w:tcPr>
          <w:p>
            <w:pPr>
              <w:spacing w:after="60" w:line="245" w:lineRule="auto"/>
            </w:pPr>
            <w:r>
              <w:rPr>
                <w:b w:val="0"/>
                <w:sz w:val="19"/>
              </w:rPr>
              <w:t>White</w:t>
            </w:r>
          </w:p>
        </w:tc>
        <w:tc>
          <w:tcPr>
            <w:tcW w:type="dxa" w:w="2448"/>
            <w:tcMar>
              <w:top w:w="75" w:type="dxa"/>
              <w:bottom w:w="75" w:type="dxa"/>
              <w:left w:w="75" w:type="dxa"/>
              <w:right w:w="75" w:type="dxa"/>
            </w:tcMar>
          </w:tcPr>
          <w:p>
            <w:pPr>
              <w:spacing w:after="60" w:line="245" w:lineRule="auto"/>
            </w:pPr>
            <w:r>
              <w:rPr>
                <w:b w:val="0"/>
                <w:sz w:val="19"/>
              </w:rPr>
              <w:t>#cfd5d6</w:t>
            </w:r>
          </w:p>
        </w:tc>
        <w:tc>
          <w:tcPr>
            <w:tcW w:type="dxa" w:w="2520"/>
            <w:tcMar>
              <w:top w:w="75" w:type="dxa"/>
              <w:bottom w:w="75" w:type="dxa"/>
              <w:left w:w="75" w:type="dxa"/>
              <w:right w:w="75" w:type="dxa"/>
            </w:tcMar>
          </w:tcPr>
          <w:p>
            <w:pPr>
              <w:spacing w:after="60" w:line="245" w:lineRule="auto"/>
            </w:pPr>
            <w:r>
              <w:rPr>
                <w:b w:val="0"/>
                <w:sz w:val="19"/>
              </w:rPr>
              <w:t>Lime</w:t>
            </w:r>
          </w:p>
        </w:tc>
        <w:tc>
          <w:tcPr>
            <w:tcW w:type="dxa" w:w="2448"/>
            <w:tcMar>
              <w:top w:w="75" w:type="dxa"/>
              <w:bottom w:w="75" w:type="dxa"/>
              <w:left w:w="75" w:type="dxa"/>
              <w:right w:w="75" w:type="dxa"/>
            </w:tcMar>
          </w:tcPr>
          <w:p>
            <w:pPr>
              <w:spacing w:after="60" w:line="245" w:lineRule="auto"/>
            </w:pPr>
            <w:r>
              <w:rPr>
                <w:b w:val="0"/>
                <w:sz w:val="19"/>
              </w:rPr>
              <w:t>#5ea918</w:t>
            </w:r>
          </w:p>
        </w:tc>
      </w:tr>
      <w:tr>
        <w:trPr>
          <w:cantSplit/>
        </w:trPr>
        <w:tc>
          <w:tcPr>
            <w:tcW w:type="dxa" w:w="2520"/>
            <w:tcMar>
              <w:top w:w="75" w:type="dxa"/>
              <w:bottom w:w="75" w:type="dxa"/>
              <w:left w:w="75" w:type="dxa"/>
              <w:right w:w="75" w:type="dxa"/>
            </w:tcMar>
          </w:tcPr>
          <w:p>
            <w:pPr>
              <w:spacing w:after="60" w:line="245" w:lineRule="auto"/>
            </w:pPr>
            <w:r>
              <w:rPr>
                <w:b w:val="0"/>
                <w:sz w:val="19"/>
              </w:rPr>
              <w:t>Light Gray</w:t>
            </w:r>
          </w:p>
        </w:tc>
        <w:tc>
          <w:tcPr>
            <w:tcW w:type="dxa" w:w="2448"/>
            <w:tcMar>
              <w:top w:w="75" w:type="dxa"/>
              <w:bottom w:w="75" w:type="dxa"/>
              <w:left w:w="75" w:type="dxa"/>
              <w:right w:w="75" w:type="dxa"/>
            </w:tcMar>
          </w:tcPr>
          <w:p>
            <w:pPr>
              <w:spacing w:after="60" w:line="245" w:lineRule="auto"/>
            </w:pPr>
            <w:r>
              <w:rPr>
                <w:b w:val="0"/>
                <w:sz w:val="19"/>
              </w:rPr>
              <w:t>#7d7d73</w:t>
            </w:r>
          </w:p>
        </w:tc>
        <w:tc>
          <w:tcPr>
            <w:tcW w:type="dxa" w:w="2520"/>
            <w:tcMar>
              <w:top w:w="75" w:type="dxa"/>
              <w:bottom w:w="75" w:type="dxa"/>
              <w:left w:w="75" w:type="dxa"/>
              <w:right w:w="75" w:type="dxa"/>
            </w:tcMar>
          </w:tcPr>
          <w:p>
            <w:pPr>
              <w:spacing w:after="60" w:line="245" w:lineRule="auto"/>
            </w:pPr>
            <w:r>
              <w:rPr>
                <w:b w:val="0"/>
                <w:sz w:val="19"/>
              </w:rPr>
              <w:t>Green</w:t>
            </w:r>
          </w:p>
        </w:tc>
        <w:tc>
          <w:tcPr>
            <w:tcW w:type="dxa" w:w="2448"/>
            <w:tcMar>
              <w:top w:w="75" w:type="dxa"/>
              <w:bottom w:w="75" w:type="dxa"/>
              <w:left w:w="75" w:type="dxa"/>
              <w:right w:w="75" w:type="dxa"/>
            </w:tcMar>
          </w:tcPr>
          <w:p>
            <w:pPr>
              <w:spacing w:after="60" w:line="245" w:lineRule="auto"/>
            </w:pPr>
            <w:r>
              <w:rPr>
                <w:b w:val="0"/>
                <w:sz w:val="19"/>
              </w:rPr>
              <w:t>#495b24</w:t>
            </w:r>
          </w:p>
        </w:tc>
      </w:tr>
      <w:tr>
        <w:trPr>
          <w:cantSplit/>
        </w:trPr>
        <w:tc>
          <w:tcPr>
            <w:tcW w:type="dxa" w:w="2520"/>
            <w:tcMar>
              <w:top w:w="75" w:type="dxa"/>
              <w:bottom w:w="75" w:type="dxa"/>
              <w:left w:w="75" w:type="dxa"/>
              <w:right w:w="75" w:type="dxa"/>
            </w:tcMar>
          </w:tcPr>
          <w:p>
            <w:pPr>
              <w:spacing w:after="60" w:line="245" w:lineRule="auto"/>
            </w:pPr>
            <w:r>
              <w:rPr>
                <w:b w:val="0"/>
                <w:sz w:val="19"/>
              </w:rPr>
              <w:t>Gray</w:t>
            </w:r>
          </w:p>
        </w:tc>
        <w:tc>
          <w:tcPr>
            <w:tcW w:type="dxa" w:w="2448"/>
            <w:tcMar>
              <w:top w:w="75" w:type="dxa"/>
              <w:bottom w:w="75" w:type="dxa"/>
              <w:left w:w="75" w:type="dxa"/>
              <w:right w:w="75" w:type="dxa"/>
            </w:tcMar>
          </w:tcPr>
          <w:p>
            <w:pPr>
              <w:spacing w:after="60" w:line="245" w:lineRule="auto"/>
            </w:pPr>
            <w:r>
              <w:rPr>
                <w:b w:val="0"/>
                <w:sz w:val="19"/>
              </w:rPr>
              <w:t>#373a3e</w:t>
            </w:r>
          </w:p>
        </w:tc>
        <w:tc>
          <w:tcPr>
            <w:tcW w:type="dxa" w:w="2520"/>
            <w:tcMar>
              <w:top w:w="75" w:type="dxa"/>
              <w:bottom w:w="75" w:type="dxa"/>
              <w:left w:w="75" w:type="dxa"/>
              <w:right w:w="75" w:type="dxa"/>
            </w:tcMar>
          </w:tcPr>
          <w:p>
            <w:pPr>
              <w:spacing w:after="60" w:line="245" w:lineRule="auto"/>
            </w:pPr>
            <w:r>
              <w:rPr>
                <w:b w:val="0"/>
                <w:sz w:val="19"/>
              </w:rPr>
              <w:t>Cyan</w:t>
            </w:r>
          </w:p>
        </w:tc>
        <w:tc>
          <w:tcPr>
            <w:tcW w:type="dxa" w:w="2448"/>
            <w:tcMar>
              <w:top w:w="75" w:type="dxa"/>
              <w:bottom w:w="75" w:type="dxa"/>
              <w:left w:w="75" w:type="dxa"/>
              <w:right w:w="75" w:type="dxa"/>
            </w:tcMar>
          </w:tcPr>
          <w:p>
            <w:pPr>
              <w:spacing w:after="60" w:line="245" w:lineRule="auto"/>
            </w:pPr>
            <w:r>
              <w:rPr>
                <w:b w:val="0"/>
                <w:sz w:val="19"/>
              </w:rPr>
              <w:t>#157788</w:t>
            </w:r>
          </w:p>
        </w:tc>
      </w:tr>
      <w:tr>
        <w:trPr>
          <w:cantSplit/>
        </w:trPr>
        <w:tc>
          <w:tcPr>
            <w:tcW w:type="dxa" w:w="2520"/>
            <w:tcMar>
              <w:top w:w="75" w:type="dxa"/>
              <w:bottom w:w="75" w:type="dxa"/>
              <w:left w:w="75" w:type="dxa"/>
              <w:right w:w="75" w:type="dxa"/>
            </w:tcMar>
          </w:tcPr>
          <w:p>
            <w:pPr>
              <w:spacing w:after="60" w:line="245" w:lineRule="auto"/>
            </w:pPr>
            <w:r>
              <w:rPr>
                <w:b w:val="0"/>
                <w:sz w:val="19"/>
              </w:rPr>
              <w:t>Black</w:t>
            </w:r>
          </w:p>
        </w:tc>
        <w:tc>
          <w:tcPr>
            <w:tcW w:type="dxa" w:w="2448"/>
            <w:tcMar>
              <w:top w:w="75" w:type="dxa"/>
              <w:bottom w:w="75" w:type="dxa"/>
              <w:left w:w="75" w:type="dxa"/>
              <w:right w:w="75" w:type="dxa"/>
            </w:tcMar>
          </w:tcPr>
          <w:p>
            <w:pPr>
              <w:spacing w:after="60" w:line="245" w:lineRule="auto"/>
            </w:pPr>
            <w:r>
              <w:rPr>
                <w:b w:val="0"/>
                <w:sz w:val="19"/>
              </w:rPr>
              <w:t>#080a0f</w:t>
            </w:r>
          </w:p>
        </w:tc>
        <w:tc>
          <w:tcPr>
            <w:tcW w:type="dxa" w:w="2520"/>
            <w:tcMar>
              <w:top w:w="75" w:type="dxa"/>
              <w:bottom w:w="75" w:type="dxa"/>
              <w:left w:w="75" w:type="dxa"/>
              <w:right w:w="75" w:type="dxa"/>
            </w:tcMar>
          </w:tcPr>
          <w:p>
            <w:pPr>
              <w:spacing w:after="60" w:line="245" w:lineRule="auto"/>
            </w:pPr>
            <w:r>
              <w:rPr>
                <w:b w:val="0"/>
                <w:sz w:val="19"/>
              </w:rPr>
              <w:t>Light Blue</w:t>
            </w:r>
          </w:p>
        </w:tc>
        <w:tc>
          <w:tcPr>
            <w:tcW w:type="dxa" w:w="2448"/>
            <w:tcMar>
              <w:top w:w="75" w:type="dxa"/>
              <w:bottom w:w="75" w:type="dxa"/>
              <w:left w:w="75" w:type="dxa"/>
              <w:right w:w="75" w:type="dxa"/>
            </w:tcMar>
          </w:tcPr>
          <w:p>
            <w:pPr>
              <w:spacing w:after="60" w:line="245" w:lineRule="auto"/>
            </w:pPr>
            <w:r>
              <w:rPr>
                <w:b w:val="0"/>
                <w:sz w:val="19"/>
              </w:rPr>
              <w:t>#2489c7</w:t>
            </w:r>
          </w:p>
        </w:tc>
      </w:tr>
      <w:tr>
        <w:trPr>
          <w:cantSplit/>
        </w:trPr>
        <w:tc>
          <w:tcPr>
            <w:tcW w:type="dxa" w:w="2520"/>
            <w:tcMar>
              <w:top w:w="75" w:type="dxa"/>
              <w:bottom w:w="75" w:type="dxa"/>
              <w:left w:w="75" w:type="dxa"/>
              <w:right w:w="75" w:type="dxa"/>
            </w:tcMar>
          </w:tcPr>
          <w:p>
            <w:pPr>
              <w:spacing w:after="60" w:line="245" w:lineRule="auto"/>
            </w:pPr>
            <w:r>
              <w:rPr>
                <w:b w:val="0"/>
                <w:sz w:val="19"/>
              </w:rPr>
              <w:t>Brown</w:t>
            </w:r>
          </w:p>
        </w:tc>
        <w:tc>
          <w:tcPr>
            <w:tcW w:type="dxa" w:w="2448"/>
            <w:tcMar>
              <w:top w:w="75" w:type="dxa"/>
              <w:bottom w:w="75" w:type="dxa"/>
              <w:left w:w="75" w:type="dxa"/>
              <w:right w:w="75" w:type="dxa"/>
            </w:tcMar>
          </w:tcPr>
          <w:p>
            <w:pPr>
              <w:spacing w:after="60" w:line="245" w:lineRule="auto"/>
            </w:pPr>
            <w:r>
              <w:rPr>
                <w:b w:val="0"/>
                <w:sz w:val="19"/>
              </w:rPr>
              <w:t>#603c20</w:t>
            </w:r>
          </w:p>
        </w:tc>
        <w:tc>
          <w:tcPr>
            <w:tcW w:type="dxa" w:w="2520"/>
            <w:tcMar>
              <w:top w:w="75" w:type="dxa"/>
              <w:bottom w:w="75" w:type="dxa"/>
              <w:left w:w="75" w:type="dxa"/>
              <w:right w:w="75" w:type="dxa"/>
            </w:tcMar>
          </w:tcPr>
          <w:p>
            <w:pPr>
              <w:spacing w:after="60" w:line="245" w:lineRule="auto"/>
            </w:pPr>
            <w:r>
              <w:rPr>
                <w:b w:val="0"/>
                <w:sz w:val="19"/>
              </w:rPr>
              <w:t>Blue</w:t>
            </w:r>
          </w:p>
        </w:tc>
        <w:tc>
          <w:tcPr>
            <w:tcW w:type="dxa" w:w="2448"/>
            <w:tcMar>
              <w:top w:w="75" w:type="dxa"/>
              <w:bottom w:w="75" w:type="dxa"/>
              <w:left w:w="75" w:type="dxa"/>
              <w:right w:w="75" w:type="dxa"/>
            </w:tcMar>
          </w:tcPr>
          <w:p>
            <w:pPr>
              <w:spacing w:after="60" w:line="245" w:lineRule="auto"/>
            </w:pPr>
            <w:r>
              <w:rPr>
                <w:b w:val="0"/>
                <w:sz w:val="19"/>
              </w:rPr>
              <w:t>#2d2f8f</w:t>
            </w:r>
          </w:p>
        </w:tc>
      </w:tr>
      <w:tr>
        <w:trPr>
          <w:cantSplit/>
        </w:trPr>
        <w:tc>
          <w:tcPr>
            <w:tcW w:type="dxa" w:w="2520"/>
            <w:tcMar>
              <w:top w:w="75" w:type="dxa"/>
              <w:bottom w:w="75" w:type="dxa"/>
              <w:left w:w="75" w:type="dxa"/>
              <w:right w:w="75" w:type="dxa"/>
            </w:tcMar>
          </w:tcPr>
          <w:p>
            <w:pPr>
              <w:spacing w:after="60" w:line="245" w:lineRule="auto"/>
            </w:pPr>
            <w:r>
              <w:rPr>
                <w:b w:val="0"/>
                <w:sz w:val="19"/>
              </w:rPr>
              <w:t>Red</w:t>
            </w:r>
          </w:p>
        </w:tc>
        <w:tc>
          <w:tcPr>
            <w:tcW w:type="dxa" w:w="2448"/>
            <w:tcMar>
              <w:top w:w="75" w:type="dxa"/>
              <w:bottom w:w="75" w:type="dxa"/>
              <w:left w:w="75" w:type="dxa"/>
              <w:right w:w="75" w:type="dxa"/>
            </w:tcMar>
          </w:tcPr>
          <w:p>
            <w:pPr>
              <w:spacing w:after="60" w:line="245" w:lineRule="auto"/>
            </w:pPr>
            <w:r>
              <w:rPr>
                <w:b w:val="0"/>
                <w:sz w:val="19"/>
              </w:rPr>
              <w:t>#8e2121</w:t>
            </w:r>
          </w:p>
        </w:tc>
        <w:tc>
          <w:tcPr>
            <w:tcW w:type="dxa" w:w="2520"/>
            <w:tcMar>
              <w:top w:w="75" w:type="dxa"/>
              <w:bottom w:w="75" w:type="dxa"/>
              <w:left w:w="75" w:type="dxa"/>
              <w:right w:w="75" w:type="dxa"/>
            </w:tcMar>
          </w:tcPr>
          <w:p>
            <w:pPr>
              <w:spacing w:after="60" w:line="245" w:lineRule="auto"/>
            </w:pPr>
            <w:r>
              <w:rPr>
                <w:b w:val="0"/>
                <w:sz w:val="19"/>
              </w:rPr>
              <w:t>Purple</w:t>
            </w:r>
          </w:p>
        </w:tc>
        <w:tc>
          <w:tcPr>
            <w:tcW w:type="dxa" w:w="2448"/>
            <w:tcMar>
              <w:top w:w="75" w:type="dxa"/>
              <w:bottom w:w="75" w:type="dxa"/>
              <w:left w:w="75" w:type="dxa"/>
              <w:right w:w="75" w:type="dxa"/>
            </w:tcMar>
          </w:tcPr>
          <w:p>
            <w:pPr>
              <w:spacing w:after="60" w:line="245" w:lineRule="auto"/>
            </w:pPr>
            <w:r>
              <w:rPr>
                <w:b w:val="0"/>
                <w:sz w:val="19"/>
              </w:rPr>
              <w:t>#64209c</w:t>
            </w:r>
          </w:p>
        </w:tc>
      </w:tr>
      <w:tr>
        <w:trPr>
          <w:cantSplit/>
        </w:trPr>
        <w:tc>
          <w:tcPr>
            <w:tcW w:type="dxa" w:w="2520"/>
            <w:tcMar>
              <w:top w:w="75" w:type="dxa"/>
              <w:bottom w:w="75" w:type="dxa"/>
              <w:left w:w="75" w:type="dxa"/>
              <w:right w:w="75" w:type="dxa"/>
            </w:tcMar>
          </w:tcPr>
          <w:p>
            <w:pPr>
              <w:spacing w:after="60" w:line="245" w:lineRule="auto"/>
            </w:pPr>
            <w:r>
              <w:rPr>
                <w:b w:val="0"/>
                <w:sz w:val="19"/>
              </w:rPr>
              <w:t>Orange</w:t>
            </w:r>
          </w:p>
        </w:tc>
        <w:tc>
          <w:tcPr>
            <w:tcW w:type="dxa" w:w="2448"/>
            <w:tcMar>
              <w:top w:w="75" w:type="dxa"/>
              <w:bottom w:w="75" w:type="dxa"/>
              <w:left w:w="75" w:type="dxa"/>
              <w:right w:w="75" w:type="dxa"/>
            </w:tcMar>
          </w:tcPr>
          <w:p>
            <w:pPr>
              <w:spacing w:after="60" w:line="245" w:lineRule="auto"/>
            </w:pPr>
            <w:r>
              <w:rPr>
                <w:b w:val="0"/>
                <w:sz w:val="19"/>
              </w:rPr>
              <w:t>#e06101</w:t>
            </w:r>
          </w:p>
        </w:tc>
        <w:tc>
          <w:tcPr>
            <w:tcW w:type="dxa" w:w="2520"/>
            <w:tcMar>
              <w:top w:w="75" w:type="dxa"/>
              <w:bottom w:w="75" w:type="dxa"/>
              <w:left w:w="75" w:type="dxa"/>
              <w:right w:w="75" w:type="dxa"/>
            </w:tcMar>
          </w:tcPr>
          <w:p>
            <w:pPr>
              <w:spacing w:after="60" w:line="245" w:lineRule="auto"/>
            </w:pPr>
            <w:r>
              <w:rPr>
                <w:b w:val="0"/>
                <w:sz w:val="19"/>
              </w:rPr>
              <w:t>Magenta</w:t>
            </w:r>
          </w:p>
        </w:tc>
        <w:tc>
          <w:tcPr>
            <w:tcW w:type="dxa" w:w="2448"/>
            <w:tcMar>
              <w:top w:w="75" w:type="dxa"/>
              <w:bottom w:w="75" w:type="dxa"/>
              <w:left w:w="75" w:type="dxa"/>
              <w:right w:w="75" w:type="dxa"/>
            </w:tcMar>
          </w:tcPr>
          <w:p>
            <w:pPr>
              <w:spacing w:after="60" w:line="245" w:lineRule="auto"/>
            </w:pPr>
            <w:r>
              <w:rPr>
                <w:b w:val="0"/>
                <w:sz w:val="19"/>
              </w:rPr>
              <w:t>#a9309f</w:t>
            </w:r>
          </w:p>
        </w:tc>
      </w:tr>
      <w:tr>
        <w:trPr>
          <w:cantSplit/>
        </w:trPr>
        <w:tc>
          <w:tcPr>
            <w:tcW w:type="dxa" w:w="2520"/>
            <w:tcMar>
              <w:top w:w="75" w:type="dxa"/>
              <w:bottom w:w="75" w:type="dxa"/>
              <w:left w:w="75" w:type="dxa"/>
              <w:right w:w="75" w:type="dxa"/>
            </w:tcMar>
          </w:tcPr>
          <w:p>
            <w:pPr>
              <w:spacing w:after="60" w:line="245" w:lineRule="auto"/>
            </w:pPr>
            <w:r>
              <w:rPr>
                <w:b w:val="0"/>
                <w:sz w:val="19"/>
              </w:rPr>
              <w:t>Yellow</w:t>
            </w:r>
          </w:p>
        </w:tc>
        <w:tc>
          <w:tcPr>
            <w:tcW w:type="dxa" w:w="2448"/>
            <w:tcMar>
              <w:top w:w="75" w:type="dxa"/>
              <w:bottom w:w="75" w:type="dxa"/>
              <w:left w:w="75" w:type="dxa"/>
              <w:right w:w="75" w:type="dxa"/>
            </w:tcMar>
          </w:tcPr>
          <w:p>
            <w:pPr>
              <w:spacing w:after="60" w:line="245" w:lineRule="auto"/>
            </w:pPr>
            <w:r>
              <w:rPr>
                <w:b w:val="0"/>
                <w:sz w:val="19"/>
              </w:rPr>
              <w:t>#f1af15</w:t>
            </w:r>
          </w:p>
        </w:tc>
        <w:tc>
          <w:tcPr>
            <w:tcW w:type="dxa" w:w="2520"/>
            <w:tcMar>
              <w:top w:w="75" w:type="dxa"/>
              <w:bottom w:w="75" w:type="dxa"/>
              <w:left w:w="75" w:type="dxa"/>
              <w:right w:w="75" w:type="dxa"/>
            </w:tcMar>
          </w:tcPr>
          <w:p>
            <w:pPr>
              <w:spacing w:after="60" w:line="245" w:lineRule="auto"/>
            </w:pPr>
            <w:r>
              <w:rPr>
                <w:b w:val="0"/>
                <w:sz w:val="19"/>
              </w:rPr>
              <w:t>Pink</w:t>
            </w:r>
          </w:p>
        </w:tc>
        <w:tc>
          <w:tcPr>
            <w:tcW w:type="dxa" w:w="2448"/>
            <w:tcMar>
              <w:top w:w="75" w:type="dxa"/>
              <w:bottom w:w="75" w:type="dxa"/>
              <w:left w:w="75" w:type="dxa"/>
              <w:right w:w="75" w:type="dxa"/>
            </w:tcMar>
          </w:tcPr>
          <w:p>
            <w:pPr>
              <w:spacing w:after="60" w:line="245" w:lineRule="auto"/>
            </w:pPr>
            <w:r>
              <w:rPr>
                <w:b w:val="0"/>
                <w:sz w:val="19"/>
              </w:rPr>
              <w:t>#d5658f</w:t>
            </w:r>
          </w:p>
        </w:tc>
      </w:tr>
    </w:tbl>
    <w:p>
      <w:pPr>
        <w:spacing w:after="0"/>
      </w:pPr>
    </w:p>
    <w:p>
      <w:pPr>
        <w:pStyle w:val="Heading1"/>
      </w:pPr>
      <w:r>
        <w:t>7 Building and interface</w:t>
      </w:r>
    </w:p>
    <w:p>
      <w:pPr>
        <w:pStyle w:val="Heading2"/>
      </w:pPr>
      <w:r>
        <w:t>Placement and movement</w:t>
      </w:r>
    </w:p>
    <w:p>
      <w:r>
        <w:t>Before placement, a semitransparent ghost shows the object’s position, orientation, pins, and complete footprint. The side from which the player approaches and aims at the placement cell determines the initial orientation; the player can move around the cell to choose another side. An already placed object may later rotate under the confirmed safe rotation rule in Section 3. Players can target and interact with objects up to 15 blocks away. Walking, flying up and down, movement speeds, collision behavior, and the associated controls must match Minecraft Creative mode, including WASD movement, double-Space flight toggle, Space to rise, and Shift to descend while flying. This is a behavioral reference, not a dependency on or reuse of Minecraft code, and SiliconSandbox’s own world boundaries still apply. Every object and circuit may float without physical support. Existing world-size/boundary choices in the source design document remain relevant unless changed separately.</w:t>
      </w:r>
    </w:p>
    <w:p>
      <w:pPr>
        <w:pStyle w:val="Heading2"/>
      </w:pPr>
      <w:r>
        <w:t>Undo and redo</w:t>
      </w:r>
    </w:p>
    <w:p>
      <w:r>
        <w:t>Undo defaults to U and Redo to J; both can be rebound. They behave like an IDE edit history and cover edits from the preceding five minutes. The five-minute history is saved with the world and remains available after closing and reopening. It is construction/edit history, not a request for full circuit-time rewind. Exact clock/timestamp semantics for a world left closed for longer than five minutes were not specified.</w:t>
      </w:r>
    </w:p>
    <w:p>
      <w:pPr>
        <w:pStyle w:val="Heading2"/>
      </w:pPr>
      <w:r>
        <w:t>Group operations</w:t>
      </w:r>
    </w:p>
    <w:p>
      <w:r>
        <w:t>The two-corner region selection used for packaging also selects groups. After confirmation, the player can package, copy, and/or delete the selection. Paste uses the same complete-footprint preview and all-or-nothing free-space check as module expansion. There is no separate Move command; copy, delete, and paste provide the equivalent workflow. There is no general in-place replacement that preserves connections automatically; the player breaks an old object and places its replacement. A copied group contains the selected objects and internal connections. A connector cut by the selection boundary becomes an open end in the pasted group. It will not connect to nearby objects merely because it appears adjacent.</w:t>
      </w:r>
    </w:p>
    <w:p>
      <w:pPr>
        <w:pStyle w:val="Heading2"/>
      </w:pPr>
      <w:r>
        <w:t>Inventory and component settings</w:t>
      </w:r>
    </w:p>
    <w:p>
      <w:r>
        <w:t>The inventory follows the Minecraft-style reference in the original design document: a nine-slot hotbar and 27 additional slots opened with E, with the cited Clean Hotbar visual style as a reference. The conversation did not fully design search, categories, favorites, or module organization; these remain open rather than inferred from Minecraft. The default C key, remappable in settings, opens Configure for the targeted component. Parameters include gate width, counter width, divider N, pulse duration, and initial source state. A setting that changes port layout or width auto-pauses and is refused while incompatible connectors remain attached; the player disconnects them first. Other settings also apply at a safe pause boundary. Editing startup configuration is different from changing a source’s current runtime value by right-click.</w:t>
      </w:r>
    </w:p>
    <w:p>
      <w:pPr>
        <w:pStyle w:val="Heading2"/>
      </w:pPr>
      <w:r>
        <w:t>Invalid placement</w:t>
      </w:r>
    </w:p>
    <w:p>
      <w:r>
        <w:t>Use the shared, quiet invalid-action click/buzz and a single short red flash at the obstructed pin, channels, or occupied footprint. No recurring popup appears, even after repeated attempts. Multi-block actions never partially place. In Configure, an invalid field or overlapping bit range can instead turn red with a short inline explanation and disabled confirmation.</w:t>
      </w:r>
    </w:p>
    <w:p>
      <w:pPr>
        <w:pStyle w:val="Heading2"/>
      </w:pPr>
      <w:r>
        <w:t>Player presentation and tagging</w:t>
      </w:r>
    </w:p>
    <w:p>
      <w:r>
        <w:t>The player character is provisionally three blocks tall, adjustable if needed. Show the held object at the bottom right of the screen. Outline the targeted ordinary block with a thin black box; the more specific pin and connector highlights in Section 3 identify electrical targets. Placement can use another object or surface as a reference, and all objects may float.</w:t>
      </w:r>
    </w:p>
    <w:p>
      <w:r>
        <w:t>F opens a sign-like text-entry interface for the targeted block, component, or module. Show its tag as a floating name inside a small contrast box. A wire’s tag appears at every end attached to a component or module; electrically continuous segments share one tag rather than separate segment names. Net Link link names remain distinct from ordinary labels.</w:t>
      </w:r>
    </w:p>
    <w:p>
      <w:r>
        <w:t xml:space="preserve">The tagging interface also lets the player choose a wire identity color, including for Net Links. Save that color. </w:t>
      </w:r>
      <w:r>
        <w:rPr>
          <w:b/>
        </w:rPr>
        <w:t>Open:</w:t>
      </w:r>
      <w:r>
        <w:t xml:space="preserve"> how identity colors coexist visually with the required muted blue 0, bright green 1, pulsing red X, and gray Z state colors; neither requirement silently removes the other.</w:t>
      </w:r>
    </w:p>
    <w:p>
      <w:pPr>
        <w:pStyle w:val="Heading2"/>
      </w:pPr>
      <w:r>
        <w:t>Menus and inventory appearance</w:t>
      </w:r>
    </w:p>
    <w:p>
      <w:r>
        <w:t>Menu button placement, ordering, and style must be easy to change without breaking the actions. The main menu includes New Game, which asks for world name and settings; Load Game, which lists saved world files; and Settings. Preserve the original illustrated menu reference, replacing its map-themed objects with 3D gate and component blocks. Inventory and hotbar appearance follow the original Clean Hotbar texture-pack reference at https://www.planetMinecraft.com/texture-pack/clean-hotbar-6460785/ . Detailed search, categories, favorites, and module organization remain open.</w:t>
      </w:r>
    </w:p>
    <w:p>
      <w:pPr>
        <w:pStyle w:val="Heading2"/>
      </w:pPr>
      <w:r>
        <w:t>Default controls</w:t>
      </w:r>
    </w:p>
    <w:tbl>
      <w:tblPr>
        <w:tblW w:type="auto" w:w="0"/>
        <w:tblLayout w:type="fixed"/>
        <w:tblLook w:firstColumn="1" w:firstRow="1" w:lastColumn="0" w:lastRow="0" w:noHBand="0" w:noVBand="1" w:val="04A0"/>
      </w:tblPr>
      <w:tblGrid>
        <w:gridCol w:w="3024"/>
        <w:gridCol w:w="6912"/>
      </w:tblGrid>
      <w:tr>
        <w:trPr>
          <w:cantSplit/>
          <w:tblHeader/>
        </w:trPr>
        <w:tc>
          <w:tcPr>
            <w:tcW w:type="dxa" w:w="3024"/>
            <w:tcMar>
              <w:top w:w="75" w:type="dxa"/>
              <w:bottom w:w="75" w:type="dxa"/>
              <w:left w:w="75" w:type="dxa"/>
              <w:right w:w="75" w:type="dxa"/>
            </w:tcMar>
            <w:shd w:fill="E7E6E6"/>
          </w:tcPr>
          <w:p>
            <w:pPr>
              <w:spacing w:after="60" w:line="245" w:lineRule="auto"/>
            </w:pPr>
            <w:r>
              <w:rPr>
                <w:b/>
                <w:sz w:val="19"/>
              </w:rPr>
              <w:t>Input</w:t>
            </w:r>
          </w:p>
        </w:tc>
        <w:tc>
          <w:tcPr>
            <w:tcW w:type="dxa" w:w="6912"/>
            <w:tcMar>
              <w:top w:w="75" w:type="dxa"/>
              <w:bottom w:w="75" w:type="dxa"/>
              <w:left w:w="75" w:type="dxa"/>
              <w:right w:w="75" w:type="dxa"/>
            </w:tcMar>
            <w:shd w:fill="E7E6E6"/>
          </w:tcPr>
          <w:p>
            <w:pPr>
              <w:spacing w:after="60" w:line="245" w:lineRule="auto"/>
            </w:pPr>
            <w:r>
              <w:rPr>
                <w:b/>
                <w:sz w:val="19"/>
              </w:rPr>
              <w:t>Action</w:t>
            </w:r>
          </w:p>
        </w:tc>
      </w:tr>
      <w:tr>
        <w:trPr>
          <w:cantSplit/>
        </w:trPr>
        <w:tc>
          <w:tcPr>
            <w:tcW w:type="dxa" w:w="3024"/>
            <w:tcMar>
              <w:top w:w="75" w:type="dxa"/>
              <w:bottom w:w="75" w:type="dxa"/>
              <w:left w:w="75" w:type="dxa"/>
              <w:right w:w="75" w:type="dxa"/>
            </w:tcMar>
          </w:tcPr>
          <w:p>
            <w:pPr>
              <w:spacing w:after="60" w:line="245" w:lineRule="auto"/>
            </w:pPr>
            <w:r>
              <w:rPr>
                <w:b w:val="0"/>
                <w:sz w:val="19"/>
              </w:rPr>
              <w:t>W, A, S, D</w:t>
            </w:r>
          </w:p>
        </w:tc>
        <w:tc>
          <w:tcPr>
            <w:tcW w:type="dxa" w:w="6912"/>
            <w:tcMar>
              <w:top w:w="75" w:type="dxa"/>
              <w:bottom w:w="75" w:type="dxa"/>
              <w:left w:w="75" w:type="dxa"/>
              <w:right w:w="75" w:type="dxa"/>
            </w:tcMar>
          </w:tcPr>
          <w:p>
            <w:pPr>
              <w:spacing w:after="60" w:line="245" w:lineRule="auto"/>
            </w:pPr>
            <w:r>
              <w:rPr>
                <w:b w:val="0"/>
                <w:sz w:val="19"/>
              </w:rPr>
              <w:t>Move forward, left, backward, and right</w:t>
            </w:r>
          </w:p>
        </w:tc>
      </w:tr>
      <w:tr>
        <w:trPr>
          <w:cantSplit/>
        </w:trPr>
        <w:tc>
          <w:tcPr>
            <w:tcW w:type="dxa" w:w="3024"/>
            <w:tcMar>
              <w:top w:w="75" w:type="dxa"/>
              <w:bottom w:w="75" w:type="dxa"/>
              <w:left w:w="75" w:type="dxa"/>
              <w:right w:w="75" w:type="dxa"/>
            </w:tcMar>
          </w:tcPr>
          <w:p>
            <w:pPr>
              <w:spacing w:after="60" w:line="245" w:lineRule="auto"/>
            </w:pPr>
            <w:r>
              <w:rPr>
                <w:b w:val="0"/>
                <w:sz w:val="19"/>
              </w:rPr>
              <w:t>Space</w:t>
            </w:r>
          </w:p>
        </w:tc>
        <w:tc>
          <w:tcPr>
            <w:tcW w:type="dxa" w:w="6912"/>
            <w:tcMar>
              <w:top w:w="75" w:type="dxa"/>
              <w:bottom w:w="75" w:type="dxa"/>
              <w:left w:w="75" w:type="dxa"/>
              <w:right w:w="75" w:type="dxa"/>
            </w:tcMar>
          </w:tcPr>
          <w:p>
            <w:pPr>
              <w:spacing w:after="60" w:line="245" w:lineRule="auto"/>
            </w:pPr>
            <w:r>
              <w:rPr>
                <w:b w:val="0"/>
                <w:sz w:val="19"/>
              </w:rPr>
              <w:t>jump</w:t>
            </w:r>
          </w:p>
        </w:tc>
      </w:tr>
      <w:tr>
        <w:trPr>
          <w:cantSplit/>
        </w:trPr>
        <w:tc>
          <w:tcPr>
            <w:tcW w:type="dxa" w:w="3024"/>
            <w:tcMar>
              <w:top w:w="75" w:type="dxa"/>
              <w:bottom w:w="75" w:type="dxa"/>
              <w:left w:w="75" w:type="dxa"/>
              <w:right w:w="75" w:type="dxa"/>
            </w:tcMar>
          </w:tcPr>
          <w:p>
            <w:pPr>
              <w:spacing w:after="60" w:line="245" w:lineRule="auto"/>
            </w:pPr>
            <w:r>
              <w:rPr>
                <w:b w:val="0"/>
                <w:sz w:val="19"/>
              </w:rPr>
              <w:t>Double tap space</w:t>
            </w:r>
          </w:p>
        </w:tc>
        <w:tc>
          <w:tcPr>
            <w:tcW w:type="dxa" w:w="6912"/>
            <w:tcMar>
              <w:top w:w="75" w:type="dxa"/>
              <w:bottom w:w="75" w:type="dxa"/>
              <w:left w:w="75" w:type="dxa"/>
              <w:right w:w="75" w:type="dxa"/>
            </w:tcMar>
          </w:tcPr>
          <w:p>
            <w:pPr>
              <w:spacing w:after="60" w:line="245" w:lineRule="auto"/>
            </w:pPr>
            <w:r>
              <w:rPr>
                <w:b w:val="0"/>
                <w:sz w:val="19"/>
              </w:rPr>
              <w:t>fly</w:t>
            </w:r>
          </w:p>
        </w:tc>
      </w:tr>
      <w:tr>
        <w:trPr>
          <w:cantSplit/>
        </w:trPr>
        <w:tc>
          <w:tcPr>
            <w:tcW w:type="dxa" w:w="3024"/>
            <w:tcMar>
              <w:top w:w="75" w:type="dxa"/>
              <w:bottom w:w="75" w:type="dxa"/>
              <w:left w:w="75" w:type="dxa"/>
              <w:right w:w="75" w:type="dxa"/>
            </w:tcMar>
          </w:tcPr>
          <w:p>
            <w:pPr>
              <w:spacing w:after="60" w:line="245" w:lineRule="auto"/>
            </w:pPr>
            <w:r>
              <w:rPr>
                <w:b w:val="0"/>
                <w:sz w:val="19"/>
              </w:rPr>
              <w:t>Left Ctrl</w:t>
            </w:r>
          </w:p>
        </w:tc>
        <w:tc>
          <w:tcPr>
            <w:tcW w:type="dxa" w:w="6912"/>
            <w:tcMar>
              <w:top w:w="75" w:type="dxa"/>
              <w:bottom w:w="75" w:type="dxa"/>
              <w:left w:w="75" w:type="dxa"/>
              <w:right w:w="75" w:type="dxa"/>
            </w:tcMar>
          </w:tcPr>
          <w:p>
            <w:pPr>
              <w:spacing w:after="60" w:line="245" w:lineRule="auto"/>
            </w:pPr>
            <w:r>
              <w:rPr>
                <w:b w:val="0"/>
                <w:sz w:val="19"/>
              </w:rPr>
              <w:t>toggle Sprint</w:t>
            </w:r>
          </w:p>
        </w:tc>
      </w:tr>
      <w:tr>
        <w:trPr>
          <w:cantSplit/>
        </w:trPr>
        <w:tc>
          <w:tcPr>
            <w:tcW w:type="dxa" w:w="3024"/>
            <w:tcMar>
              <w:top w:w="75" w:type="dxa"/>
              <w:bottom w:w="75" w:type="dxa"/>
              <w:left w:w="75" w:type="dxa"/>
              <w:right w:w="75" w:type="dxa"/>
            </w:tcMar>
          </w:tcPr>
          <w:p>
            <w:pPr>
              <w:spacing w:after="60" w:line="245" w:lineRule="auto"/>
            </w:pPr>
            <w:r>
              <w:rPr>
                <w:b w:val="0"/>
                <w:sz w:val="19"/>
              </w:rPr>
              <w:t>Left Shift</w:t>
            </w:r>
          </w:p>
        </w:tc>
        <w:tc>
          <w:tcPr>
            <w:tcW w:type="dxa" w:w="6912"/>
            <w:tcMar>
              <w:top w:w="75" w:type="dxa"/>
              <w:bottom w:w="75" w:type="dxa"/>
              <w:left w:w="75" w:type="dxa"/>
              <w:right w:w="75" w:type="dxa"/>
            </w:tcMar>
          </w:tcPr>
          <w:p>
            <w:pPr>
              <w:spacing w:after="60" w:line="245" w:lineRule="auto"/>
            </w:pPr>
            <w:r>
              <w:rPr>
                <w:b w:val="0"/>
                <w:sz w:val="19"/>
              </w:rPr>
              <w:t>Sneak (prevents falling off edges)</w:t>
            </w:r>
          </w:p>
        </w:tc>
      </w:tr>
      <w:tr>
        <w:trPr>
          <w:cantSplit/>
        </w:trPr>
        <w:tc>
          <w:tcPr>
            <w:tcW w:type="dxa" w:w="3024"/>
            <w:tcMar>
              <w:top w:w="75" w:type="dxa"/>
              <w:bottom w:w="75" w:type="dxa"/>
              <w:left w:w="75" w:type="dxa"/>
              <w:right w:w="75" w:type="dxa"/>
            </w:tcMar>
          </w:tcPr>
          <w:p>
            <w:pPr>
              <w:spacing w:after="60" w:line="245" w:lineRule="auto"/>
            </w:pPr>
            <w:r>
              <w:rPr>
                <w:b w:val="0"/>
                <w:sz w:val="19"/>
              </w:rPr>
              <w:t>Left Mouse Button</w:t>
            </w:r>
          </w:p>
        </w:tc>
        <w:tc>
          <w:tcPr>
            <w:tcW w:type="dxa" w:w="6912"/>
            <w:tcMar>
              <w:top w:w="75" w:type="dxa"/>
              <w:bottom w:w="75" w:type="dxa"/>
              <w:left w:w="75" w:type="dxa"/>
              <w:right w:w="75" w:type="dxa"/>
            </w:tcMar>
          </w:tcPr>
          <w:p>
            <w:pPr>
              <w:spacing w:after="60" w:line="245" w:lineRule="auto"/>
            </w:pPr>
            <w:r>
              <w:rPr>
                <w:b w:val="0"/>
                <w:sz w:val="19"/>
              </w:rPr>
              <w:t>Attack or break blocks.</w:t>
            </w:r>
          </w:p>
        </w:tc>
      </w:tr>
      <w:tr>
        <w:trPr>
          <w:cantSplit/>
        </w:trPr>
        <w:tc>
          <w:tcPr>
            <w:tcW w:type="dxa" w:w="3024"/>
            <w:tcMar>
              <w:top w:w="75" w:type="dxa"/>
              <w:bottom w:w="75" w:type="dxa"/>
              <w:left w:w="75" w:type="dxa"/>
              <w:right w:w="75" w:type="dxa"/>
            </w:tcMar>
          </w:tcPr>
          <w:p>
            <w:pPr>
              <w:spacing w:after="60" w:line="245" w:lineRule="auto"/>
            </w:pPr>
            <w:r>
              <w:rPr>
                <w:b w:val="0"/>
                <w:sz w:val="19"/>
              </w:rPr>
              <w:t>Right Mouse Button</w:t>
            </w:r>
          </w:p>
        </w:tc>
        <w:tc>
          <w:tcPr>
            <w:tcW w:type="dxa" w:w="6912"/>
            <w:tcMar>
              <w:top w:w="75" w:type="dxa"/>
              <w:bottom w:w="75" w:type="dxa"/>
              <w:left w:w="75" w:type="dxa"/>
              <w:right w:w="75" w:type="dxa"/>
            </w:tcMar>
          </w:tcPr>
          <w:p>
            <w:pPr>
              <w:spacing w:after="60" w:line="245" w:lineRule="auto"/>
            </w:pPr>
            <w:r>
              <w:rPr>
                <w:b w:val="0"/>
                <w:sz w:val="19"/>
              </w:rPr>
              <w:t>Use items, place blocks, or open Interfaces.</w:t>
            </w:r>
          </w:p>
        </w:tc>
      </w:tr>
      <w:tr>
        <w:trPr>
          <w:cantSplit/>
        </w:trPr>
        <w:tc>
          <w:tcPr>
            <w:tcW w:type="dxa" w:w="3024"/>
            <w:tcMar>
              <w:top w:w="75" w:type="dxa"/>
              <w:bottom w:w="75" w:type="dxa"/>
              <w:left w:w="75" w:type="dxa"/>
              <w:right w:w="75" w:type="dxa"/>
            </w:tcMar>
          </w:tcPr>
          <w:p>
            <w:pPr>
              <w:spacing w:after="60" w:line="245" w:lineRule="auto"/>
            </w:pPr>
            <w:r>
              <w:rPr>
                <w:b w:val="0"/>
                <w:sz w:val="19"/>
              </w:rPr>
              <w:t>Scroll Wheel / Keys 1–9</w:t>
            </w:r>
          </w:p>
        </w:tc>
        <w:tc>
          <w:tcPr>
            <w:tcW w:type="dxa" w:w="6912"/>
            <w:tcMar>
              <w:top w:w="75" w:type="dxa"/>
              <w:bottom w:w="75" w:type="dxa"/>
              <w:left w:w="75" w:type="dxa"/>
              <w:right w:w="75" w:type="dxa"/>
            </w:tcMar>
          </w:tcPr>
          <w:p>
            <w:pPr>
              <w:spacing w:after="60" w:line="245" w:lineRule="auto"/>
            </w:pPr>
            <w:r>
              <w:rPr>
                <w:b w:val="0"/>
                <w:sz w:val="19"/>
              </w:rPr>
              <w:t>Select hotbar items.</w:t>
            </w:r>
          </w:p>
        </w:tc>
      </w:tr>
      <w:tr>
        <w:trPr>
          <w:cantSplit/>
        </w:trPr>
        <w:tc>
          <w:tcPr>
            <w:tcW w:type="dxa" w:w="3024"/>
            <w:tcMar>
              <w:top w:w="75" w:type="dxa"/>
              <w:bottom w:w="75" w:type="dxa"/>
              <w:left w:w="75" w:type="dxa"/>
              <w:right w:w="75" w:type="dxa"/>
            </w:tcMar>
          </w:tcPr>
          <w:p>
            <w:pPr>
              <w:spacing w:after="60" w:line="245" w:lineRule="auto"/>
            </w:pPr>
            <w:r>
              <w:rPr>
                <w:b w:val="0"/>
                <w:sz w:val="19"/>
              </w:rPr>
              <w:t>E</w:t>
            </w:r>
          </w:p>
        </w:tc>
        <w:tc>
          <w:tcPr>
            <w:tcW w:type="dxa" w:w="6912"/>
            <w:tcMar>
              <w:top w:w="75" w:type="dxa"/>
              <w:bottom w:w="75" w:type="dxa"/>
              <w:left w:w="75" w:type="dxa"/>
              <w:right w:w="75" w:type="dxa"/>
            </w:tcMar>
          </w:tcPr>
          <w:p>
            <w:pPr>
              <w:spacing w:after="60" w:line="245" w:lineRule="auto"/>
            </w:pPr>
            <w:r>
              <w:rPr>
                <w:b w:val="0"/>
                <w:sz w:val="19"/>
              </w:rPr>
              <w:t>Open or close the inventory.</w:t>
            </w:r>
          </w:p>
        </w:tc>
      </w:tr>
      <w:tr>
        <w:trPr>
          <w:cantSplit/>
        </w:trPr>
        <w:tc>
          <w:tcPr>
            <w:tcW w:type="dxa" w:w="3024"/>
            <w:tcMar>
              <w:top w:w="75" w:type="dxa"/>
              <w:bottom w:w="75" w:type="dxa"/>
              <w:left w:w="75" w:type="dxa"/>
              <w:right w:w="75" w:type="dxa"/>
            </w:tcMar>
          </w:tcPr>
          <w:p>
            <w:pPr>
              <w:spacing w:after="60" w:line="245" w:lineRule="auto"/>
            </w:pPr>
            <w:r>
              <w:rPr>
                <w:b w:val="0"/>
                <w:sz w:val="19"/>
              </w:rPr>
              <w:t>R</w:t>
            </w:r>
          </w:p>
        </w:tc>
        <w:tc>
          <w:tcPr>
            <w:tcW w:type="dxa" w:w="6912"/>
            <w:tcMar>
              <w:top w:w="75" w:type="dxa"/>
              <w:bottom w:w="75" w:type="dxa"/>
              <w:left w:w="75" w:type="dxa"/>
              <w:right w:w="75" w:type="dxa"/>
            </w:tcMar>
          </w:tcPr>
          <w:p>
            <w:pPr>
              <w:spacing w:after="60" w:line="245" w:lineRule="auto"/>
            </w:pPr>
            <w:r>
              <w:rPr>
                <w:b w:val="0"/>
                <w:sz w:val="19"/>
              </w:rPr>
              <w:t>select first boundary block for Packaging</w:t>
            </w:r>
          </w:p>
        </w:tc>
      </w:tr>
      <w:tr>
        <w:trPr>
          <w:cantSplit/>
        </w:trPr>
        <w:tc>
          <w:tcPr>
            <w:tcW w:type="dxa" w:w="3024"/>
            <w:tcMar>
              <w:top w:w="75" w:type="dxa"/>
              <w:bottom w:w="75" w:type="dxa"/>
              <w:left w:w="75" w:type="dxa"/>
              <w:right w:w="75" w:type="dxa"/>
            </w:tcMar>
          </w:tcPr>
          <w:p>
            <w:pPr>
              <w:spacing w:after="60" w:line="245" w:lineRule="auto"/>
            </w:pPr>
            <w:r>
              <w:rPr>
                <w:b w:val="0"/>
                <w:sz w:val="19"/>
              </w:rPr>
              <w:t>T</w:t>
            </w:r>
          </w:p>
        </w:tc>
        <w:tc>
          <w:tcPr>
            <w:tcW w:type="dxa" w:w="6912"/>
            <w:tcMar>
              <w:top w:w="75" w:type="dxa"/>
              <w:bottom w:w="75" w:type="dxa"/>
              <w:left w:w="75" w:type="dxa"/>
              <w:right w:w="75" w:type="dxa"/>
            </w:tcMar>
          </w:tcPr>
          <w:p>
            <w:pPr>
              <w:spacing w:after="60" w:line="245" w:lineRule="auto"/>
            </w:pPr>
            <w:r>
              <w:rPr>
                <w:b w:val="0"/>
                <w:sz w:val="19"/>
              </w:rPr>
              <w:t>select second boundary block for Packaging</w:t>
            </w:r>
          </w:p>
        </w:tc>
      </w:tr>
      <w:tr>
        <w:trPr>
          <w:cantSplit/>
        </w:trPr>
        <w:tc>
          <w:tcPr>
            <w:tcW w:type="dxa" w:w="3024"/>
            <w:tcMar>
              <w:top w:w="75" w:type="dxa"/>
              <w:bottom w:w="75" w:type="dxa"/>
              <w:left w:w="75" w:type="dxa"/>
              <w:right w:w="75" w:type="dxa"/>
            </w:tcMar>
          </w:tcPr>
          <w:p>
            <w:pPr>
              <w:spacing w:after="60" w:line="245" w:lineRule="auto"/>
            </w:pPr>
            <w:r>
              <w:rPr>
                <w:b w:val="0"/>
                <w:sz w:val="19"/>
              </w:rPr>
              <w:t>Enter/Return</w:t>
            </w:r>
          </w:p>
        </w:tc>
        <w:tc>
          <w:tcPr>
            <w:tcW w:type="dxa" w:w="6912"/>
            <w:tcMar>
              <w:top w:w="75" w:type="dxa"/>
              <w:bottom w:w="75" w:type="dxa"/>
              <w:left w:w="75" w:type="dxa"/>
              <w:right w:w="75" w:type="dxa"/>
            </w:tcMar>
          </w:tcPr>
          <w:p>
            <w:pPr>
              <w:spacing w:after="60" w:line="245" w:lineRule="auto"/>
            </w:pPr>
            <w:r>
              <w:rPr>
                <w:b w:val="0"/>
                <w:sz w:val="19"/>
              </w:rPr>
              <w:t>Confirm Packaging bounding box</w:t>
            </w:r>
          </w:p>
        </w:tc>
      </w:tr>
      <w:tr>
        <w:trPr>
          <w:cantSplit/>
        </w:trPr>
        <w:tc>
          <w:tcPr>
            <w:tcW w:type="dxa" w:w="3024"/>
            <w:tcMar>
              <w:top w:w="75" w:type="dxa"/>
              <w:bottom w:w="75" w:type="dxa"/>
              <w:left w:w="75" w:type="dxa"/>
              <w:right w:w="75" w:type="dxa"/>
            </w:tcMar>
          </w:tcPr>
          <w:p>
            <w:pPr>
              <w:spacing w:after="60" w:line="245" w:lineRule="auto"/>
            </w:pPr>
            <w:r>
              <w:rPr>
                <w:b w:val="0"/>
                <w:sz w:val="19"/>
              </w:rPr>
              <w:t>F</w:t>
            </w:r>
          </w:p>
        </w:tc>
        <w:tc>
          <w:tcPr>
            <w:tcW w:type="dxa" w:w="6912"/>
            <w:tcMar>
              <w:top w:w="75" w:type="dxa"/>
              <w:bottom w:w="75" w:type="dxa"/>
              <w:left w:w="75" w:type="dxa"/>
              <w:right w:w="75" w:type="dxa"/>
            </w:tcMar>
          </w:tcPr>
          <w:p>
            <w:pPr>
              <w:spacing w:after="60" w:line="245" w:lineRule="auto"/>
            </w:pPr>
            <w:r>
              <w:rPr>
                <w:b w:val="0"/>
                <w:sz w:val="19"/>
              </w:rPr>
              <w:t>select block for tagging.</w:t>
            </w:r>
          </w:p>
        </w:tc>
      </w:tr>
      <w:tr>
        <w:trPr>
          <w:cantSplit/>
        </w:trPr>
        <w:tc>
          <w:tcPr>
            <w:tcW w:type="dxa" w:w="3024"/>
            <w:tcMar>
              <w:top w:w="75" w:type="dxa"/>
              <w:bottom w:w="75" w:type="dxa"/>
              <w:left w:w="75" w:type="dxa"/>
              <w:right w:w="75" w:type="dxa"/>
            </w:tcMar>
          </w:tcPr>
          <w:p>
            <w:pPr>
              <w:spacing w:after="60" w:line="245" w:lineRule="auto"/>
            </w:pPr>
            <w:r>
              <w:rPr>
                <w:b w:val="0"/>
                <w:sz w:val="19"/>
              </w:rPr>
              <w:t>F1</w:t>
            </w:r>
          </w:p>
        </w:tc>
        <w:tc>
          <w:tcPr>
            <w:tcW w:type="dxa" w:w="6912"/>
            <w:tcMar>
              <w:top w:w="75" w:type="dxa"/>
              <w:bottom w:w="75" w:type="dxa"/>
              <w:left w:w="75" w:type="dxa"/>
              <w:right w:w="75" w:type="dxa"/>
            </w:tcMar>
          </w:tcPr>
          <w:p>
            <w:pPr>
              <w:spacing w:after="60" w:line="245" w:lineRule="auto"/>
            </w:pPr>
            <w:r>
              <w:rPr>
                <w:b w:val="0"/>
                <w:sz w:val="19"/>
              </w:rPr>
              <w:t>Hide or show the game interface (HUD).</w:t>
            </w:r>
          </w:p>
        </w:tc>
      </w:tr>
      <w:tr>
        <w:trPr>
          <w:cantSplit/>
        </w:trPr>
        <w:tc>
          <w:tcPr>
            <w:tcW w:type="dxa" w:w="3024"/>
            <w:tcMar>
              <w:top w:w="75" w:type="dxa"/>
              <w:bottom w:w="75" w:type="dxa"/>
              <w:left w:w="75" w:type="dxa"/>
              <w:right w:w="75" w:type="dxa"/>
            </w:tcMar>
          </w:tcPr>
          <w:p>
            <w:pPr>
              <w:spacing w:after="60" w:line="245" w:lineRule="auto"/>
            </w:pPr>
            <w:r>
              <w:rPr>
                <w:b w:val="0"/>
                <w:sz w:val="19"/>
              </w:rPr>
              <w:t>F2</w:t>
            </w:r>
          </w:p>
        </w:tc>
        <w:tc>
          <w:tcPr>
            <w:tcW w:type="dxa" w:w="6912"/>
            <w:tcMar>
              <w:top w:w="75" w:type="dxa"/>
              <w:bottom w:w="75" w:type="dxa"/>
              <w:left w:w="75" w:type="dxa"/>
              <w:right w:w="75" w:type="dxa"/>
            </w:tcMar>
          </w:tcPr>
          <w:p>
            <w:pPr>
              <w:spacing w:after="60" w:line="245" w:lineRule="auto"/>
            </w:pPr>
            <w:r>
              <w:rPr>
                <w:b w:val="0"/>
                <w:sz w:val="19"/>
              </w:rPr>
              <w:t>Take a screenshot.</w:t>
            </w:r>
          </w:p>
        </w:tc>
      </w:tr>
      <w:tr>
        <w:trPr>
          <w:cantSplit/>
        </w:trPr>
        <w:tc>
          <w:tcPr>
            <w:tcW w:type="dxa" w:w="3024"/>
            <w:tcMar>
              <w:top w:w="75" w:type="dxa"/>
              <w:bottom w:w="75" w:type="dxa"/>
              <w:left w:w="75" w:type="dxa"/>
              <w:right w:w="75" w:type="dxa"/>
            </w:tcMar>
          </w:tcPr>
          <w:p>
            <w:pPr>
              <w:spacing w:after="60" w:line="245" w:lineRule="auto"/>
            </w:pPr>
            <w:r>
              <w:rPr>
                <w:b w:val="0"/>
                <w:sz w:val="19"/>
              </w:rPr>
              <w:t>F3</w:t>
            </w:r>
          </w:p>
        </w:tc>
        <w:tc>
          <w:tcPr>
            <w:tcW w:type="dxa" w:w="6912"/>
            <w:tcMar>
              <w:top w:w="75" w:type="dxa"/>
              <w:bottom w:w="75" w:type="dxa"/>
              <w:left w:w="75" w:type="dxa"/>
              <w:right w:w="75" w:type="dxa"/>
            </w:tcMar>
          </w:tcPr>
          <w:p>
            <w:pPr>
              <w:spacing w:after="60" w:line="245" w:lineRule="auto"/>
            </w:pPr>
            <w:r>
              <w:rPr>
                <w:b w:val="0"/>
                <w:sz w:val="19"/>
              </w:rPr>
              <w:t>Open the debug screen.</w:t>
            </w:r>
          </w:p>
        </w:tc>
      </w:tr>
      <w:tr>
        <w:trPr>
          <w:cantSplit/>
        </w:trPr>
        <w:tc>
          <w:tcPr>
            <w:tcW w:type="dxa" w:w="3024"/>
            <w:tcMar>
              <w:top w:w="75" w:type="dxa"/>
              <w:bottom w:w="75" w:type="dxa"/>
              <w:left w:w="75" w:type="dxa"/>
              <w:right w:w="75" w:type="dxa"/>
            </w:tcMar>
          </w:tcPr>
          <w:p>
            <w:pPr>
              <w:spacing w:after="60" w:line="245" w:lineRule="auto"/>
            </w:pPr>
            <w:r>
              <w:rPr>
                <w:b w:val="0"/>
                <w:sz w:val="19"/>
              </w:rPr>
              <w:t>Esc</w:t>
            </w:r>
          </w:p>
        </w:tc>
        <w:tc>
          <w:tcPr>
            <w:tcW w:type="dxa" w:w="6912"/>
            <w:tcMar>
              <w:top w:w="75" w:type="dxa"/>
              <w:bottom w:w="75" w:type="dxa"/>
              <w:left w:w="75" w:type="dxa"/>
              <w:right w:w="75" w:type="dxa"/>
            </w:tcMar>
          </w:tcPr>
          <w:p>
            <w:pPr>
              <w:spacing w:after="60" w:line="245" w:lineRule="auto"/>
            </w:pPr>
            <w:r>
              <w:rPr>
                <w:b w:val="0"/>
                <w:sz w:val="19"/>
              </w:rPr>
              <w:t>Pause the game or exit screens</w:t>
            </w:r>
          </w:p>
        </w:tc>
      </w:tr>
      <w:tr>
        <w:trPr>
          <w:cantSplit/>
        </w:trPr>
        <w:tc>
          <w:tcPr>
            <w:tcW w:type="dxa" w:w="3024"/>
            <w:tcMar>
              <w:top w:w="75" w:type="dxa"/>
              <w:bottom w:w="75" w:type="dxa"/>
              <w:left w:w="75" w:type="dxa"/>
              <w:right w:w="75" w:type="dxa"/>
            </w:tcMar>
          </w:tcPr>
          <w:p>
            <w:pPr>
              <w:spacing w:after="60" w:line="245" w:lineRule="auto"/>
            </w:pPr>
            <w:r>
              <w:rPr>
                <w:b w:val="0"/>
                <w:sz w:val="19"/>
              </w:rPr>
              <w:t>P</w:t>
            </w:r>
          </w:p>
        </w:tc>
        <w:tc>
          <w:tcPr>
            <w:tcW w:type="dxa" w:w="6912"/>
            <w:tcMar>
              <w:top w:w="75" w:type="dxa"/>
              <w:bottom w:w="75" w:type="dxa"/>
              <w:left w:w="75" w:type="dxa"/>
              <w:right w:w="75" w:type="dxa"/>
            </w:tcMar>
          </w:tcPr>
          <w:p>
            <w:pPr>
              <w:spacing w:after="60" w:line="245" w:lineRule="auto"/>
            </w:pPr>
            <w:r>
              <w:rPr>
                <w:b w:val="0"/>
                <w:sz w:val="19"/>
              </w:rPr>
              <w:t>Start or stop the world clock.</w:t>
            </w:r>
          </w:p>
        </w:tc>
      </w:tr>
      <w:tr>
        <w:trPr>
          <w:cantSplit/>
        </w:trPr>
        <w:tc>
          <w:tcPr>
            <w:tcW w:type="dxa" w:w="3024"/>
            <w:tcMar>
              <w:top w:w="75" w:type="dxa"/>
              <w:bottom w:w="75" w:type="dxa"/>
              <w:left w:w="75" w:type="dxa"/>
              <w:right w:w="75" w:type="dxa"/>
            </w:tcMar>
          </w:tcPr>
          <w:p>
            <w:pPr>
              <w:spacing w:after="60" w:line="245" w:lineRule="auto"/>
            </w:pPr>
            <w:r>
              <w:rPr>
                <w:b w:val="0"/>
                <w:sz w:val="19"/>
              </w:rPr>
              <w:t>Space while flying</w:t>
            </w:r>
          </w:p>
        </w:tc>
        <w:tc>
          <w:tcPr>
            <w:tcW w:type="dxa" w:w="6912"/>
            <w:tcMar>
              <w:top w:w="75" w:type="dxa"/>
              <w:bottom w:w="75" w:type="dxa"/>
              <w:left w:w="75" w:type="dxa"/>
              <w:right w:w="75" w:type="dxa"/>
            </w:tcMar>
          </w:tcPr>
          <w:p>
            <w:pPr>
              <w:spacing w:after="60" w:line="245" w:lineRule="auto"/>
            </w:pPr>
            <w:r>
              <w:rPr>
                <w:b w:val="0"/>
                <w:sz w:val="19"/>
              </w:rPr>
              <w:t>Rise</w:t>
            </w:r>
          </w:p>
        </w:tc>
      </w:tr>
      <w:tr>
        <w:trPr>
          <w:cantSplit/>
        </w:trPr>
        <w:tc>
          <w:tcPr>
            <w:tcW w:type="dxa" w:w="3024"/>
            <w:tcMar>
              <w:top w:w="75" w:type="dxa"/>
              <w:bottom w:w="75" w:type="dxa"/>
              <w:left w:w="75" w:type="dxa"/>
              <w:right w:w="75" w:type="dxa"/>
            </w:tcMar>
          </w:tcPr>
          <w:p>
            <w:pPr>
              <w:spacing w:after="60" w:line="245" w:lineRule="auto"/>
            </w:pPr>
            <w:r>
              <w:rPr>
                <w:b w:val="0"/>
                <w:sz w:val="19"/>
              </w:rPr>
              <w:t>Shift while flying</w:t>
            </w:r>
          </w:p>
        </w:tc>
        <w:tc>
          <w:tcPr>
            <w:tcW w:type="dxa" w:w="6912"/>
            <w:tcMar>
              <w:top w:w="75" w:type="dxa"/>
              <w:bottom w:w="75" w:type="dxa"/>
              <w:left w:w="75" w:type="dxa"/>
              <w:right w:w="75" w:type="dxa"/>
            </w:tcMar>
          </w:tcPr>
          <w:p>
            <w:pPr>
              <w:spacing w:after="60" w:line="245" w:lineRule="auto"/>
            </w:pPr>
            <w:r>
              <w:rPr>
                <w:b w:val="0"/>
                <w:sz w:val="19"/>
              </w:rPr>
              <w:t>Descend</w:t>
            </w:r>
          </w:p>
        </w:tc>
      </w:tr>
      <w:tr>
        <w:trPr>
          <w:cantSplit/>
        </w:trPr>
        <w:tc>
          <w:tcPr>
            <w:tcW w:type="dxa" w:w="3024"/>
            <w:tcMar>
              <w:top w:w="75" w:type="dxa"/>
              <w:bottom w:w="75" w:type="dxa"/>
              <w:left w:w="75" w:type="dxa"/>
              <w:right w:w="75" w:type="dxa"/>
            </w:tcMar>
          </w:tcPr>
          <w:p>
            <w:pPr>
              <w:spacing w:after="60" w:line="245" w:lineRule="auto"/>
            </w:pPr>
            <w:r>
              <w:rPr>
                <w:b w:val="0"/>
                <w:sz w:val="19"/>
              </w:rPr>
              <w:t>Shift plus right click</w:t>
            </w:r>
          </w:p>
        </w:tc>
        <w:tc>
          <w:tcPr>
            <w:tcW w:type="dxa" w:w="6912"/>
            <w:tcMar>
              <w:top w:w="75" w:type="dxa"/>
              <w:bottom w:w="75" w:type="dxa"/>
              <w:left w:w="75" w:type="dxa"/>
              <w:right w:w="75" w:type="dxa"/>
            </w:tcMar>
          </w:tcPr>
          <w:p>
            <w:pPr>
              <w:spacing w:after="60" w:line="245" w:lineRule="auto"/>
            </w:pPr>
            <w:r>
              <w:rPr>
                <w:b w:val="0"/>
                <w:sz w:val="19"/>
              </w:rPr>
              <w:t>Momentary concatenate modifier during connector placement</w:t>
            </w:r>
          </w:p>
        </w:tc>
      </w:tr>
      <w:tr>
        <w:trPr>
          <w:cantSplit/>
        </w:trPr>
        <w:tc>
          <w:tcPr>
            <w:tcW w:type="dxa" w:w="3024"/>
            <w:tcMar>
              <w:top w:w="75" w:type="dxa"/>
              <w:bottom w:w="75" w:type="dxa"/>
              <w:left w:w="75" w:type="dxa"/>
              <w:right w:w="75" w:type="dxa"/>
            </w:tcMar>
          </w:tcPr>
          <w:p>
            <w:pPr>
              <w:spacing w:after="60" w:line="245" w:lineRule="auto"/>
            </w:pPr>
            <w:r>
              <w:rPr>
                <w:b w:val="0"/>
                <w:sz w:val="19"/>
              </w:rPr>
              <w:t>C</w:t>
            </w:r>
          </w:p>
        </w:tc>
        <w:tc>
          <w:tcPr>
            <w:tcW w:type="dxa" w:w="6912"/>
            <w:tcMar>
              <w:top w:w="75" w:type="dxa"/>
              <w:bottom w:w="75" w:type="dxa"/>
              <w:left w:w="75" w:type="dxa"/>
              <w:right w:w="75" w:type="dxa"/>
            </w:tcMar>
          </w:tcPr>
          <w:p>
            <w:pPr>
              <w:spacing w:after="60" w:line="245" w:lineRule="auto"/>
            </w:pPr>
            <w:r>
              <w:rPr>
                <w:b w:val="0"/>
                <w:sz w:val="19"/>
              </w:rPr>
              <w:t>Configure targeted component</w:t>
            </w:r>
          </w:p>
        </w:tc>
      </w:tr>
      <w:tr>
        <w:trPr>
          <w:cantSplit/>
        </w:trPr>
        <w:tc>
          <w:tcPr>
            <w:tcW w:type="dxa" w:w="3024"/>
            <w:tcMar>
              <w:top w:w="75" w:type="dxa"/>
              <w:bottom w:w="75" w:type="dxa"/>
              <w:left w:w="75" w:type="dxa"/>
              <w:right w:w="75" w:type="dxa"/>
            </w:tcMar>
          </w:tcPr>
          <w:p>
            <w:pPr>
              <w:spacing w:after="60" w:line="245" w:lineRule="auto"/>
            </w:pPr>
            <w:r>
              <w:rPr>
                <w:b w:val="0"/>
                <w:sz w:val="19"/>
              </w:rPr>
              <w:t>I</w:t>
            </w:r>
          </w:p>
        </w:tc>
        <w:tc>
          <w:tcPr>
            <w:tcW w:type="dxa" w:w="6912"/>
            <w:tcMar>
              <w:top w:w="75" w:type="dxa"/>
              <w:bottom w:w="75" w:type="dxa"/>
              <w:left w:w="75" w:type="dxa"/>
              <w:right w:w="75" w:type="dxa"/>
            </w:tcMar>
          </w:tcPr>
          <w:p>
            <w:pPr>
              <w:spacing w:after="60" w:line="245" w:lineRule="auto"/>
            </w:pPr>
            <w:r>
              <w:rPr>
                <w:b w:val="0"/>
                <w:sz w:val="19"/>
              </w:rPr>
              <w:t>Inspect targeted connector pin or component</w:t>
            </w:r>
          </w:p>
        </w:tc>
      </w:tr>
      <w:tr>
        <w:trPr>
          <w:cantSplit/>
        </w:trPr>
        <w:tc>
          <w:tcPr>
            <w:tcW w:type="dxa" w:w="3024"/>
            <w:tcMar>
              <w:top w:w="75" w:type="dxa"/>
              <w:bottom w:w="75" w:type="dxa"/>
              <w:left w:w="75" w:type="dxa"/>
              <w:right w:w="75" w:type="dxa"/>
            </w:tcMar>
          </w:tcPr>
          <w:p>
            <w:pPr>
              <w:spacing w:after="60" w:line="245" w:lineRule="auto"/>
            </w:pPr>
            <w:r>
              <w:rPr>
                <w:b w:val="0"/>
                <w:sz w:val="19"/>
              </w:rPr>
              <w:t>U</w:t>
            </w:r>
          </w:p>
        </w:tc>
        <w:tc>
          <w:tcPr>
            <w:tcW w:type="dxa" w:w="6912"/>
            <w:tcMar>
              <w:top w:w="75" w:type="dxa"/>
              <w:bottom w:w="75" w:type="dxa"/>
              <w:left w:w="75" w:type="dxa"/>
              <w:right w:w="75" w:type="dxa"/>
            </w:tcMar>
          </w:tcPr>
          <w:p>
            <w:pPr>
              <w:spacing w:after="60" w:line="245" w:lineRule="auto"/>
            </w:pPr>
            <w:r>
              <w:rPr>
                <w:b w:val="0"/>
                <w:sz w:val="19"/>
              </w:rPr>
              <w:t>Undo construction edit</w:t>
            </w:r>
          </w:p>
        </w:tc>
      </w:tr>
      <w:tr>
        <w:trPr>
          <w:cantSplit/>
        </w:trPr>
        <w:tc>
          <w:tcPr>
            <w:tcW w:type="dxa" w:w="3024"/>
            <w:tcMar>
              <w:top w:w="75" w:type="dxa"/>
              <w:bottom w:w="75" w:type="dxa"/>
              <w:left w:w="75" w:type="dxa"/>
              <w:right w:w="75" w:type="dxa"/>
            </w:tcMar>
          </w:tcPr>
          <w:p>
            <w:pPr>
              <w:spacing w:after="60" w:line="245" w:lineRule="auto"/>
            </w:pPr>
            <w:r>
              <w:rPr>
                <w:b w:val="0"/>
                <w:sz w:val="19"/>
              </w:rPr>
              <w:t>J</w:t>
            </w:r>
          </w:p>
        </w:tc>
        <w:tc>
          <w:tcPr>
            <w:tcW w:type="dxa" w:w="6912"/>
            <w:tcMar>
              <w:top w:w="75" w:type="dxa"/>
              <w:bottom w:w="75" w:type="dxa"/>
              <w:left w:w="75" w:type="dxa"/>
              <w:right w:w="75" w:type="dxa"/>
            </w:tcMar>
          </w:tcPr>
          <w:p>
            <w:pPr>
              <w:spacing w:after="60" w:line="245" w:lineRule="auto"/>
            </w:pPr>
            <w:r>
              <w:rPr>
                <w:b w:val="0"/>
                <w:sz w:val="19"/>
              </w:rPr>
              <w:t>Redo construction edit</w:t>
            </w:r>
          </w:p>
        </w:tc>
      </w:tr>
      <w:tr>
        <w:trPr>
          <w:cantSplit/>
        </w:trPr>
        <w:tc>
          <w:tcPr>
            <w:tcW w:type="dxa" w:w="3024"/>
            <w:tcMar>
              <w:top w:w="75" w:type="dxa"/>
              <w:bottom w:w="75" w:type="dxa"/>
              <w:left w:w="75" w:type="dxa"/>
              <w:right w:w="75" w:type="dxa"/>
            </w:tcMar>
          </w:tcPr>
          <w:p>
            <w:pPr>
              <w:spacing w:after="60" w:line="245" w:lineRule="auto"/>
            </w:pPr>
            <w:r>
              <w:rPr>
                <w:b w:val="0"/>
                <w:sz w:val="19"/>
              </w:rPr>
              <w:t>Rotation and step controls</w:t>
            </w:r>
          </w:p>
        </w:tc>
        <w:tc>
          <w:tcPr>
            <w:tcW w:type="dxa" w:w="6912"/>
            <w:tcMar>
              <w:top w:w="75" w:type="dxa"/>
              <w:bottom w:w="75" w:type="dxa"/>
              <w:left w:w="75" w:type="dxa"/>
              <w:right w:w="75" w:type="dxa"/>
            </w:tcMar>
          </w:tcPr>
          <w:p>
            <w:pPr>
              <w:spacing w:after="60" w:line="245" w:lineRule="auto"/>
            </w:pPr>
            <w:r>
              <w:rPr>
                <w:b w:val="0"/>
                <w:sz w:val="19"/>
              </w:rPr>
              <w:t>Commands confirmed; default bindings still open</w:t>
            </w:r>
          </w:p>
        </w:tc>
      </w:tr>
    </w:tbl>
    <w:p>
      <w:pPr>
        <w:spacing w:after="0"/>
      </w:pPr>
    </w:p>
    <w:p>
      <w:r>
        <w:t xml:space="preserve">All bindings are configurable. R/T/Enter also serve group selection. The original Attack label on left-click does not add combat, mobs, or survival mechanics. </w:t>
      </w:r>
      <w:r>
        <w:rPr>
          <w:b/>
        </w:rPr>
        <w:t>Open:</w:t>
      </w:r>
      <w:r>
        <w:t xml:space="preserve"> precedence between source operation and placement on right-click, Shift flight/sneak and concatenation, and scroll-wheel hotbar selection versus crowded-connector cycling.</w:t>
      </w:r>
    </w:p>
    <w:p>
      <w:pPr>
        <w:jc w:val="center"/>
      </w:pPr>
      <w:r>
        <w:drawing>
          <wp:inline xmlns:a="http://schemas.openxmlformats.org/drawingml/2006/main" xmlns:pic="http://schemas.openxmlformats.org/drawingml/2006/picture">
            <wp:extent cx="5212080" cy="2933685"/>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5212080" cy="2933685"/>
                    </a:xfrm>
                    <a:prstGeom prst="rect"/>
                  </pic:spPr>
                </pic:pic>
              </a:graphicData>
            </a:graphic>
          </wp:inline>
        </w:drawing>
      </w:r>
    </w:p>
    <w:p>
      <w:pPr>
        <w:pStyle w:val="SmallNote"/>
      </w:pPr>
      <w:r>
        <w:t>Original main-menu visual reference. Replace its maps with 3D logic-gate and component blocks.</w:t>
      </w:r>
    </w:p>
    <w:p>
      <w:pPr>
        <w:pStyle w:val="Heading1"/>
      </w:pPr>
      <w:r>
        <w:t>8 Inspection and diagnostics</w:t>
      </w:r>
    </w:p>
    <w:p>
      <w:pPr>
        <w:pStyle w:val="Heading2"/>
      </w:pPr>
      <w:r>
        <w:t>Quick look and detailed inspection</w:t>
      </w:r>
    </w:p>
    <w:p>
      <w:r>
        <w:t>Looking at a connector or pin highlights the selected connection and shows its tag, width, and present value without opening a panel. Harness quick inspection can lead to its packed-vector view so individual X/Z bits and bit order are visible. The remappable I key opens detailed Inspect for a targeted connector, pin, or component: exact four-state values and bit indices, width, connected net, connected drivers where known, and the known reason for an error. The simple hover feedback remains available in the normal world view.</w:t>
      </w:r>
    </w:p>
    <w:p>
      <w:pPr>
        <w:pStyle w:val="Heading2"/>
      </w:pPr>
      <w:r>
        <w:t>Common faults</w:t>
      </w:r>
    </w:p>
    <w:p>
      <w:r>
        <w:t>An undriven net or disconnected input appears gray Z; inspection says “No active driver.” Opposed drivers make only affected bits X and pulse red. Inspection lists known driving pins and values and identifies affected bus bits; it must not claim every X is a driver conflict. A physical width mismatch triggers only the agreed single red flash and quiet click; it never auto-generates a text popup, including on repeat. The player can inspect widths. Invalid Configure fields get inline red explanation and cannot be confirmed. A circuit that exceeds the convergence limit follows Section 2 and produces a diagnostic entry pointing to the suspected nonsettling area. These are necessary basic aids before a full EDA interface exists.</w:t>
      </w:r>
    </w:p>
    <w:p>
      <w:pPr>
        <w:pStyle w:val="Heading2"/>
      </w:pPr>
      <w:r>
        <w:t>Speed and animation</w:t>
      </w:r>
    </w:p>
    <w:p>
      <w:r>
        <w:t>A small HUD indication appears when actual simulation speed falls below requested playback. F3 opens more detailed performance data showing requested simulation speed, achieved simulation speed, and rendered frames per second separately. Ordinary world colors show the latest settled simulated value. The red X pulse is a state marker, not a circuit event or clock. A traveling glow along a wire would imply physical propagation time that the RTL core does not model; any future teaching animation of update order must be clearly labeled illustrative. A full waveform viewer and Verdi-inspired advanced debugging remain later features; Verdi is the confirmed design reference for that future interface.</w:t>
      </w:r>
    </w:p>
    <w:p>
      <w:pPr>
        <w:pStyle w:val="Heading1"/>
      </w:pPr>
      <w:r>
        <w:t>9 Saving and recovery</w:t>
      </w:r>
    </w:p>
    <w:p>
      <w:pPr>
        <w:pStyle w:val="Heading2"/>
      </w:pPr>
      <w:r>
        <w:t>Saved design versus transient simulation</w:t>
      </w:r>
    </w:p>
    <w:p>
      <w:r>
        <w:t>Reopening a world starts ordinary simulation at time zero. Save construction and persistent game data: placed-object identities, positions, and rotations/orientations, connector topology, visible colors and tags, harness bit mappings, Net Link names, component and world-clock settings, explicit initial values, player position/view direction, inventory and selected hotbar slot, exact module versions and nested dependencies embedded in the world, and the preceding five minutes of undo/redo history. Do not restore ordinary current signal values, volatile RAM, flip-flop/counter state, module runtime state, simulation time, clock phase, or pending events as a live checkpoint. Reset Simulation starts the currently open design again at time zero without undoing construction or loading an older file. A future true simulator checkpoint is separate work.</w:t>
      </w:r>
    </w:p>
    <w:p>
      <w:pPr>
        <w:pStyle w:val="Heading2"/>
      </w:pPr>
      <w:r>
        <w:t>Nonvolatile exception</w:t>
      </w:r>
    </w:p>
    <w:p>
      <w:r>
        <w:t>Runtime-writable nonvolatile memory is intentionally saved at its current contents, including NVM inside placed module instances. It survives load and Reset Simulation until the player explicitly erases or reprograms it. ROM initial contents are design data, while volatile RAM loses current contents on load/reset and follows its configured initialization. Manual saves, autosaves, and normal exit save NVM. A crash may lose writes made since the valid save the player chooses; continuous per-write durability or journaling is only a possible future improvement. Module packaging captures a design memory image, not the live NVM contents of a particular placed instance. Creating/copying a fresh instance initializes from the definition; upgrading an existing instance may replace its stored NVM and therefore requires a warning.</w:t>
      </w:r>
    </w:p>
    <w:p>
      <w:pPr>
        <w:pStyle w:val="Heading2"/>
      </w:pPr>
      <w:r>
        <w:t>Source startup state</w:t>
      </w:r>
    </w:p>
    <w:p>
      <w:r>
        <w:t>Save a source’s configured initial On/Off state, width, and four-state value, not its transient state after a runtime click, unless a future checkpoint system is designed. Load and Reset Simulation restore the configured initial state and value. For a Constant Logic Source, On drives its configured scalar or vector value and Off drives zero on every bit, as specified in Section 6.</w:t>
      </w:r>
    </w:p>
    <w:p>
      <w:pPr>
        <w:pStyle w:val="Heading2"/>
      </w:pPr>
      <w:r>
        <w:t>Consistent save and recovery</w:t>
      </w:r>
    </w:p>
    <w:p>
      <w:r>
        <w:t>A save takes a consistent snapshot after the current simulation time slot finishes, without visibly pausing or resetting play. Write a new file, verify it, then make it current so an interrupted write does not destroy the last good save. A nonsettling time slot follows the convergence-limit procedure first. Autosave every five minutes while a world is open, including when simulation is paused. Autosaves older than 20 minutes may be removed only when at least four newer backups remain. Save on normal exit. On crash recovery, offer the latest valid autosave and last manual save with timestamps and let the player choose. If a file is damaged, preserve it and offer the latest valid backup instead of silently destroying or replacing it.</w:t>
      </w:r>
    </w:p>
    <w:p>
      <w:pPr>
        <w:pStyle w:val="Heading2"/>
      </w:pPr>
      <w:r>
        <w:t>World and format operations</w:t>
      </w:r>
    </w:p>
    <w:p>
      <w:r>
        <w:t>Duplicate World makes an independent world identity and deep copy of design, embedded module definitions, NVM, and saved player position; later edits or NVM writes do not cross-affect the copies. Delete World moves world files to operating-system or in-game recoverable trash and does not delete shared library modules. Save files record a format version. Migration converts a copy and retains the original; an older game version must not silently overwrite a world saved by a newer version. Educational unlocks and overall progress live in a separate local player profile shared across worlds, while an education world saves its own current lesson/challenge position. Library deletion protection must count duplicated worlds as references while they still exist.</w:t>
      </w:r>
    </w:p>
    <w:p>
      <w:pPr>
        <w:pStyle w:val="Heading1"/>
      </w:pPr>
      <w:r>
        <w:t>10 Performance and platforms</w:t>
      </w:r>
    </w:p>
    <w:p>
      <w:pPr>
        <w:pStyle w:val="Heading2"/>
      </w:pPr>
      <w:r>
        <w:t>Platforms and test machine</w:t>
      </w:r>
    </w:p>
    <w:p>
      <w:r>
        <w:t xml:space="preserve">Windows and macOS are target operating systems. The user wants performance on a PC representative of an ordinary Steam user, acknowledging that the survey changes over time. The accepted platform answer applied to the first playable version as well as the public release. </w:t>
      </w:r>
      <w:r>
        <w:rPr>
          <w:b/>
        </w:rPr>
        <w:t>Proposed benchmark procedure:</w:t>
      </w:r>
      <w:r>
        <w:t xml:space="preserve"> choose a representative Windows machine from the current Steam survey and a separate representative Mac, freeze both machines and settings within a milestone, and reassess between milestones. This follow-up recommendation was not explicitly accepted before the conversation moved on. The chat cited August 2026 examples of 1080p, 16 GB RAM, and RTX 3060; those historical claims are not a verified current survey snapshot or a chosen minimum specification.</w:t>
      </w:r>
    </w:p>
    <w:p>
      <w:pPr>
        <w:pStyle w:val="Heading2"/>
      </w:pPr>
      <w:r>
        <w:t>Benchmark</w:t>
      </w:r>
    </w:p>
    <w:p>
      <w:r>
        <w:t>For the first playable milestone, the target is at least 60 rendered frames per second at 1080p on the chosen standard preset for player circuits containing 1,000 equivalent one-bit gate operations or fewer. Measure the boundary case with a saved reference scene containing 1,000 equivalent one-bit gate operations. Count gates inside module instances; a 128-bit bitwise AND represents 128 one-bit gate operations, not one. Every benchmark result must record the test machine’s operating system, CPU, GPU, and memory, plus the display resolution and graphics preset. Also record connector-segment count, harness widths, module-instance count, register count, visible objects, and activity. Test a mostly idle and a frequently switching circuit, stationary and flying camera, ordinary editing, and circuits both visible and out of view. Offscreen simulation must produce the same electrical results; hidden geometry may be culled. Record average frame rate and stutters, not only a single peak number.</w:t>
      </w:r>
    </w:p>
    <w:p>
      <w:r>
        <w:t>Track three different things: rendered frame rate; requested versus achieved simulation rate in world-clock edges per real second; and the player circuit’s structural/logical metrics, such as equivalent gates, registers, logic depth, and cycles per result. Never skip clock edges silently to meet requested speed. Simulation CPU time measures engine workload, not the circuit’s real physical speed. The agreed first-pass response targets on the specified 1,000-gate benchmark are ordinary place/break/undo within 100 ms, manual save within 2 seconds, and load within 5 seconds. These numbers are provisional until measured on the eventual Windows PC and Mac test machines; large paste/package actions need separately defined budgets. The exact graphics preset, requested simulation rate, benchmark layout, and stutter percentile are still to be fixed with the reference world.</w:t>
      </w:r>
    </w:p>
    <w:p>
      <w:pPr>
        <w:pStyle w:val="Heading1"/>
      </w:pPr>
      <w:r>
        <w:t>11 Education and onboarding</w:t>
      </w:r>
    </w:p>
    <w:p>
      <w:r>
        <w:t>Education is the lowest-priority major mode. The long-term aspiration includes hundreds of hours of material associated with Purdue ECE 270, ECE 337, and ECE 437, but the course map, lesson sequence, challenge library, hints, and exact unlock list were deliberately left for later. Freeplay, the simulator, building, packaging, and reliable saving come first. Freeplay exposes its default components and available modules without an education unlock ladder. Freeplay also exposes the available educational material immediately, as specified in the original design. Education starts with one-bit primitives and no ready-made multi-bit logic gates or modules; learners build their own and later unlock optimized configurable-width versions. This progression teaches abstraction rather than treating an optimized block as magic.</w:t>
      </w:r>
    </w:p>
    <w:p>
      <w:r>
        <w:t>For a future lesson, record objective, prerequisites, allowed components, test inputs and sequences, expected outputs, completion criteria, and unlock. Judge observable behavior and allow different correct designs within the allowed parts; a particular construction method may be required when it is the lesson objective. Passing a finite test set means passing those tests, not formal proof of every input sequence. Let players inspect failures, revise, retry, and revisit lessons. Hints and fuller explanations can be added later. Educational unlocks belong to a local player profile across worlds, with each education world retaining its current lesson position.</w:t>
      </w:r>
    </w:p>
    <w:p>
      <w:r>
        <w:t xml:space="preserve">The eventual regular game gets a short introduction covering movement, connector/component placement, signal inspection, operation of the world clock, and packaging. The first playable professor demonstration does </w:t>
      </w:r>
      <w:r>
        <w:rPr>
          <w:b/>
        </w:rPr>
        <w:t>not</w:t>
      </w:r>
      <w:r>
        <w:t xml:space="preserve"> require this introduction because the user will demonstrate and explain that build personally. The first public release does include it. The division between player-built memory/register systems, default modules, and later advanced integrated systems still needs curriculum design.</w:t>
      </w:r>
    </w:p>
    <w:p>
      <w:pPr>
        <w:pStyle w:val="Heading1"/>
      </w:pPr>
      <w:r>
        <w:t>12 Delivery and acceptance</w:t>
      </w:r>
    </w:p>
    <w:p>
      <w:pPr>
        <w:pStyle w:val="Heading2"/>
      </w:pPr>
      <w:r>
        <w:t>First playable professor milestone</w:t>
      </w:r>
    </w:p>
    <w:p>
      <w:r>
        <w:t>The narrow milestone is a working 3D flat-world experience in which the player can build a small single-bit circuit, run four-state event-driven simulation, inspect behavior, package a stateful circuit, place two independent instances, and save/reopen without losing the design. The user presents it to a professor and can teach the controls directly. Harness concatenation, module-version migration, physical re-expansion, persisted undo history, and NVM may arrive after this milestone. This staging does not rescind their first-public-release specifications. The milestone must also meet the first-playable frame-rate target defined in Section 10.</w:t>
      </w:r>
    </w:p>
    <w:p>
      <w:pPr>
        <w:pStyle w:val="Heading2"/>
      </w:pPr>
      <w:r>
        <w:t>First public release</w:t>
      </w:r>
    </w:p>
    <w:p>
      <w:r>
        <w:t>Complete the agreed core building, simulation, components, module, debugging, persistence, and performance experience in Sections 1–10, for Windows and macOS, with a short player introduction. “Complete” here still respects the documented proposals and open details, which need resolution during design and implementation. The full education curriculum is not required at this stage.</w:t>
      </w:r>
    </w:p>
    <w:p>
      <w:pPr>
        <w:pStyle w:val="Heading2"/>
      </w:pPr>
      <w:r>
        <w:t>Later additions</w:t>
      </w:r>
    </w:p>
    <w:p>
      <w:r>
        <w:t>Full education mode, waveform/advanced EDA tools, physical implementation timing, automatic routing, and multiplayer are later scope. Optional checkpointing, richer NVM durability/migration, and clearly illustrative update animations also belong to future exploration rather than the core commitment.</w:t>
      </w:r>
    </w:p>
    <w:p>
      <w:r>
        <w:t>The agreed professor demonstration is a five-step acceptance path:</w:t>
      </w:r>
    </w:p>
    <w:p>
      <w:pPr>
        <w:pStyle w:val="SpecList"/>
      </w:pPr>
      <w:r>
        <w:t>1. Create or load a flat world and build a small one-bit circuit.</w:t>
      </w:r>
    </w:p>
    <w:p>
      <w:pPr>
        <w:pStyle w:val="SpecList"/>
      </w:pPr>
      <w:r>
        <w:t>2. Show output changes under four-state rules when inputs change, including while the circuit is out of view.</w:t>
      </w:r>
    </w:p>
    <w:p>
      <w:pPr>
        <w:pStyle w:val="SpecList"/>
      </w:pPr>
      <w:r>
        <w:t>3. Inspect a signal’s value and actual connections.</w:t>
      </w:r>
    </w:p>
    <w:p>
      <w:pPr>
        <w:pStyle w:val="SpecList"/>
      </w:pPr>
      <w:r>
        <w:t>4. Package a stateful circuit, place two instances, and show that their internal states are independent.</w:t>
      </w:r>
    </w:p>
    <w:p>
      <w:pPr>
        <w:pStyle w:val="SpecList"/>
      </w:pPr>
      <w:r>
        <w:t>5. Save and reopen; show that geometry and module design persist while ordinary simulation restarts from the defined initial state.</w:t>
      </w:r>
    </w:p>
    <w:p>
      <w:pPr>
        <w:pStyle w:val="Heading2"/>
      </w:pPr>
      <w:r>
        <w:t>Proposed verification checklist derived from confirmed rules</w:t>
      </w:r>
    </w:p>
    <w:p>
      <w:r>
        <w:t>Additional acceptance checks for the broader release should include a split net after breaking a segment; a crossing that remains unconnected until explicitly joined; bitwise equal-width harness junction versus Shift-concatenation; a failed width mismatch with one red flash and quiet click but no automatic text; safe pause while an event slot settles; nonconvergent feedback stopped with affected values X; exact module version pinning and compatible deliberate upgrade; missing-module recovery; nonvolatile memory surviving load/reset while volatile state restarts; and no electrical change when the circuit leaves the camera view. A packaged circuit must reproduce its original logic and event behavior, without a claim of physical gate or wire delay. Undo should restore a deleted object and its connections within the five-minute edit-history window.</w:t>
      </w:r>
    </w:p>
    <w:p>
      <w:pPr>
        <w:pStyle w:val="Heading1"/>
      </w:pPr>
      <w:r>
        <w:t>Appendix A Graphics and future tools</w:t>
      </w:r>
    </w:p>
    <w:p>
      <w:pPr>
        <w:pStyle w:val="Heading2"/>
      </w:pPr>
      <w:r>
        <w:t>Confirmed visual priorities</w:t>
      </w:r>
    </w:p>
    <w:p>
      <w:r>
        <w:t>Use a block art grid of 16 by 16 by 16 pixels initially, with configurable texture density. Future textures may add detail, face extrusions, and indents. In descending priority: make each object’s function intuitive at a glance; keep designs simple and uncluttered so circuits remain readable and rendering can be efficient; then improve beauty without sacrificing those priorities. The original expectation that lower pixel density automatically makes rendering faster is a performance hypothesis to measure, not a guarantee.</w:t>
      </w:r>
    </w:p>
    <w:p>
      <w:r>
        <w:t>Normal world visuals show settled circuit values, with an appearance reminiscent of Sebastian Lague’s Digital Logic Sim. Only visible geometry needs rendering. Simulation continues outside the view and render range. Breaking an object must reveal the correct neighboring faces without rendering gaps.</w:t>
      </w:r>
    </w:p>
    <w:p>
      <w:pPr>
        <w:pStyle w:val="Heading2"/>
      </w:pPr>
      <w:r>
        <w:t>Future EDA and timing tools</w:t>
      </w:r>
    </w:p>
    <w:p>
      <w:r>
        <w:t>After the core game is finished and polished, add an EDA-style interface using Synopsys Verdi as the confirmed reference: waveforms, condensed input/output views, signal-cause debugging, and complex test cases for designs too large or fast to inspect by eye. Complete waveform-history recording is an optional future feature and must use a configurable simulated-time or memory limit. A separate implementation-timing mode may add technology-specific cell and routed-wire delays, rise/fall and clock-to-Q timing, setup/hold checks, glitches, pulse handling, timing violations, critical paths, slack, and SDF-like annotation. These are future directions; the detailed timing-profile, violation-panel, pause-on-violation, inertial-filter, per-instance override, and net-link-delay proposals were not adopted as core requirements.</w:t>
      </w:r>
    </w:p>
    <w:p>
      <w:pPr>
        <w:pStyle w:val="Heading2"/>
      </w:pPr>
      <w:r>
        <w:t>Future automatic routing multiplayer and VR</w:t>
      </w:r>
    </w:p>
    <w:p>
      <w:r>
        <w:t xml:space="preserve">Automatic wire routing is optional and deferred until the core is complete. The original concept selects faces on any number of objects with Q, then confirms with right-click to compute and place an optimal wire route, analogous to place-and-route tools. Bindings are remappable. </w:t>
      </w:r>
      <w:r>
        <w:rPr>
          <w:b/>
        </w:rPr>
        <w:t>Open:</w:t>
      </w:r>
      <w:r>
        <w:t xml:space="preserve"> pin-level endpoint selection, channel conflicts, route objectives, and preview/confirmation behavior. Automatic routing must be an explicit action; it does not restore proximity-based connections.</w:t>
      </w:r>
    </w:p>
    <w:p>
      <w:r>
        <w:t>The original document called routing its least-priority feature. The later user decision makes education the lowest-priority major mode. Both are deferred; no complete ordering of all optional features was fixed. Multiplayer and VR compatibility, if feasible, remain future possibilities. Other later options include drive strengths, an advanced electrical mode, true simulation checkpoints, stronger NVM durability, explicit memory migration, asynchronous buttons, programmable dividers, sticky-overflow or asynchronous-reset counters, and clearly labeled teaching animations.</w:t>
      </w:r>
    </w:p>
    <w:p>
      <w:pPr>
        <w:pStyle w:val="Heading1"/>
      </w:pPr>
      <w:r>
        <w:t>Appendix B Open decisions and technical cautions</w:t>
      </w:r>
    </w:p>
    <w:p>
      <w:pPr>
        <w:pStyle w:val="Heading2"/>
      </w:pPr>
      <w:r>
        <w:t>Design points not fully settled</w:t>
      </w:r>
    </w:p>
    <w:p>
      <w:pPr>
        <w:pStyle w:val="SpecList"/>
      </w:pPr>
      <w:r>
        <w:t>• Clock units, precision, supported positive frequency range, and exact initial phase of newly created derived clocks. The original outline also asked whether multiple independent free-running square-wave sources can have different frequencies and phases; derived dividers alone did not settle that.</w:t>
      </w:r>
    </w:p>
    <w:p>
      <w:pPr>
        <w:pStyle w:val="SpecList"/>
      </w:pPr>
      <w:r>
        <w:t>• Exact control for creating a split point and every split-map validation rule, including overlapping selections and duplicate mapped outputs. Width Adapter handling of unknown sign bits and precise truncation-selection UI also deserve examples.</w:t>
      </w:r>
    </w:p>
    <w:p>
      <w:pPr>
        <w:pStyle w:val="SpecList"/>
      </w:pPr>
      <w:r>
        <w:t>• Interaction precedence for right-click on a Constant Logic Source while a placeable connector or block is selected; placement, source operation, and Shift-concatenation need a deterministic target/action rule.</w:t>
      </w:r>
    </w:p>
    <w:p>
      <w:pPr>
        <w:pStyle w:val="SpecList"/>
      </w:pPr>
      <w:r>
        <w:t>• View/world-axis meaning of a circuit’s “bottom-right corner” in three dimensions and the menu or library action from which Expand Module is invoked. The confirmed result is a new editable design copy with no live-state transfer.</w:t>
      </w:r>
    </w:p>
    <w:p>
      <w:pPr>
        <w:pStyle w:val="SpecList"/>
      </w:pPr>
      <w:r>
        <w:t>• Precise five-minute undo timestamp behavior after reopening a world, especially if the world was closed longer than five minutes. The accepted promise is that the saved five-minute history remains available after reopening.</w:t>
      </w:r>
    </w:p>
    <w:p>
      <w:pPr>
        <w:pStyle w:val="SpecList"/>
      </w:pPr>
      <w:r>
        <w:t>• Detailed inventory search, favorites, categories, and module-library organization. The Minecraft-style inventory/hotbar reference alone does not specify these features.</w:t>
      </w:r>
    </w:p>
    <w:p>
      <w:pPr>
        <w:pStyle w:val="SpecList"/>
      </w:pPr>
      <w:r>
        <w:t>• Exact benchmark hardware, preset, activity and stutter thresholds, and large-operation response budgets. The 100 ms, 2 s, and 5 s thresholds are provisional accepted targets pending measurement on the eventual Windows and Mac test machines.</w:t>
      </w:r>
    </w:p>
    <w:p>
      <w:pPr>
        <w:pStyle w:val="SpecList"/>
      </w:pPr>
      <w:r>
        <w:t>• Full educational lesson map and unlock list, formal distinction between built versus supplied larger systems, hint content, and course-specific scope. Education was deliberately lowest priority.</w:t>
      </w:r>
    </w:p>
    <w:p>
      <w:pPr>
        <w:pStyle w:val="SpecList"/>
      </w:pPr>
      <w:r>
        <w:t>• Permitted implementation optimizations and which intermediate signals, gate counts, event order, and other modeled properties must remain observable. Optimization must not alter documented circuit behavior; the exact invariant list was raised but not settled.</w:t>
      </w:r>
    </w:p>
    <w:p>
      <w:pPr>
        <w:pStyle w:val="SpecList"/>
      </w:pPr>
      <w:r>
        <w:t>• Developer-only configuration versus player-facing settings, and how configuration changes affect saved-world compatibility.</w:t>
      </w:r>
    </w:p>
    <w:p>
      <w:pPr>
        <w:pStyle w:val="SpecList"/>
      </w:pPr>
      <w:r>
        <w:t>• Detailed menu styling, audio beyond the invalid-action sound, accessibility options, Windows/macOS packaging and distribution details. These were flagged as later design-document topics, not resolved in the 12 sections.</w:t>
      </w:r>
    </w:p>
    <w:p>
      <w:pPr>
        <w:pStyle w:val="SpecList"/>
      </w:pPr>
      <w:r>
        <w:t>• Edge behavior of mixed-value harness color in ordinary world view, beyond the confirmed packed-vector inspection and four-state bit representation.</w:t>
      </w:r>
    </w:p>
    <w:p>
      <w:pPr>
        <w:pStyle w:val="Heading2"/>
      </w:pPr>
      <w:r>
        <w:t>Technical interpretation cautions</w:t>
      </w:r>
    </w:p>
    <w:p>
      <w:pPr>
        <w:pStyle w:val="SpecList"/>
      </w:pPr>
      <w:r>
        <w:t>• An undriven ordinary net as Z and a four-state variable as X are useful distinctions. Avoid claiming that every disconnected SystemVerilog port kind universally resolves to Z without naming the type and connection context.</w:t>
      </w:r>
    </w:p>
    <w:p>
      <w:pPr>
        <w:pStyle w:val="SpecList"/>
      </w:pPr>
      <w:r>
        <w:t>• The game’s equal-strength driver simplification, strict physical width refusal, MUX unknown-select merge, SR invalid-state choice, counter overflow pulse, pulse queue, and missing-module placeholder are explicit product rules. Compare them to IEEE/VCS with focused tests where equivalence matters; do not present each as an IEEE-mandated default.</w:t>
      </w:r>
    </w:p>
    <w:p>
      <w:pPr>
        <w:pStyle w:val="SpecList"/>
      </w:pPr>
      <w:r>
        <w:t>• The title “latest SystemVerilog” is a maintenance instruction, not an automatic promise of every future standard or every language construct. Verify the current IEEE revision and relevant VCS options before implementing or claiming conformance. Preserve the exact vendor-protection paragraph in Section 1.</w:t>
      </w:r>
    </w:p>
    <w:p>
      <w:pPr>
        <w:pStyle w:val="SpecList"/>
      </w:pPr>
      <w:r>
        <w:t>• The world save is design plus specified persistent data, not a complete runtime checkpoint. Snapshotting after a safe time slot and writing asynchronously are compatible, but implementation must handle a nonsettling slot through the convergence rule.</w:t>
      </w:r>
    </w:p>
    <w:p>
      <w:pPr>
        <w:pStyle w:val="SpecList"/>
      </w:pPr>
      <w:r>
        <w:t>• Module-version migration starts fresh state. Pin-compatible ports do not imply register, RAM, or NVM data compatibility. Warning and future migration/backup UI require separate implementation detail.</w:t>
      </w:r>
    </w:p>
    <w:p>
      <w:pPr>
        <w:pStyle w:val="Heading2"/>
      </w:pPr>
      <w:r>
        <w:t>Additional unresolved choices from the merge</w:t>
      </w:r>
    </w:p>
    <w:p>
      <w:pPr>
        <w:pStyle w:val="SpecList"/>
      </w:pPr>
      <w:r>
        <w:t xml:space="preserve">• </w:t>
      </w:r>
      <w:r>
        <w:rPr>
          <w:b/>
        </w:rPr>
        <w:t>Architecture.</w:t>
      </w:r>
      <w:r>
        <w:t xml:space="preserve"> Internal simulator versus external HDL backend, language subset, game engine and stable version remain open research choices. VCS is a comparison target, not a selected dependency.</w:t>
      </w:r>
    </w:p>
    <w:p>
      <w:pPr>
        <w:pStyle w:val="SpecList"/>
      </w:pPr>
      <w:r>
        <w:t xml:space="preserve">• </w:t>
      </w:r>
      <w:r>
        <w:rPr>
          <w:b/>
        </w:rPr>
        <w:t>Benchmark procedure.</w:t>
      </w:r>
      <w:r>
        <w:t xml:space="preserve"> Freezing representative Windows and Mac test machines per milestone is proposed. The average-Steam-PC goal, Windows/macOS targets, 60 FPS at 1080p, equivalent-gate counting, and provisional response targets are confirmed.</w:t>
      </w:r>
    </w:p>
    <w:p>
      <w:pPr>
        <w:pStyle w:val="SpecList"/>
      </w:pPr>
      <w:r>
        <w:t xml:space="preserve">• </w:t>
      </w:r>
      <w:r>
        <w:rPr>
          <w:b/>
        </w:rPr>
        <w:t>Module families and expansion.</w:t>
      </w:r>
      <w:r>
        <w:t xml:space="preserve"> Incompatible in-place migration is prohibited; whether incompatible revisions can share a family for new placement is open. Define default inout layout, zero-port size, and whether re-expansion leaves nested modules packaged or recursively expands them. The old nested-expansion suggestion accompanied a rejected live-instance replacement proposal and was not explicitly restored.</w:t>
      </w:r>
    </w:p>
    <w:p>
      <w:pPr>
        <w:pStyle w:val="SpecList"/>
      </w:pPr>
      <w:r>
        <w:t xml:space="preserve">• </w:t>
      </w:r>
      <w:r>
        <w:rPr>
          <w:b/>
        </w:rPr>
        <w:t>Component completeness.</w:t>
      </w:r>
      <w:r>
        <w:t xml:space="preserve"> Preserve the original up/down counter concept without inventing downward wrap or underflow rules. Set a divider maximum and clarify reset priority for N=1 passthrough, reset synchrony, and unknown clocks/control inputs. Define MUX data-width range, decoder/encoder unknown and disabled/no-input behavior, latch/flip-flop X/Z-control behavior, and precise memory/register component interfaces and capacities. The original MUX input-count range remains 2–32; the 128-bit pin ceiling does not automatically widen every default module.</w:t>
      </w:r>
    </w:p>
    <w:p>
      <w:pPr>
        <w:pStyle w:val="SpecList"/>
      </w:pPr>
      <w:r>
        <w:t xml:space="preserve">• </w:t>
      </w:r>
      <w:r>
        <w:rPr>
          <w:b/>
        </w:rPr>
        <w:t>Connector editing.</w:t>
      </w:r>
      <w:r>
        <w:t xml:space="preserve"> Define how a combined/split harness replaces existing segments, connected pins, tags, and Net Link associations; reject incompatible resulting connections without silently disconnecting them. Clarify channel accounting at shared split/combination geometry, overlapping range selection versus intentional repeated-net fanout, and tag choice when differently tagged nets junction.</w:t>
      </w:r>
    </w:p>
    <w:p>
      <w:pPr>
        <w:pStyle w:val="SpecList"/>
      </w:pPr>
      <w:r>
        <w:t xml:space="preserve">• </w:t>
      </w:r>
      <w:r>
        <w:rPr>
          <w:b/>
        </w:rPr>
        <w:t>Presentation and control precedence.</w:t>
      </w:r>
      <w:r>
        <w:t xml:space="preserve"> Define identity wire colors versus signal colors, mixed-harness appearance, source-use versus placement, Shift flight/sneak versus concatenation, and scroll-wheel hotbar versus connector cycling. Set rotation, edge-step and cycle-step bindings. Keep the saved-world undo window usable after reopening and define its timestamp policy.</w:t>
      </w:r>
    </w:p>
    <w:p>
      <w:pPr>
        <w:pStyle w:val="SpecList"/>
      </w:pPr>
      <w:r>
        <w:t xml:space="preserve">• </w:t>
      </w:r>
      <w:r>
        <w:rPr>
          <w:b/>
        </w:rPr>
        <w:t>Validation and configuration.</w:t>
      </w:r>
      <w:r>
        <w:t xml:space="preserve"> Define the supported IEEE behavior/test matrix and verification process, safe optimization invariants, and developer versus player configuration. The retained research notes contain unverified implementation claims; they must not be treated as established answers.</w:t>
      </w:r>
    </w:p>
    <w:p>
      <w:pPr>
        <w:pStyle w:val="Heading1"/>
      </w:pPr>
      <w:r>
        <w:t>Appendix C Original research backlog</w:t>
      </w:r>
    </w:p>
    <w:p>
      <w:r>
        <w:rPr>
          <w:b/>
        </w:rPr>
        <w:t>Open research retained verbatim.</w:t>
      </w:r>
      <w:r>
        <w:t xml:space="preserve"> The following original questions, supporting notes, links, and quotations remain visible and unanswered. They describe ideas to investigate, including some superseded premises. In particular, rendering is not required for simulation, the world clock does not reevaluate every object, the backend and engine are open, and core RTL has no physical propagation delay. The later confirmed requirements govern; preserving a question does not accept its premise.</w:t>
      </w:r>
    </w:p>
    <w:p>
      <w:pPr>
        <w:keepLines w:val="0"/>
      </w:pPr>
      <w:r>
        <w:t>RESEARCH: The following questions remain open. They are grouped by topic so that implementation decisions can be investigated together.</w:t>
      </w:r>
    </w:p>
    <w:p>
      <w:pPr>
        <w:pStyle w:val="Heading2"/>
      </w:pPr>
      <w:r>
        <w:t>Engine selection</w:t>
      </w:r>
    </w:p>
    <w:p>
      <w:pPr>
        <w:keepLines w:val="0"/>
      </w:pPr>
      <w:r>
        <w:t>RESEARCH: Determine which game engine is the best for building and using a game like this, according to all of the specifications and requirements I give you. Once you determine which game engine is best for this game, determine which version of that game engine would be the best, while still being very stable and have support from the developer. For example if you choose Unity, which LTS version of Unity would be best and most stable for development?</w:t>
      </w:r>
    </w:p>
    <w:p>
      <w:pPr>
        <w:pStyle w:val="Heading2"/>
      </w:pPr>
      <w:r>
        <w:t>Simulation architecture and HDL integration</w:t>
      </w:r>
    </w:p>
    <w:p>
      <w:pPr>
        <w:keepLines w:val="0"/>
      </w:pPr>
      <w:r>
        <w:t>RESEARCH: SPEND EXTRA TIME ON THIS BECAUSE IT IS IMPORTANT TO THE FUNCTIONING OF THE GAME. Would it be more efficient to convert all of the circuit components and modules in a world file into a netlist that can be saved and run with hardware description language (HDL) simulators in the background? That way, the game does not need to perform calculations or updates in-game to simulate circuit functionality, like how Redstone is simulated in Minecraft. If the entire circuit is saved in hardware description language, then it can be simulated in the background much more efficiently than it could be if done in-game. Then, each time a component or module is added to the circuit, the HDL file would update. If this system were used, then how would that affect how the rendering engine works? Would 16x16xworld_height chunks still be beneficial?</w:t>
      </w:r>
    </w:p>
    <w:p>
      <w:pPr>
        <w:keepLines w:val="0"/>
      </w:pPr>
      <w:r>
        <w:t>Would chunks make circuit simulation difficult or slow? If circuit simulation is able to be done off-game, and then the results imported into the game-file to display the results on the in-game circuit, then it would be okay to not show the wires and components lighting up during circuit simulation, because the simulation would occur in nano-seconds, which would not be possible to display on screen. Therefore, when the user turns on a source block, the simulation would happen off screen, in HDL, and then the results would show up on screen afterwards. The user could then use in-game EDA style tools and waveforms to see what happened during simulation.</w:t>
      </w:r>
    </w:p>
    <w:p>
      <w:pPr>
        <w:keepLines w:val="0"/>
      </w:pPr>
      <w:r>
        <w:t>If this is best way to design this game, then there could also be a slower and more educational version where the player turns the game clock down to less than 10Hz, and then the HDL simulator would have enough time to compute the simulation, and display the results in real-time on the circuit, so the user could see how signals pass through each of the wires, components, and modules.</w:t>
      </w:r>
    </w:p>
    <w:p>
      <w:pPr>
        <w:keepLines w:val="0"/>
      </w:pPr>
      <w:r>
        <w:t>RESEARCH: Should the game use a native C++ Dynamic Link Library (DLL) as the primary simulation engine to decouple logic processing from Unity rendering? Or should it use something else?</w:t>
      </w:r>
    </w:p>
    <w:p>
      <w:pPr>
        <w:keepLines w:val="0"/>
      </w:pPr>
      <w:r>
        <w:t>RESEARCH: Does Minecraft only update blocks if an adjacent block experiences an update? Therefore is the game able to render more efficiently because it is not constantly updating every block in the world all at once, and is instead just updating a block if an adjacent block is updated? Even if Minecraft doesn’t do that, could SiliconSandbox do something like that? Would it even work, or be more effective than some other method? How would this work with the world CLK, since every block is updated with every edge of CLK?</w:t>
      </w:r>
    </w:p>
    <w:p>
      <w:pPr>
        <w:keepLines w:val="0"/>
      </w:pPr>
      <w:r>
        <w:t>Can the entire world file somehow be stored as an optimized SystemVerilog file, that is then run on SystemVerilog compilation software, and simulated via that software, instead of simulating the circuit in-game? Would that be faster or even feasible to do?</w:t>
      </w:r>
    </w:p>
    <w:p>
      <w:pPr>
        <w:keepLines w:val="0"/>
      </w:pPr>
      <w:r>
        <w:t>Can circuits be turned into a netlist of some kind that is then simulated outside of the game, so that the game does not need to rely on block updates to run a circuit, and can instead just simulate a circuit with existing Hardware description languages? Would this be faster or more efficient? Essentially every world file would be translated into hardware description languages and could therefore be optimized by existing HDL compilation software and EDA tools. I don’t have any paid access to any such tools, so would that even be possible? If it’s possible, is it feasible or even more efficient to do?</w:t>
      </w:r>
    </w:p>
    <w:p>
      <w:pPr>
        <w:pStyle w:val="Heading2"/>
      </w:pPr>
      <w:r>
        <w:t>Module representation and reconstruction</w:t>
      </w:r>
    </w:p>
    <w:p>
      <w:pPr>
        <w:keepLines w:val="0"/>
      </w:pPr>
      <w:r>
        <w:t>RESEARCH: What is the best way to implement the functionality of a module? What is the best way to save a circuit so that its logic can be replicated by the module object? Would the module just directly save a netlist of the circuit and the circuit simulation logic for the entire world file would know to simulate the netlist stored in the module whenever its input signals are powered, essentially pretending like an entire circuit exists in place of the module block for the sake of simulation?</w:t>
      </w:r>
    </w:p>
    <w:p>
      <w:pPr>
        <w:keepLines w:val="0"/>
      </w:pPr>
      <w:r>
        <w:t>RESEARCH: The user should be able to view the contents of a module to see what the circuit inside of it is doing. Therefore, a circuit needs to be recreated from however the module is storing the data. What is the best way therefore to store the functionality of a module so that it can be re-expanded back into the original circuit?</w:t>
      </w:r>
    </w:p>
    <w:p>
      <w:pPr>
        <w:pStyle w:val="Heading2"/>
      </w:pPr>
      <w:r>
        <w:t>World representation and chunking</w:t>
      </w:r>
    </w:p>
    <w:p>
      <w:pPr>
        <w:keepLines w:val="0"/>
      </w:pPr>
      <w:r>
        <w:t>RESEARCH: I am primarily modeling this game after Minecraft, so do research on optimal ways of designing a Minecraft game and design the game so that it runs as efficiently as possible, using the best design practices that game developers have developed for designing Minecraft. This will include all of the optimization they have for world generation, block rendering, block textures and texture grouping/meshes, and every other way that Minecraft runs optimally. I am not a game developer so I do not know everything that they do. Do comprehensive research to understand how Minecraft is optimized, so that SiliconSandbox can run as efficiently as possible.</w:t>
      </w:r>
    </w:p>
    <w:p>
      <w:pPr>
        <w:keepLines w:val="0"/>
      </w:pPr>
      <w:r>
        <w:t>RESEARCH: Would it be more efficient to have a chunk system similar to in Minecraft, where the world is sectioned into chunks that are 16 blocks wide, 16 blocks long, and as tall as the world height limit? These chunks are simply referred to as “chunks”.</w:t>
      </w:r>
    </w:p>
    <w:p>
      <w:pPr>
        <w:keepLines w:val="0"/>
      </w:pPr>
      <w:r>
        <w:t>RESEARCH: how to do each of these things most efficiently:</w:t>
      </w:r>
    </w:p>
    <w:p>
      <w:pPr>
        <w:keepLines w:val="0"/>
      </w:pPr>
      <w:r>
        <w:t>RESEARCH: Unlike in Minecraft, SiliconSandbox needs all chunks with player placed components to be rendered so that all logic components can run at the same time without being suddenly deactivated when the player moves out of render distance.</w:t>
      </w:r>
    </w:p>
    <w:p>
      <w:pPr>
        <w:keepLines w:val="0"/>
      </w:pPr>
      <w:r>
        <w:t>RESEARCH: Render each chunk as a single game object so that there are fewer objects to render.</w:t>
      </w:r>
    </w:p>
    <w:p>
      <w:pPr>
        <w:keepLines w:val="0"/>
      </w:pPr>
      <w:r>
        <w:t>RESEARCH: To make the game run more efficiently, would it be better to just have the sandstone ground be a single entity, not made out of blocks, so that the game does not need to render so many blocks? Since the blocks cannot be broken at the moment, would that be okay? Or would this mess up the way that chunks are rendered? Would it mess up how the grid system of placing blocks works? Would players still be able to see an outline of the block that they are looking at with a thin black box, just like when you are looking at a block in Minecraft?</w:t>
      </w:r>
    </w:p>
    <w:p>
      <w:pPr>
        <w:pStyle w:val="Heading2"/>
      </w:pPr>
      <w:r>
        <w:t>Textures and voxel geometry</w:t>
      </w:r>
    </w:p>
    <w:p>
      <w:pPr>
        <w:keepLines w:val="0"/>
      </w:pPr>
      <w:r>
        <w:t>RESEARCH: if a texture atlas like Minecraft uses would be the best practice for a game like this, or should each block be designed in blender? Which is better for game performance? Does it make a difference in how the game looks if the same textures are used in a texture atlas vs a Blender object?</w:t>
      </w:r>
    </w:p>
    <w:p>
      <w:pPr>
        <w:keepLines w:val="0"/>
      </w:pPr>
      <w:r>
        <w:t>RESEARCH: should this game use voxels? Can smooth voxels or marching cubes be used to make better looking textures without sacrificing rendering performance or game fps? Can the technique shown in this reddit post be used (https://www.reddit.com/r/VoxelGameDev/comments/1v9usl8/making_voxel_assets_look_like_lowpoly_using/)?</w:t>
      </w:r>
    </w:p>
    <w:p>
      <w:pPr>
        <w:pStyle w:val="Heading2"/>
      </w:pPr>
      <w:r>
        <w:t>Rendering and mesh optimization</w:t>
      </w:r>
    </w:p>
    <w:p>
      <w:pPr>
        <w:keepLines w:val="0"/>
      </w:pPr>
      <w:r>
        <w:t>RESEARCH: culling works in Minecraft rendering and how it can be applied to my game.</w:t>
      </w:r>
    </w:p>
    <w:p>
      <w:pPr>
        <w:keepLines w:val="0"/>
      </w:pPr>
      <w:r>
        <w:t>RESEARCH: each of the following techniques or topics to learn how Minecraft is written. Determine if there are any similar topics or techniques that can be used in the design of this game. Research the most optimal ways to design a block placing game like Minecraft when optimizing for performance:</w:t>
      </w:r>
    </w:p>
    <w:p>
      <w:pPr>
        <w:keepLines w:val="0"/>
      </w:pPr>
      <w:r>
        <w:t>3D Geometry: Each block is a physical 3D model with vertices, edges, and faces, not just a flat 2D image wrapping empty space.</w:t>
      </w:r>
    </w:p>
    <w:p>
      <w:pPr>
        <w:keepLines w:val="0"/>
      </w:pPr>
      <w:r>
        <w:t>Face Culling: The engine deletes hidden faces from the render list entirely so your computer wastes no power drawing covered surfaces.</w:t>
      </w:r>
    </w:p>
    <w:p>
      <w:pPr>
        <w:keepLines w:val="0"/>
      </w:pPr>
      <w:r>
        <w:t>Texture Atlases: Minecraft stitches individual block textures into one massive image file in your graphics memory at startup.</w:t>
      </w:r>
    </w:p>
    <w:p>
      <w:pPr>
        <w:keepLines w:val="0"/>
      </w:pPr>
      <w:r>
        <w:t>Vertex Buffer Objects (VBOs): The game groups all visible 3D faces inside a chunk into a single geometric object so the graphics card can draw them all at once.</w:t>
      </w:r>
    </w:p>
    <w:p>
      <w:pPr>
        <w:keepLines w:val="0"/>
      </w:pPr>
      <w:r>
        <w:t>RESEARCH: how to use Mipmaps to lower block textures pixel width when they are viewed from very far away, in the same way that Minecraft does it.</w:t>
      </w:r>
    </w:p>
    <w:p>
      <w:pPr>
        <w:keepLines w:val="0"/>
      </w:pPr>
      <w:r>
        <w:t>RESEARCH: how each of these topics can be used in the design of my game: block culling, uv recalculation, face merging with greedy meshing, the chunk system, and recalculation of the only faces affected when a block is placed with greedy meshing, and finally materials are dynamic depending on the blocks used in the chunk.</w:t>
      </w:r>
    </w:p>
    <w:p>
      <w:pPr>
        <w:keepLines w:val="0"/>
      </w:pPr>
      <w:r>
        <w:t>RESEARCH:</w:t>
      </w:r>
    </w:p>
    <w:p>
      <w:pPr>
        <w:keepLines w:val="0"/>
      </w:pPr>
      <w:r>
        <w:t>There are a lot of different algorithms for geometry simplification, so it's difficult to give a one size fits all answer here. From a really naive perspective, for each block, you need to draw 2 triangles per face, 6 faces per block. For a more advanced approach, you can hide faces which are blocked by other blocks. For an even more advanced approach, you can "merge" neighboring faces which share the same texture. For an even more advanced approach, you can actually merge distant faces IF they both share the same texture and every block between them is occluded or also shares the same texture. This results in some overdraw, though, so depending on your geometry it may actually perform worse (testing is needed). From a high level perspective, the idea is that you could draw a 16x16x16 chunk of blocks as 4,096 individual cubes with 49,152 individual triangles, or, if they're all the exact same block, you could "merge" the entire chunk and just draw a single cube with appropriate UVs such that it looks like 4,096 blocks.</w:t>
      </w:r>
    </w:p>
    <w:p>
      <w:pPr>
        <w:keepLines w:val="0"/>
      </w:pPr>
      <w:r>
        <w:t>RESEARCH: Are the following things beneficial for a game like SiliconSandbox?: Some level of greedy meshing (combining adjacent polygons of the same block type into one poly). Doesn't need to be perfect, just pretty good. Multi-threaded mesh generation (generating meshes on a background thread, ideally multiple). LOD meshes. Farther meshes are downsampled version of the original data. Some system for managing the memory of the voxel data in RAM, either aggressively faulting data to disk or compressing it in RAM</w:t>
      </w:r>
    </w:p>
    <w:p>
      <w:pPr>
        <w:keepLines w:val="0"/>
      </w:pPr>
      <w:r>
        <w:t>RESEARCH: Are the following sub-bullets helpful for a game like this? If so, how would you include them and use them in design?</w:t>
      </w:r>
    </w:p>
    <w:p>
      <w:pPr>
        <w:keepLines w:val="0"/>
      </w:pPr>
      <w:r>
        <w:t>Sparse voxel octrees with intelligent LOD and shader geometry generation/tessellation, with a custom tessellator that reduces the geometry by running a shape matching algorithm, or a dual surface nets approach or classic matching cubes or matching tetrahedron may be more appropriate. In order to save all of that data, generate chunks using noise functions that can sample those functions at different resolutions if needed.</w:t>
      </w:r>
    </w:p>
    <w:p>
      <w:pPr>
        <w:pStyle w:val="Heading2"/>
      </w:pPr>
      <w:r>
        <w:t>Minecraft performance mods</w:t>
      </w:r>
    </w:p>
    <w:p>
      <w:pPr>
        <w:keepLines w:val="0"/>
      </w:pPr>
      <w:r>
        <w:t>RESEARCH: how the Voxy Minecraft mod and Nvidium Minecraft mod work and how to implement the techniques they use in the design of my game.</w:t>
      </w:r>
    </w:p>
    <w:p>
      <w:pPr>
        <w:keepLines w:val="0"/>
      </w:pPr>
      <w:r>
        <w:t>RESEARCH: how the each of the following performance mods work in Minecraft and determine if the techniques they use can also be used in the design of my game to make it more efficient or have higher performance:</w:t>
      </w:r>
    </w:p>
    <w:p>
      <w:pPr>
        <w:keepLines w:val="0"/>
      </w:pPr>
      <w:r>
        <w:t>Sodium, Lithium, ModernFix, FerriteCore, Entity Culling, MoreCulling, Iris, ImmediatelyFast, Sodium Extra, Reese's Sodium Options, C2ME, Noisium, Krypton</w:t>
      </w:r>
    </w:p>
    <w:p>
      <w:pPr>
        <w:pStyle w:val="Heading2"/>
      </w:pPr>
      <w:r>
        <w:t>Level of detail and sparse voxel octrees</w:t>
      </w:r>
    </w:p>
    <w:p>
      <w:pPr>
        <w:keepLines w:val="0"/>
      </w:pPr>
      <w:r>
        <w:t>RESEARCH: What is u/Green_Gem talking about on reddit when they say in this feed (https://www.reddit.com/r/VoxelGameDev/comments/1i4r9zl/if_you_were_to_develop_something_like_this_with/) “games like Minecraft which generate chunks using noise functions can sample those functions at different resolutions if they want to. You're used to a chunk sampling the noise at every block, some of that chunk being populated with things like trees and ore veins, then structures getting sprinkled on top. There's more but I'm simplifying. If you're willing to skip some steps and make lower res versions of some of the population algs, you can check the noise function(s) every other block, every fourth block, or even just the blocks at each corner of the chunk (this type of terrain would use cubic chunks). This is how Distant Horizons works. The LoD chunks are "fake" until a player gets close enough to generate them at full resolution, then the mod has definitive info to work with next time you get far away from that chunk. This technique works especially well with something like a voxel octree, since adding more detail as you need it is already baked into the algorithm. Ray tracing is popular with this system for exactly the same reason. You get dynamic step size ("detail as you need it" but for light) for free (kinda). If you've seen a ton of "I wrote a sparse voxel octree engine with crazy detail and ray traced graphics" videos lately, that's why. "We only need this eventually" is friendly to async and multithreaded patterns, so you'll also commonly see these engines be written in Rust or Go (languages good at both).”</w:t>
      </w:r>
    </w:p>
    <w:p>
      <w:pPr>
        <w:keepLines w:val="0"/>
      </w:pPr>
      <w:r>
        <w:t>u/Leonature26 responds with “Very interesting, but why is Minecraft not optimized to use this system? There must be some reason, some kind of drawback to this right? Is there a documented implementation that I can read more of somewhere?” and u/Green_Gem_ answers with “Not all computers can run raytracing. Not all computers have enough cores to run multithreaded terrain sampling. Not all computers have the speed to regenerate octrees whenever anything moves without stuttering. Minecraft benefits from the rendering being straightforward to both implement and scale down. Need to run on a console? Same code, shorter render distance. Need to run on a phone? Same code, fog to hide the even smaller render distance. Minecraft is designed to work the same way at different scales on different devices. This is why we saw that huge push for the cross-platform Bedrock version. For documented examples, you can literally just put "sparse voxel octree" into YouTube and scroll forever. There are tons of ways to combine all this (or implement any given part), so I can't give you a specific reference.”</w:t>
      </w:r>
    </w:p>
    <w:p>
      <w:pPr>
        <w:keepLines w:val="0"/>
      </w:pPr>
      <w:r>
        <w:t>Another response by u/Green_Gem_ “Check out this linked GitLab issue, The concept of "original fake chunks" that are generated with "shortcuts" is very common in LoD systems for procedurally generated games. If the chunk ever gets properly generated, you throw away the original fake LoDs and generate new ones based on what's actually there. When the chunk changes (or changes too much), you regenerate its LoDs. Regarding player-modified terrain in multiplayer, this is an ongoing issue (that wouldn't exist if LoDs were baked into Minecraft's engine). This thread shows the team working on it, and this plugin describes the issue it attempts to fix as "Distant Horizons will work fine without this plugin, but then each client will have to be within normal view distance of chunks to load them, and they will not receive updates for distant chunks when they change.”</w:t>
      </w:r>
    </w:p>
    <w:p>
      <w:pPr>
        <w:pStyle w:val="Heading1"/>
      </w:pPr>
      <w:r>
        <w:t>Appendix D Review findings and change log</w:t>
      </w:r>
    </w:p>
    <w:p>
      <w:r>
        <w:t>This revision reconciles the original polished document, both portions of the design conversation, the original twelve-area outline, and the supplied decision record. The decision record is evidence to check, not authority over the user’s later choices. “I agree with everything” applies to the referenced response and its choices; moving to another section alone is not treated as approval of a new recommendation.</w:t>
      </w:r>
    </w:p>
    <w:p>
      <w:pPr>
        <w:pStyle w:val="Heading2"/>
      </w:pPr>
      <w:r>
        <w:t>Material record corrections</w:t>
      </w:r>
    </w:p>
    <w:p>
      <w:pPr>
        <w:pStyle w:val="SpecList"/>
      </w:pPr>
      <w:r>
        <w:t xml:space="preserve">• </w:t>
      </w:r>
      <w:r>
        <w:rPr>
          <w:b/>
        </w:rPr>
        <w:t>Backend commitment was overstated.</w:t>
      </w:r>
      <w:r>
        <w:t xml:space="preserve"> Record Section 1 says the game “will implement its documented subset itself.” In the VCS recommendation, the assistant said it “can implement” the rules internally; the original research asks whether to use an external HDL simulator or native engine. The revised document leaves the implementation backend open while retaining the IEEE/VCS behavioral target.</w:t>
      </w:r>
    </w:p>
    <w:p>
      <w:pPr>
        <w:pStyle w:val="SpecList"/>
      </w:pPr>
      <w:r>
        <w:t xml:space="preserve">• </w:t>
      </w:r>
      <w:r>
        <w:rPr>
          <w:b/>
        </w:rPr>
        <w:t>Benchmark procedure lacked explicit acceptance.</w:t>
      </w:r>
      <w:r>
        <w:t xml:space="preserve"> After the user selected “The average PC that a user on Steam has” and Windows/macOS, the assistant proposed frozen Windows/Mac machines per milestone. The next user reply moved to Section 11 and set education priority. Record Section 10 presents that procedure as settled. It is now proposed; the accepted performance numbers and platforms remain requirements, including Windows/macOS for the first playable target.</w:t>
      </w:r>
    </w:p>
    <w:p>
      <w:pPr>
        <w:pStyle w:val="SpecList"/>
      </w:pPr>
      <w:r>
        <w:t xml:space="preserve">• </w:t>
      </w:r>
      <w:r>
        <w:rPr>
          <w:b/>
        </w:rPr>
        <w:t>Module-family wording was too restrictive.</w:t>
      </w:r>
      <w:r>
        <w:t xml:space="preserve"> The user prohibited migration to a version “if the version has incompatible ports.” The accepted follow-up said a changed design “can still be packaged as a separate module” but cannot be an “in-place-compatible version.” That settles safe migration, not definitively whether incompatible versions may share a family for new placement. The revised document preserves the upgrade prohibition and marks the family policy open.</w:t>
      </w:r>
    </w:p>
    <w:p>
      <w:pPr>
        <w:pStyle w:val="SpecList"/>
      </w:pPr>
      <w:r>
        <w:t xml:space="preserve">• </w:t>
      </w:r>
      <w:r>
        <w:rPr>
          <w:b/>
        </w:rPr>
        <w:t>Accepted details needed more explicit wording.</w:t>
      </w:r>
      <w:r>
        <w:t xml:space="preserve"> Section 1’s accepted resolution rules include “an active driver is unknown → X.” Section 2 requires every electrical transition to be processed even when it happens too quickly to animate, while retaining only the settled value and limited error diagnostics in the core game. Complete bounded waveform history is a future feature.</w:t>
      </w:r>
    </w:p>
    <w:p>
      <w:pPr>
        <w:pStyle w:val="SpecList"/>
      </w:pPr>
      <w:r>
        <w:t xml:space="preserve">• </w:t>
      </w:r>
      <w:r>
        <w:rPr>
          <w:b/>
        </w:rPr>
        <w:t>Constant-source status needed finer separation.</w:t>
      </w:r>
      <w:r>
        <w:t xml:space="preserve"> In Section 6 the user accepted restoring a configured source value and added right-click On/Off. The next assistant supplied Off=0, default On=1, multibit examples, and the all-segments X/Z display; the user then said “move to section 7.” The reconciliation later confirmed the seven-segment X/Z appearance and separately confirmed the Constant Logic Source rule: width 1 through 128, On drives the configured four-state value, Off drives all zeroes, the default configured value is all ones, load and reset restore the configured initial state and value, and runtime right-click toggles do not rewrite configuration.</w:t>
      </w:r>
    </w:p>
    <w:p>
      <w:pPr>
        <w:pStyle w:val="Heading2"/>
      </w:pPr>
      <w:r>
        <w:t>Important changes from the polished design</w:t>
      </w:r>
    </w:p>
    <w:p>
      <w:r>
        <w:t>Integrated four-state IEEE 1800-2023 behavior with VCS comparison; event-driven timing and safe pause; explicit connector targeting; Net Links; distinct junction and concatenation actions; module definitions, instances, versions, embedded recovery and restored expansion; complete component clarifications; building controls and saved undo; inspection; persistent NVM and safe saves; measurable performance; education priorities; and three delivery scopes. Retained the component catalog, all dimensions and palette values, world presentation, controls, menu image, graphics priorities, and research notes. Corrected the module-size formula.</w:t>
      </w:r>
    </w:p>
    <w:p>
      <w:r>
        <w:t>Retained the original up/down counter concept as an unresolved variant beside the later default up counter, and identified custom wire colors versus state colors as a visual decision still to make. Kept the original rationale and comparison claims as unverified context, not new factual findings. No research-backlog question was investigated or answered.</w:t>
      </w:r>
    </w:p>
    <w:p>
      <w:pPr>
        <w:pStyle w:val="Heading2"/>
      </w:pPr>
      <w:r>
        <w:t>Reversal checklist</w:t>
      </w:r>
    </w:p>
    <w:p>
      <w:pPr>
        <w:pStyle w:val="SpecList"/>
      </w:pPr>
      <w:r>
        <w:t xml:space="preserve">1. </w:t>
      </w:r>
      <w:r>
        <w:rPr>
          <w:b/>
        </w:rPr>
        <w:t>Simulator reference:</w:t>
      </w:r>
      <w:r>
        <w:t xml:space="preserve"> Purdue’s QuestaSim was the first reference. The final comparison target is IEEE 1800-2023 behavior with VCS as primary commercial simulator and Verdi as the confirmed reference for a future waveform/debugging interface. Do not claim a universal NVIDIA-only tool choice.</w:t>
      </w:r>
    </w:p>
    <w:p>
      <w:pPr>
        <w:pStyle w:val="SpecList"/>
      </w:pPr>
      <w:r>
        <w:t xml:space="preserve">2. </w:t>
      </w:r>
      <w:r>
        <w:rPr>
          <w:b/>
        </w:rPr>
        <w:t>Clock model:</w:t>
      </w:r>
      <w:r>
        <w:t xml:space="preserve"> The early “world clock controls all updates” idea became an event-driven simulator with the world clock as the default synchronous signal. Combinational updates can happen between world-clock edges.</w:t>
      </w:r>
    </w:p>
    <w:p>
      <w:pPr>
        <w:pStyle w:val="SpecList"/>
      </w:pPr>
      <w:r>
        <w:t xml:space="preserve">3. </w:t>
      </w:r>
      <w:r>
        <w:rPr>
          <w:b/>
        </w:rPr>
        <w:t>Touching objects:</w:t>
      </w:r>
      <w:r>
        <w:t xml:space="preserve"> A suggestion that compatible ports on touching faces automatically connect was rejected. Only deliberately placed connectors attach to pins or join other connectors.</w:t>
      </w:r>
    </w:p>
    <w:p>
      <w:pPr>
        <w:pStyle w:val="SpecList"/>
      </w:pPr>
      <w:r>
        <w:t xml:space="preserve">4. </w:t>
      </w:r>
      <w:r>
        <w:rPr>
          <w:b/>
        </w:rPr>
        <w:t>Virtual wires:</w:t>
      </w:r>
      <w:r>
        <w:t xml:space="preserve"> The provisional name became </w:t>
      </w:r>
      <w:r>
        <w:rPr>
          <w:b/>
        </w:rPr>
        <w:t>Net Link</w:t>
      </w:r>
      <w:r>
        <w:t>. Net Links do occupy one of the physical channels; matching names supply the non-contiguous electrical connection.</w:t>
      </w:r>
    </w:p>
    <w:p>
      <w:pPr>
        <w:pStyle w:val="SpecList"/>
      </w:pPr>
      <w:r>
        <w:t xml:space="preserve">5. </w:t>
      </w:r>
      <w:r>
        <w:rPr>
          <w:b/>
        </w:rPr>
        <w:t>Junction visibility:</w:t>
      </w:r>
      <w:r>
        <w:t xml:space="preserve"> An early “every joined connector has a point” reading was refined. One or two joined directions need only continuous/straight/elbow geometry; three to six need a junction marker. A concatenation point always has its own visible marker.</w:t>
      </w:r>
    </w:p>
    <w:p>
      <w:pPr>
        <w:pStyle w:val="SpecList"/>
      </w:pPr>
      <w:r>
        <w:t xml:space="preserve">6. </w:t>
      </w:r>
      <w:r>
        <w:rPr>
          <w:b/>
        </w:rPr>
        <w:t>Harness width and combining:</w:t>
      </w:r>
      <w:r>
        <w:t xml:space="preserve"> The fixed-width-no-concatenation idea was replaced by per-object fixed width with new harness/tag on explicit concatenation or split. A normal direct junction and a Shift-concatenation are different operations. Splitter and Combiner are connection points, not block-sized objects; Width Adapter remains a distinct conversion component.</w:t>
      </w:r>
    </w:p>
    <w:p>
      <w:pPr>
        <w:pStyle w:val="SpecList"/>
      </w:pPr>
      <w:r>
        <w:t xml:space="preserve">7. </w:t>
      </w:r>
      <w:r>
        <w:rPr>
          <w:b/>
        </w:rPr>
        <w:t>Concatenation order:</w:t>
      </w:r>
      <w:r>
        <w:t xml:space="preserve"> Larger-width-on-MSB, wire-on-LSB-by-type, and random choice for equal-width harnesses were all replaced. The targeted existing connector/group is always MSB; the newly added one is LSB.</w:t>
      </w:r>
    </w:p>
    <w:p>
      <w:pPr>
        <w:pStyle w:val="SpecList"/>
      </w:pPr>
      <w:r>
        <w:t xml:space="preserve">8. </w:t>
      </w:r>
      <w:r>
        <w:rPr>
          <w:b/>
        </w:rPr>
        <w:t>Module update:</w:t>
      </w:r>
      <w:r>
        <w:t xml:space="preserve"> Editing a source circuit never changes its packaged module automatically. A new version requires new packaging, and placed instances are pinned until deliberate compatible upgrade.</w:t>
      </w:r>
    </w:p>
    <w:p>
      <w:pPr>
        <w:pStyle w:val="SpecList"/>
      </w:pPr>
      <w:r>
        <w:t xml:space="preserve">9. </w:t>
      </w:r>
      <w:r>
        <w:rPr>
          <w:b/>
        </w:rPr>
        <w:t>Module re-expansion:</w:t>
      </w:r>
      <w:r>
        <w:t xml:space="preserve"> Re-expansion was first considered, then removed as redundant to a live viewer, then restored because the editable source may be destroyed. Final expansion places a fresh editable design copy at a bottom-right target anchor; it never replaces a live instance or copies its current state.</w:t>
      </w:r>
    </w:p>
    <w:p>
      <w:pPr>
        <w:pStyle w:val="SpecList"/>
      </w:pPr>
      <w:r>
        <w:t xml:space="preserve">10. </w:t>
      </w:r>
      <w:r>
        <w:rPr>
          <w:b/>
        </w:rPr>
        <w:t>Physical rotation:</w:t>
      </w:r>
      <w:r>
        <w:t xml:space="preserve"> Section 7 briefly proposed breaking and replacing instead of post-placement rotation. The final decision restores safe post-placement rotation with paused preview, confirmation, highlighting of lost connections, fixed connector geometry, and footprint fit check.</w:t>
      </w:r>
    </w:p>
    <w:p>
      <w:pPr>
        <w:pStyle w:val="SpecList"/>
      </w:pPr>
      <w:r>
        <w:t xml:space="preserve">11. </w:t>
      </w:r>
      <w:r>
        <w:rPr>
          <w:b/>
        </w:rPr>
        <w:t>Timing:</w:t>
      </w:r>
      <w:r>
        <w:t xml:space="preserve"> A functional/timed profile proposal was narrowed to a zero-physical-delay RTL core. Cell and interconnect timing are possible future mode content, not a current simulator feature.</w:t>
      </w:r>
    </w:p>
    <w:p>
      <w:pPr>
        <w:pStyle w:val="SpecList"/>
      </w:pPr>
      <w:r>
        <w:t xml:space="preserve">12. </w:t>
      </w:r>
      <w:r>
        <w:rPr>
          <w:b/>
        </w:rPr>
        <w:t>Clock divider parameter:</w:t>
      </w:r>
      <w:r>
        <w:t xml:space="preserve"> The original document’s 2^N formulation conflicts with the later accepted direct divisor N≥1; use the later direct-divisor rule for this component, or explicitly create a different component if both are ever desired.</w:t>
      </w:r>
    </w:p>
    <w:p>
      <w:pPr>
        <w:pStyle w:val="SpecList"/>
      </w:pPr>
      <w:r>
        <w:t xml:space="preserve">13. </w:t>
      </w:r>
      <w:r>
        <w:rPr>
          <w:b/>
        </w:rPr>
        <w:t>Section labels:</w:t>
      </w:r>
      <w:r>
        <w:t xml:space="preserve"> An assistant temporarily called saving “Section 7.” The original twelve-area outline defines Section 7 as building/editing and Section 9 as saving/persistence. Accepted save decisions belong under Section 9.</w:t>
      </w:r>
    </w:p>
    <w:p>
      <w:pPr>
        <w:pStyle w:val="SpecList"/>
      </w:pPr>
      <w:r>
        <w:t xml:space="preserve">14. </w:t>
      </w:r>
      <w:r>
        <w:rPr>
          <w:b/>
        </w:rPr>
        <w:t>Offscreen work:</w:t>
      </w:r>
      <w:r>
        <w:t xml:space="preserve"> An original research note suggested visible/rendered populated chunks were needed for active circuits. The required final outcome is active simulation independent of rendering; offscreen geometry may be culled.</w:t>
      </w:r>
    </w:p>
    <w:p>
      <w:pPr>
        <w:pStyle w:val="SpecList"/>
      </w:pPr>
      <w:r>
        <w:t xml:space="preserve">15. </w:t>
      </w:r>
      <w:r>
        <w:rPr>
          <w:b/>
        </w:rPr>
        <w:t>First-demo scope:</w:t>
      </w:r>
      <w:r>
        <w:t xml:space="preserve"> The full public core is not all due for the professor demonstration. The initial demo is the five-step path in Section 12; regular-game onboarding is for first public release.</w:t>
      </w:r>
    </w:p>
    <w:p>
      <w:pPr>
        <w:pStyle w:val="Heading2"/>
      </w:pPr>
      <w:r>
        <w:t>Coverage of the original document</w:t>
      </w:r>
    </w:p>
    <w:tbl>
      <w:tblPr>
        <w:tblW w:type="auto" w:w="0"/>
        <w:tblLayout w:type="fixed"/>
        <w:tblLook w:firstColumn="1" w:firstRow="1" w:lastColumn="0" w:lastRow="0" w:noHBand="0" w:noVBand="1" w:val="04A0"/>
      </w:tblPr>
      <w:tblGrid>
        <w:gridCol w:w="3168"/>
        <w:gridCol w:w="6768"/>
      </w:tblGrid>
      <w:tr>
        <w:trPr>
          <w:cantSplit/>
          <w:tblHeader/>
        </w:trPr>
        <w:tc>
          <w:tcPr>
            <w:tcW w:type="dxa" w:w="3168"/>
            <w:tcMar>
              <w:top w:w="75" w:type="dxa"/>
              <w:bottom w:w="75" w:type="dxa"/>
              <w:left w:w="75" w:type="dxa"/>
              <w:right w:w="75" w:type="dxa"/>
            </w:tcMar>
            <w:shd w:fill="E7E6E6"/>
          </w:tcPr>
          <w:p>
            <w:pPr>
              <w:spacing w:after="60" w:line="245" w:lineRule="auto"/>
            </w:pPr>
            <w:r>
              <w:rPr>
                <w:b/>
                <w:sz w:val="19"/>
              </w:rPr>
              <w:t>Original topic</w:t>
            </w:r>
          </w:p>
        </w:tc>
        <w:tc>
          <w:tcPr>
            <w:tcW w:type="dxa" w:w="6768"/>
            <w:tcMar>
              <w:top w:w="75" w:type="dxa"/>
              <w:bottom w:w="75" w:type="dxa"/>
              <w:left w:w="75" w:type="dxa"/>
              <w:right w:w="75" w:type="dxa"/>
            </w:tcMar>
            <w:shd w:fill="E7E6E6"/>
          </w:tcPr>
          <w:p>
            <w:pPr>
              <w:spacing w:after="60" w:line="245" w:lineRule="auto"/>
            </w:pPr>
            <w:r>
              <w:rPr>
                <w:b/>
                <w:sz w:val="19"/>
              </w:rPr>
              <w:t>Location in this revision</w:t>
            </w:r>
          </w:p>
        </w:tc>
      </w:tr>
      <w:tr>
        <w:trPr>
          <w:cantSplit/>
        </w:trPr>
        <w:tc>
          <w:tcPr>
            <w:tcW w:type="dxa" w:w="3168"/>
            <w:tcMar>
              <w:top w:w="75" w:type="dxa"/>
              <w:bottom w:w="75" w:type="dxa"/>
              <w:left w:w="75" w:type="dxa"/>
              <w:right w:w="75" w:type="dxa"/>
            </w:tcMar>
          </w:tcPr>
          <w:p>
            <w:pPr>
              <w:spacing w:after="60" w:line="245" w:lineRule="auto"/>
            </w:pPr>
            <w:r>
              <w:rPr>
                <w:b w:val="0"/>
                <w:sz w:val="19"/>
              </w:rPr>
              <w:t>Project vision and scope</w:t>
            </w:r>
          </w:p>
        </w:tc>
        <w:tc>
          <w:tcPr>
            <w:tcW w:type="dxa" w:w="6768"/>
            <w:tcMar>
              <w:top w:w="75" w:type="dxa"/>
              <w:bottom w:w="75" w:type="dxa"/>
              <w:left w:w="75" w:type="dxa"/>
              <w:right w:w="75" w:type="dxa"/>
            </w:tcMar>
          </w:tcPr>
          <w:p>
            <w:pPr>
              <w:spacing w:after="60" w:line="245" w:lineRule="auto"/>
            </w:pPr>
            <w:r>
              <w:rPr>
                <w:b w:val="0"/>
                <w:sz w:val="19"/>
              </w:rPr>
              <w:t>Project vision and world; Sections 11–12; Appendix A</w:t>
            </w:r>
          </w:p>
        </w:tc>
      </w:tr>
      <w:tr>
        <w:trPr>
          <w:cantSplit/>
        </w:trPr>
        <w:tc>
          <w:tcPr>
            <w:tcW w:type="dxa" w:w="3168"/>
            <w:tcMar>
              <w:top w:w="75" w:type="dxa"/>
              <w:bottom w:w="75" w:type="dxa"/>
              <w:left w:w="75" w:type="dxa"/>
              <w:right w:w="75" w:type="dxa"/>
            </w:tcMar>
          </w:tcPr>
          <w:p>
            <w:pPr>
              <w:spacing w:after="60" w:line="245" w:lineRule="auto"/>
            </w:pPr>
            <w:r>
              <w:rPr>
                <w:b w:val="0"/>
                <w:sz w:val="19"/>
              </w:rPr>
              <w:t>World and persistence</w:t>
            </w:r>
          </w:p>
        </w:tc>
        <w:tc>
          <w:tcPr>
            <w:tcW w:type="dxa" w:w="6768"/>
            <w:tcMar>
              <w:top w:w="75" w:type="dxa"/>
              <w:bottom w:w="75" w:type="dxa"/>
              <w:left w:w="75" w:type="dxa"/>
              <w:right w:w="75" w:type="dxa"/>
            </w:tcMar>
          </w:tcPr>
          <w:p>
            <w:pPr>
              <w:spacing w:after="60" w:line="245" w:lineRule="auto"/>
            </w:pPr>
            <w:r>
              <w:rPr>
                <w:b w:val="0"/>
                <w:sz w:val="19"/>
              </w:rPr>
              <w:t>Project vision and world; Section 9</w:t>
            </w:r>
          </w:p>
        </w:tc>
      </w:tr>
      <w:tr>
        <w:trPr>
          <w:cantSplit/>
        </w:trPr>
        <w:tc>
          <w:tcPr>
            <w:tcW w:type="dxa" w:w="3168"/>
            <w:tcMar>
              <w:top w:w="75" w:type="dxa"/>
              <w:bottom w:w="75" w:type="dxa"/>
              <w:left w:w="75" w:type="dxa"/>
              <w:right w:w="75" w:type="dxa"/>
            </w:tcMar>
          </w:tcPr>
          <w:p>
            <w:pPr>
              <w:spacing w:after="60" w:line="245" w:lineRule="auto"/>
            </w:pPr>
            <w:r>
              <w:rPr>
                <w:b w:val="0"/>
                <w:sz w:val="19"/>
              </w:rPr>
              <w:t>Player interaction and interface</w:t>
            </w:r>
          </w:p>
        </w:tc>
        <w:tc>
          <w:tcPr>
            <w:tcW w:type="dxa" w:w="6768"/>
            <w:tcMar>
              <w:top w:w="75" w:type="dxa"/>
              <w:bottom w:w="75" w:type="dxa"/>
              <w:left w:w="75" w:type="dxa"/>
              <w:right w:w="75" w:type="dxa"/>
            </w:tcMar>
          </w:tcPr>
          <w:p>
            <w:pPr>
              <w:spacing w:after="60" w:line="245" w:lineRule="auto"/>
            </w:pPr>
            <w:r>
              <w:rPr>
                <w:b w:val="0"/>
                <w:sz w:val="19"/>
              </w:rPr>
              <w:t>Sections 3–4 and 7–8; original image in Section 7</w:t>
            </w:r>
          </w:p>
        </w:tc>
      </w:tr>
      <w:tr>
        <w:trPr>
          <w:cantSplit/>
        </w:trPr>
        <w:tc>
          <w:tcPr>
            <w:tcW w:type="dxa" w:w="3168"/>
            <w:tcMar>
              <w:top w:w="75" w:type="dxa"/>
              <w:bottom w:w="75" w:type="dxa"/>
              <w:left w:w="75" w:type="dxa"/>
              <w:right w:w="75" w:type="dxa"/>
            </w:tcMar>
          </w:tcPr>
          <w:p>
            <w:pPr>
              <w:spacing w:after="60" w:line="245" w:lineRule="auto"/>
            </w:pPr>
            <w:r>
              <w:rPr>
                <w:b w:val="0"/>
                <w:sz w:val="19"/>
              </w:rPr>
              <w:t>Blocks and components</w:t>
            </w:r>
          </w:p>
        </w:tc>
        <w:tc>
          <w:tcPr>
            <w:tcW w:type="dxa" w:w="6768"/>
            <w:tcMar>
              <w:top w:w="75" w:type="dxa"/>
              <w:bottom w:w="75" w:type="dxa"/>
              <w:left w:w="75" w:type="dxa"/>
              <w:right w:w="75" w:type="dxa"/>
            </w:tcMar>
          </w:tcPr>
          <w:p>
            <w:pPr>
              <w:spacing w:after="60" w:line="245" w:lineRule="auto"/>
            </w:pPr>
            <w:r>
              <w:rPr>
                <w:b w:val="0"/>
                <w:sz w:val="19"/>
              </w:rPr>
              <w:t>Sections 3–4 and 6; original gates and palette retained</w:t>
            </w:r>
          </w:p>
        </w:tc>
      </w:tr>
      <w:tr>
        <w:trPr>
          <w:cantSplit/>
        </w:trPr>
        <w:tc>
          <w:tcPr>
            <w:tcW w:type="dxa" w:w="3168"/>
            <w:tcMar>
              <w:top w:w="75" w:type="dxa"/>
              <w:bottom w:w="75" w:type="dxa"/>
              <w:left w:w="75" w:type="dxa"/>
              <w:right w:w="75" w:type="dxa"/>
            </w:tcMar>
          </w:tcPr>
          <w:p>
            <w:pPr>
              <w:spacing w:after="60" w:line="245" w:lineRule="auto"/>
            </w:pPr>
            <w:r>
              <w:rPr>
                <w:b w:val="0"/>
                <w:sz w:val="19"/>
              </w:rPr>
              <w:t>Default modules</w:t>
            </w:r>
          </w:p>
        </w:tc>
        <w:tc>
          <w:tcPr>
            <w:tcW w:type="dxa" w:w="6768"/>
            <w:tcMar>
              <w:top w:w="75" w:type="dxa"/>
              <w:bottom w:w="75" w:type="dxa"/>
              <w:left w:w="75" w:type="dxa"/>
              <w:right w:w="75" w:type="dxa"/>
            </w:tcMar>
          </w:tcPr>
          <w:p>
            <w:pPr>
              <w:spacing w:after="60" w:line="245" w:lineRule="auto"/>
            </w:pPr>
            <w:r>
              <w:rPr>
                <w:b w:val="0"/>
                <w:sz w:val="19"/>
              </w:rPr>
              <w:t>Sections 5–6; counter and divider changes explicit</w:t>
            </w:r>
          </w:p>
        </w:tc>
      </w:tr>
      <w:tr>
        <w:trPr>
          <w:cantSplit/>
        </w:trPr>
        <w:tc>
          <w:tcPr>
            <w:tcW w:type="dxa" w:w="3168"/>
            <w:tcMar>
              <w:top w:w="75" w:type="dxa"/>
              <w:bottom w:w="75" w:type="dxa"/>
              <w:left w:w="75" w:type="dxa"/>
              <w:right w:w="75" w:type="dxa"/>
            </w:tcMar>
          </w:tcPr>
          <w:p>
            <w:pPr>
              <w:spacing w:after="60" w:line="245" w:lineRule="auto"/>
            </w:pPr>
            <w:r>
              <w:rPr>
                <w:b w:val="0"/>
                <w:sz w:val="19"/>
              </w:rPr>
              <w:t>Circuit simulation</w:t>
            </w:r>
          </w:p>
        </w:tc>
        <w:tc>
          <w:tcPr>
            <w:tcW w:type="dxa" w:w="6768"/>
            <w:tcMar>
              <w:top w:w="75" w:type="dxa"/>
              <w:bottom w:w="75" w:type="dxa"/>
              <w:left w:w="75" w:type="dxa"/>
              <w:right w:w="75" w:type="dxa"/>
            </w:tcMar>
          </w:tcPr>
          <w:p>
            <w:pPr>
              <w:spacing w:after="60" w:line="245" w:lineRule="auto"/>
            </w:pPr>
            <w:r>
              <w:rPr>
                <w:b w:val="0"/>
                <w:sz w:val="19"/>
              </w:rPr>
              <w:t>Sections 1–2, 6, 8 and 10; IEEE 1012 retained</w:t>
            </w:r>
          </w:p>
        </w:tc>
      </w:tr>
      <w:tr>
        <w:trPr>
          <w:cantSplit/>
        </w:trPr>
        <w:tc>
          <w:tcPr>
            <w:tcW w:type="dxa" w:w="3168"/>
            <w:tcMar>
              <w:top w:w="75" w:type="dxa"/>
              <w:bottom w:w="75" w:type="dxa"/>
              <w:left w:w="75" w:type="dxa"/>
              <w:right w:w="75" w:type="dxa"/>
            </w:tcMar>
          </w:tcPr>
          <w:p>
            <w:pPr>
              <w:spacing w:after="60" w:line="245" w:lineRule="auto"/>
            </w:pPr>
            <w:r>
              <w:rPr>
                <w:b w:val="0"/>
                <w:sz w:val="19"/>
              </w:rPr>
              <w:t>Module creation and packaging</w:t>
            </w:r>
          </w:p>
        </w:tc>
        <w:tc>
          <w:tcPr>
            <w:tcW w:type="dxa" w:w="6768"/>
            <w:tcMar>
              <w:top w:w="75" w:type="dxa"/>
              <w:bottom w:w="75" w:type="dxa"/>
              <w:left w:w="75" w:type="dxa"/>
              <w:right w:w="75" w:type="dxa"/>
            </w:tcMar>
          </w:tcPr>
          <w:p>
            <w:pPr>
              <w:spacing w:after="60" w:line="245" w:lineRule="auto"/>
            </w:pPr>
            <w:r>
              <w:rPr>
                <w:b w:val="0"/>
                <w:sz w:val="19"/>
              </w:rPr>
              <w:t>Section 5 including selection, configuration, boundary tests, sizes and reuse</w:t>
            </w:r>
          </w:p>
        </w:tc>
      </w:tr>
      <w:tr>
        <w:trPr>
          <w:cantSplit/>
        </w:trPr>
        <w:tc>
          <w:tcPr>
            <w:tcW w:type="dxa" w:w="3168"/>
            <w:tcMar>
              <w:top w:w="75" w:type="dxa"/>
              <w:bottom w:w="75" w:type="dxa"/>
              <w:left w:w="75" w:type="dxa"/>
              <w:right w:w="75" w:type="dxa"/>
            </w:tcMar>
          </w:tcPr>
          <w:p>
            <w:pPr>
              <w:spacing w:after="60" w:line="245" w:lineRule="auto"/>
            </w:pPr>
            <w:r>
              <w:rPr>
                <w:b w:val="0"/>
                <w:sz w:val="19"/>
              </w:rPr>
              <w:t>Graphics and rendering</w:t>
            </w:r>
          </w:p>
        </w:tc>
        <w:tc>
          <w:tcPr>
            <w:tcW w:type="dxa" w:w="6768"/>
            <w:tcMar>
              <w:top w:w="75" w:type="dxa"/>
              <w:bottom w:w="75" w:type="dxa"/>
              <w:left w:w="75" w:type="dxa"/>
              <w:right w:w="75" w:type="dxa"/>
            </w:tcMar>
          </w:tcPr>
          <w:p>
            <w:pPr>
              <w:spacing w:after="60" w:line="245" w:lineRule="auto"/>
            </w:pPr>
            <w:r>
              <w:rPr>
                <w:b w:val="0"/>
                <w:sz w:val="19"/>
              </w:rPr>
              <w:t>Appendix A; Sections 3, 7–8 and 10</w:t>
            </w:r>
          </w:p>
        </w:tc>
      </w:tr>
      <w:tr>
        <w:trPr>
          <w:cantSplit/>
        </w:trPr>
        <w:tc>
          <w:tcPr>
            <w:tcW w:type="dxa" w:w="3168"/>
            <w:tcMar>
              <w:top w:w="75" w:type="dxa"/>
              <w:bottom w:w="75" w:type="dxa"/>
              <w:left w:w="75" w:type="dxa"/>
              <w:right w:w="75" w:type="dxa"/>
            </w:tcMar>
          </w:tcPr>
          <w:p>
            <w:pPr>
              <w:spacing w:after="60" w:line="245" w:lineRule="auto"/>
            </w:pPr>
            <w:r>
              <w:rPr>
                <w:b w:val="0"/>
                <w:sz w:val="19"/>
              </w:rPr>
              <w:t>Future features</w:t>
            </w:r>
          </w:p>
        </w:tc>
        <w:tc>
          <w:tcPr>
            <w:tcW w:type="dxa" w:w="6768"/>
            <w:tcMar>
              <w:top w:w="75" w:type="dxa"/>
              <w:bottom w:w="75" w:type="dxa"/>
              <w:left w:w="75" w:type="dxa"/>
              <w:right w:w="75" w:type="dxa"/>
            </w:tcMar>
          </w:tcPr>
          <w:p>
            <w:pPr>
              <w:spacing w:after="60" w:line="245" w:lineRule="auto"/>
            </w:pPr>
            <w:r>
              <w:rPr>
                <w:b w:val="0"/>
                <w:sz w:val="19"/>
              </w:rPr>
              <w:t>Sections 6, 11–12 and Appendix A</w:t>
            </w:r>
          </w:p>
        </w:tc>
      </w:tr>
      <w:tr>
        <w:trPr>
          <w:cantSplit/>
        </w:trPr>
        <w:tc>
          <w:tcPr>
            <w:tcW w:type="dxa" w:w="3168"/>
            <w:tcMar>
              <w:top w:w="75" w:type="dxa"/>
              <w:bottom w:w="75" w:type="dxa"/>
              <w:left w:w="75" w:type="dxa"/>
              <w:right w:w="75" w:type="dxa"/>
            </w:tcMar>
          </w:tcPr>
          <w:p>
            <w:pPr>
              <w:spacing w:after="60" w:line="245" w:lineRule="auto"/>
            </w:pPr>
            <w:r>
              <w:rPr>
                <w:b w:val="0"/>
                <w:sz w:val="19"/>
              </w:rPr>
              <w:t>Research backlog</w:t>
            </w:r>
          </w:p>
        </w:tc>
        <w:tc>
          <w:tcPr>
            <w:tcW w:type="dxa" w:w="6768"/>
            <w:tcMar>
              <w:top w:w="75" w:type="dxa"/>
              <w:bottom w:w="75" w:type="dxa"/>
              <w:left w:w="75" w:type="dxa"/>
              <w:right w:w="75" w:type="dxa"/>
            </w:tcMar>
          </w:tcPr>
          <w:p>
            <w:pPr>
              <w:spacing w:after="60" w:line="245" w:lineRule="auto"/>
            </w:pPr>
            <w:r>
              <w:rPr>
                <w:b w:val="0"/>
                <w:sz w:val="19"/>
              </w:rPr>
              <w:t>Appendix C; every original research paragraph and continuation retained</w:t>
            </w:r>
          </w:p>
        </w:tc>
      </w:tr>
    </w:tbl>
    <w:p>
      <w:pPr>
        <w:spacing w:after="0"/>
      </w:pPr>
    </w:p>
    <w:p>
      <w:r>
        <w:t>All twelve specification areas have their own numbered section. The record’s fifteen reversal entries are reconciled above. Its open-topic groups and technical interpretation cautions are retained in Appendix B, with additional merge conflicts made explicit. Every original body heading is mapped to its subject in this revision; every original RESEARCH marker and its surrounding backlog text is retained unchanged.</w:t>
      </w:r>
    </w:p>
    <w:p>
      <w:pPr>
        <w:pStyle w:val="Heading2"/>
      </w:pPr>
      <w:r>
        <w:t>Development context</w:t>
      </w:r>
    </w:p>
    <w:p>
      <w:r>
        <w:t>The designer is new to AI-assisted game development and wants AI to perform as much work as practical under these specifications. The stated subscriptions were ChatGPT Plus, Gemini Pro, and Claude Free; Claude Pro was only a possible purchase if substantially useful. These are project context, not game requirements. Advice about AI products should use current information, explain unfamiliar concepts before requesting decisions, and distinguish confirmed decisions from proposals. The conversation used one numbered specification area at a time, with whitespace separating topics. Future section-by-section updates may keep the specification current; a final consistency audit is still needed after reversals. Model-switching and token-efficiency advice does not change game behavior or guarantee completeness.</w:t>
      </w:r>
    </w:p>
    <w:p>
      <w:pPr>
        <w:pStyle w:val="SmallNote"/>
      </w:pPr>
      <w:r>
        <w:t>Reference source files: SiliconSandbox_Design_Document_Polished.docx; SiliconSandbox_Conversation_Decision_Record.docx; the SiliconSandbox chat and pasted twelve-area outline. This revised copy does not overwrite either source.</w:t>
      </w:r>
    </w:p>
    <w:sectPr w:rsidR="00FC693F" w:rsidRPr="0006063C" w:rsidSect="00034616">
      <w:footerReference w:type="default" r:id="rId9"/>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SiliconSandbox  |  Revised design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eastAsia="Calibri" w:cs="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eastAsia="Calibri" w:cs="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eastAsia="Calibri" w:cs="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eastAsia="Calibri" w:cs="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240" w:line="240" w:lineRule="auto" w:before="0"/>
      <w:contextualSpacing/>
    </w:pPr>
    <w:rPr>
      <w:rFonts w:asciiTheme="majorHAnsi" w:eastAsiaTheme="majorEastAsia" w:hAnsiTheme="majorHAnsi" w:cstheme="majorBidi" w:ascii="Calibri" w:hAnsi="Calibri" w:eastAsia="Calibri" w:cs="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200"/>
    </w:pPr>
    <w:rPr>
      <w:rFonts w:asciiTheme="majorHAnsi" w:eastAsiaTheme="majorEastAsia" w:hAnsiTheme="majorHAnsi" w:cstheme="majorBidi" w:ascii="Calibri" w:hAnsi="Calibri" w:eastAsia="Calibri" w:cs="Calibr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List">
    <w:name w:val="Spec List"/>
    <w:basedOn w:val="Normal"/>
    <w:pPr>
      <w:spacing w:after="80"/>
      <w:ind w:left="259" w:hanging="202"/>
    </w:pPr>
  </w:style>
  <w:style w:type="paragraph" w:customStyle="1" w:styleId="SpecQuote">
    <w:name w:val="Spec Quote"/>
    <w:basedOn w:val="Normal"/>
    <w:pPr>
      <w:ind w:left="259"/>
    </w:pPr>
    <w:rPr>
      <w:i/>
    </w:rPr>
  </w:style>
  <w:style w:type="paragraph" w:customStyle="1" w:styleId="SmallNote">
    <w:name w:val="Small Note"/>
    <w:basedOn w:val="Normal"/>
    <w:pPr>
      <w:spacing w:after="100"/>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SiliconSandbox Revised Game Design Specification</dc:title>
  <dc:subject>Confirmed requirements proposals future features and open decisions</dc:subject>
  <dc:creator/>
  <cp:keywords>SiliconSandbox; SystemVerilog; game design; specification</cp:keywords>
  <dc:description>generated by python-docx</dc:description>
  <cp:lastModifiedBy/>
  <cp:revision>1</cp:revision>
  <dcterms:created xsi:type="dcterms:W3CDTF">2013-12-23T23:15:00Z</dcterms:created>
  <dcterms:modified xsi:type="dcterms:W3CDTF">2013-12-23T23:15:00Z</dcterms:modified>
  <cp:category/>
</cp:coreProperties>
</file>