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Guia 24 : Postman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Descargar Postman.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cuenta 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https://currencylayer.com/documentation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Ingresar a Postman.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Descargar Vysor.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urrencylayer.com/documentation" TargetMode="External"/><Relationship Id="rId6" Type="http://schemas.openxmlformats.org/officeDocument/2006/relationships/image" Target="media/image2.png"/></Relationships>
</file>