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89E" w:rsidRDefault="00D6589E"/>
    <w:p w:rsidR="00BE3F98" w:rsidRDefault="00BE3F98"/>
    <w:p w:rsidR="00BE3F98" w:rsidRDefault="00BE3F98"/>
    <w:p w:rsidR="00BE3F98" w:rsidRDefault="00BE3F98"/>
    <w:p w:rsidR="007E7470" w:rsidRDefault="007E7470" w:rsidP="007E7470">
      <w:pPr>
        <w:jc w:val="center"/>
        <w:rPr>
          <w:b/>
          <w:sz w:val="44"/>
          <w:szCs w:val="44"/>
        </w:rPr>
      </w:pPr>
    </w:p>
    <w:p w:rsidR="007E7470" w:rsidRDefault="007E7470" w:rsidP="007E7470">
      <w:pPr>
        <w:jc w:val="center"/>
        <w:rPr>
          <w:b/>
          <w:sz w:val="44"/>
          <w:szCs w:val="44"/>
        </w:rPr>
      </w:pPr>
    </w:p>
    <w:p w:rsidR="00BE3F98" w:rsidRPr="007E7470" w:rsidRDefault="00BE3F98" w:rsidP="007E7470">
      <w:pPr>
        <w:jc w:val="center"/>
        <w:rPr>
          <w:b/>
          <w:sz w:val="44"/>
          <w:szCs w:val="44"/>
        </w:rPr>
      </w:pPr>
      <w:r w:rsidRPr="007E7470">
        <w:rPr>
          <w:b/>
          <w:sz w:val="44"/>
          <w:szCs w:val="44"/>
        </w:rPr>
        <w:t>Business Plan</w:t>
      </w:r>
    </w:p>
    <w:p w:rsidR="007E7470" w:rsidRPr="007E7470" w:rsidRDefault="007E7470" w:rsidP="007E7470">
      <w:pPr>
        <w:jc w:val="center"/>
        <w:rPr>
          <w:b/>
          <w:sz w:val="44"/>
          <w:szCs w:val="44"/>
        </w:rPr>
      </w:pPr>
      <w:r w:rsidRPr="007E7470">
        <w:rPr>
          <w:b/>
          <w:sz w:val="44"/>
          <w:szCs w:val="44"/>
        </w:rPr>
        <w:t>Sean Carter</w:t>
      </w:r>
    </w:p>
    <w:p w:rsidR="00BE3F98" w:rsidRPr="007E7470" w:rsidRDefault="007E7470" w:rsidP="007E7470">
      <w:pPr>
        <w:jc w:val="center"/>
        <w:rPr>
          <w:b/>
          <w:sz w:val="44"/>
          <w:szCs w:val="44"/>
        </w:rPr>
      </w:pPr>
      <w:r w:rsidRPr="007E7470">
        <w:rPr>
          <w:b/>
          <w:sz w:val="44"/>
          <w:szCs w:val="44"/>
        </w:rPr>
        <w:t>8</w:t>
      </w:r>
      <w:r w:rsidRPr="007E7470">
        <w:rPr>
          <w:b/>
          <w:sz w:val="44"/>
          <w:szCs w:val="44"/>
          <w:vertAlign w:val="superscript"/>
        </w:rPr>
        <w:t>th</w:t>
      </w:r>
      <w:r w:rsidRPr="007E7470">
        <w:rPr>
          <w:b/>
          <w:sz w:val="44"/>
          <w:szCs w:val="44"/>
        </w:rPr>
        <w:t xml:space="preserve"> July 2010</w:t>
      </w:r>
    </w:p>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Pr="006A0575" w:rsidRDefault="00BE3F98">
      <w:pPr>
        <w:rPr>
          <w:b/>
        </w:rPr>
      </w:pPr>
      <w:r w:rsidRPr="006A0575">
        <w:rPr>
          <w:b/>
        </w:rPr>
        <w:t>Table of Contents</w:t>
      </w:r>
    </w:p>
    <w:p w:rsidR="00BE3F98" w:rsidRDefault="007E7470" w:rsidP="007E7470">
      <w:pPr>
        <w:pStyle w:val="ListParagraph"/>
        <w:numPr>
          <w:ilvl w:val="0"/>
          <w:numId w:val="4"/>
        </w:numPr>
      </w:pPr>
      <w:r>
        <w:t>Executive Overview</w:t>
      </w:r>
    </w:p>
    <w:p w:rsidR="007E7470" w:rsidRDefault="007E7470" w:rsidP="007E7470">
      <w:pPr>
        <w:pStyle w:val="ListParagraph"/>
        <w:numPr>
          <w:ilvl w:val="0"/>
          <w:numId w:val="4"/>
        </w:numPr>
      </w:pPr>
      <w:r>
        <w:t>Markets</w:t>
      </w:r>
    </w:p>
    <w:p w:rsidR="007E7470" w:rsidRDefault="006A0575" w:rsidP="006A0575">
      <w:pPr>
        <w:pStyle w:val="ListParagraph"/>
        <w:ind w:left="1080"/>
      </w:pPr>
      <w:r>
        <w:t>Competitive Intelligence Pharma/Life Science</w:t>
      </w:r>
    </w:p>
    <w:p w:rsidR="006A0575" w:rsidRDefault="006A0575" w:rsidP="006A0575">
      <w:pPr>
        <w:pStyle w:val="ListParagraph"/>
        <w:ind w:left="1080"/>
      </w:pPr>
      <w:r>
        <w:t>Strategic Consulting Scientific/Technology</w:t>
      </w:r>
    </w:p>
    <w:p w:rsidR="006A0575" w:rsidRDefault="006A0575" w:rsidP="006A0575">
      <w:pPr>
        <w:pStyle w:val="ListParagraph"/>
        <w:ind w:left="1080"/>
      </w:pPr>
      <w:r>
        <w:t>Clean Technology</w:t>
      </w:r>
    </w:p>
    <w:p w:rsidR="006A0575" w:rsidRDefault="006A0575" w:rsidP="006A0575">
      <w:pPr>
        <w:pStyle w:val="ListParagraph"/>
        <w:numPr>
          <w:ilvl w:val="0"/>
          <w:numId w:val="9"/>
        </w:numPr>
      </w:pPr>
      <w:r>
        <w:t>Modus Operandi</w:t>
      </w:r>
    </w:p>
    <w:p w:rsidR="006A0575" w:rsidRDefault="006A0575" w:rsidP="006A0575">
      <w:pPr>
        <w:pStyle w:val="ListParagraph"/>
        <w:numPr>
          <w:ilvl w:val="0"/>
          <w:numId w:val="9"/>
        </w:numPr>
      </w:pPr>
      <w:r>
        <w:t>Financial Projection</w:t>
      </w:r>
    </w:p>
    <w:p w:rsidR="006A0575" w:rsidRDefault="006A0575" w:rsidP="006A0575">
      <w:pPr>
        <w:pStyle w:val="ListParagraph"/>
      </w:pPr>
    </w:p>
    <w:p w:rsidR="006A0575" w:rsidRDefault="006A0575" w:rsidP="006A0575"/>
    <w:p w:rsidR="007E7470" w:rsidRDefault="007E7470" w:rsidP="007E7470">
      <w:pPr>
        <w:pStyle w:val="ListParagraph"/>
        <w:ind w:left="1440"/>
      </w:pPr>
    </w:p>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Pr="006A0575" w:rsidRDefault="00BE3F98">
      <w:pPr>
        <w:rPr>
          <w:b/>
        </w:rPr>
      </w:pPr>
    </w:p>
    <w:p w:rsidR="00BE3F98" w:rsidRPr="006A0575" w:rsidRDefault="00BE3F98">
      <w:pPr>
        <w:rPr>
          <w:b/>
        </w:rPr>
      </w:pPr>
      <w:r w:rsidRPr="006A0575">
        <w:rPr>
          <w:b/>
        </w:rPr>
        <w:t>EXECUTIVE OVERVIEW</w:t>
      </w:r>
    </w:p>
    <w:p w:rsidR="00BE3F98" w:rsidRDefault="00BE3F98">
      <w:r>
        <w:t>My aim is to offer the supply of permanent recruitment solutions focussing on the white collar technical/scientific and technical management marketplace.</w:t>
      </w:r>
    </w:p>
    <w:p w:rsidR="00BE3F98" w:rsidRDefault="00BE3F98">
      <w:r>
        <w:t xml:space="preserve">Initially operating from within the FMCG team, I will work with a client base throughout the UK, with a view to extending the company’s services </w:t>
      </w:r>
      <w:r w:rsidR="006A0575">
        <w:t xml:space="preserve">within existing and emerging markets </w:t>
      </w:r>
      <w:r>
        <w:t>into mainland Europe.</w:t>
      </w:r>
    </w:p>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Default="00BE3F98"/>
    <w:p w:rsidR="00BE3F98" w:rsidRPr="006A0575" w:rsidRDefault="00BE3F98">
      <w:pPr>
        <w:rPr>
          <w:b/>
        </w:rPr>
      </w:pPr>
      <w:r w:rsidRPr="006A0575">
        <w:rPr>
          <w:b/>
        </w:rPr>
        <w:t>MARKETS</w:t>
      </w:r>
    </w:p>
    <w:p w:rsidR="00424B19" w:rsidRDefault="00BE3F98">
      <w:r>
        <w:t>Technical recruitment is a “broad brush”. When taken literally it can cover a wide variety of disciplines and vertical markets. Within thi</w:t>
      </w:r>
      <w:r w:rsidR="00424B19">
        <w:t>s br</w:t>
      </w:r>
      <w:r w:rsidR="0071738A">
        <w:t>o</w:t>
      </w:r>
      <w:r w:rsidR="00424B19">
        <w:t xml:space="preserve">ad market area I have highlighted 3 sectors I know from my experiences and research will be lucrative areas for recruitment over the next few years, and as such they will form my primary focus areas. I do fully expect to be developing business in other emerging </w:t>
      </w:r>
      <w:proofErr w:type="gramStart"/>
      <w:r w:rsidR="00424B19">
        <w:t>technical</w:t>
      </w:r>
      <w:r w:rsidR="00A5631B">
        <w:t xml:space="preserve"> </w:t>
      </w:r>
      <w:r w:rsidR="00424B19">
        <w:t xml:space="preserve"> areas</w:t>
      </w:r>
      <w:proofErr w:type="gramEnd"/>
      <w:r w:rsidR="00424B19">
        <w:t xml:space="preserve"> as and when the opportunities arise.</w:t>
      </w:r>
    </w:p>
    <w:p w:rsidR="00424B19" w:rsidRPr="006A0575" w:rsidRDefault="00424B19">
      <w:pPr>
        <w:rPr>
          <w:b/>
        </w:rPr>
      </w:pPr>
      <w:r w:rsidRPr="006A0575">
        <w:rPr>
          <w:b/>
        </w:rPr>
        <w:t>Focus Markets</w:t>
      </w:r>
    </w:p>
    <w:p w:rsidR="00424B19" w:rsidRDefault="00424B19" w:rsidP="00424B19">
      <w:pPr>
        <w:pStyle w:val="ListParagraph"/>
        <w:numPr>
          <w:ilvl w:val="0"/>
          <w:numId w:val="1"/>
        </w:numPr>
      </w:pPr>
      <w:r>
        <w:t>Competitive Intelligence Life Sciences/Pharmaceutical</w:t>
      </w:r>
    </w:p>
    <w:p w:rsidR="00424B19" w:rsidRDefault="00424B19" w:rsidP="00424B19">
      <w:pPr>
        <w:pStyle w:val="ListParagraph"/>
        <w:numPr>
          <w:ilvl w:val="0"/>
          <w:numId w:val="1"/>
        </w:numPr>
      </w:pPr>
      <w:r>
        <w:t>Strategic Consulting Pharma/Technology</w:t>
      </w:r>
    </w:p>
    <w:p w:rsidR="00424B19" w:rsidRDefault="00D57626" w:rsidP="00424B19">
      <w:pPr>
        <w:pStyle w:val="ListParagraph"/>
        <w:numPr>
          <w:ilvl w:val="0"/>
          <w:numId w:val="1"/>
        </w:numPr>
      </w:pPr>
      <w:r>
        <w:t>Clean T</w:t>
      </w:r>
      <w:r w:rsidR="00424B19">
        <w:t>echnology</w:t>
      </w:r>
    </w:p>
    <w:p w:rsidR="006A0575" w:rsidRDefault="006A0575" w:rsidP="00424B19">
      <w:pPr>
        <w:rPr>
          <w:b/>
        </w:rPr>
      </w:pPr>
    </w:p>
    <w:p w:rsidR="00424B19" w:rsidRPr="006A0575" w:rsidRDefault="00424B19" w:rsidP="00424B19">
      <w:pPr>
        <w:rPr>
          <w:b/>
        </w:rPr>
      </w:pPr>
      <w:r w:rsidRPr="006A0575">
        <w:rPr>
          <w:b/>
        </w:rPr>
        <w:t>Competitive Intelligence</w:t>
      </w:r>
      <w:r w:rsidR="00484E57" w:rsidRPr="006A0575">
        <w:rPr>
          <w:b/>
        </w:rPr>
        <w:t xml:space="preserve"> Life Science/Pharma </w:t>
      </w:r>
      <w:r w:rsidRPr="006A0575">
        <w:rPr>
          <w:b/>
        </w:rPr>
        <w:t>Market</w:t>
      </w:r>
    </w:p>
    <w:p w:rsidR="00424B19" w:rsidRDefault="00424B19" w:rsidP="00484E57">
      <w:pPr>
        <w:rPr>
          <w:rStyle w:val="apple-converted-space"/>
          <w:rFonts w:ascii="Verdana" w:hAnsi="Verdana"/>
          <w:color w:val="000000"/>
          <w:sz w:val="18"/>
          <w:szCs w:val="18"/>
        </w:rPr>
      </w:pPr>
      <w:r>
        <w:t>“Competitive Intelligence is defined as the process of obtaining and analysing competitiv</w:t>
      </w:r>
      <w:r w:rsidR="00151455">
        <w:t>e information fro</w:t>
      </w:r>
      <w:r>
        <w:t>m publicly available sources to help achieve the objectives of the organisation.</w:t>
      </w:r>
      <w:r w:rsidR="00484E57">
        <w:t xml:space="preserve"> </w:t>
      </w:r>
      <w:r>
        <w:rPr>
          <w:rFonts w:ascii="Verdana" w:hAnsi="Verdana"/>
          <w:color w:val="000000"/>
          <w:sz w:val="18"/>
          <w:szCs w:val="18"/>
        </w:rPr>
        <w:t>Competitive intelligence (CI) is the process of monitoring the competitive environment. CI enables senior managers in companies of all sizes to make informed decisions about everything from marketing, R&amp;D, and investing tactics to long-term business strategies. Effective CI is a continuous process involving the legal and ethical collection of information, analysis that doesn't avoid unwelcome conclusions, and controlled dissemination of actionable intelligence to decision makers."</w:t>
      </w:r>
      <w:r>
        <w:rPr>
          <w:rStyle w:val="apple-converted-space"/>
          <w:rFonts w:ascii="Verdana" w:hAnsi="Verdana"/>
          <w:color w:val="000000"/>
          <w:sz w:val="18"/>
          <w:szCs w:val="18"/>
        </w:rPr>
        <w:t> </w:t>
      </w:r>
    </w:p>
    <w:p w:rsidR="005A7D7E" w:rsidRDefault="005A7D7E" w:rsidP="00484E57">
      <w:pPr>
        <w:rPr>
          <w:rStyle w:val="apple-converted-space"/>
          <w:rFonts w:ascii="Verdana" w:hAnsi="Verdana"/>
          <w:color w:val="000000"/>
          <w:sz w:val="18"/>
          <w:szCs w:val="18"/>
        </w:rPr>
      </w:pPr>
      <w:r>
        <w:rPr>
          <w:rStyle w:val="apple-converted-space"/>
          <w:rFonts w:ascii="Verdana" w:hAnsi="Verdana"/>
          <w:color w:val="000000"/>
          <w:sz w:val="18"/>
          <w:szCs w:val="18"/>
        </w:rPr>
        <w:t>Clients in this industry hire PhD level candidates with specific scientific research at entry level, to experienced CI Research Analysts, Project Managers and Associate Research Managers.</w:t>
      </w:r>
    </w:p>
    <w:p w:rsidR="00484E57" w:rsidRDefault="00484E57" w:rsidP="00484E57">
      <w:pPr>
        <w:rPr>
          <w:rStyle w:val="apple-converted-space"/>
          <w:rFonts w:ascii="Verdana" w:hAnsi="Verdana"/>
          <w:color w:val="000000"/>
          <w:sz w:val="18"/>
          <w:szCs w:val="18"/>
        </w:rPr>
      </w:pPr>
      <w:r>
        <w:rPr>
          <w:rStyle w:val="apple-converted-space"/>
          <w:rFonts w:ascii="Verdana" w:hAnsi="Verdana"/>
          <w:color w:val="000000"/>
          <w:sz w:val="18"/>
          <w:szCs w:val="18"/>
        </w:rPr>
        <w:t>I have w</w:t>
      </w:r>
      <w:r w:rsidR="00372D94">
        <w:rPr>
          <w:rStyle w:val="apple-converted-space"/>
          <w:rFonts w:ascii="Verdana" w:hAnsi="Verdana"/>
          <w:color w:val="000000"/>
          <w:sz w:val="18"/>
          <w:szCs w:val="18"/>
        </w:rPr>
        <w:t>orked closely with (confidential)</w:t>
      </w:r>
      <w:r>
        <w:rPr>
          <w:rStyle w:val="apple-converted-space"/>
          <w:rFonts w:ascii="Verdana" w:hAnsi="Verdana"/>
          <w:color w:val="000000"/>
          <w:sz w:val="18"/>
          <w:szCs w:val="18"/>
        </w:rPr>
        <w:t xml:space="preserve"> for over 3 years and have a strong working relationship with not only their Chief Operating Officer but also with many of the Project Managers that I have placed. I also have a good working relationship with</w:t>
      </w:r>
      <w:r w:rsidR="00372D94">
        <w:rPr>
          <w:rStyle w:val="apple-converted-space"/>
          <w:rFonts w:ascii="Verdana" w:hAnsi="Verdana"/>
          <w:color w:val="000000"/>
          <w:sz w:val="18"/>
          <w:szCs w:val="18"/>
        </w:rPr>
        <w:t xml:space="preserve"> the Directors at (confidential) and (confidential)</w:t>
      </w:r>
      <w:r>
        <w:rPr>
          <w:rStyle w:val="apple-converted-space"/>
          <w:rFonts w:ascii="Verdana" w:hAnsi="Verdana"/>
          <w:color w:val="000000"/>
          <w:sz w:val="18"/>
          <w:szCs w:val="18"/>
        </w:rPr>
        <w:t xml:space="preserve"> having assisted with search campaigns over the last 2 years.</w:t>
      </w:r>
    </w:p>
    <w:p w:rsidR="00484E57" w:rsidRDefault="00484E57" w:rsidP="00484E57">
      <w:pPr>
        <w:rPr>
          <w:rStyle w:val="apple-converted-space"/>
          <w:rFonts w:ascii="Verdana" w:hAnsi="Verdana"/>
          <w:color w:val="000000"/>
          <w:sz w:val="18"/>
          <w:szCs w:val="18"/>
        </w:rPr>
      </w:pPr>
      <w:r>
        <w:rPr>
          <w:rStyle w:val="apple-converted-space"/>
          <w:rFonts w:ascii="Verdana" w:hAnsi="Verdana"/>
          <w:color w:val="000000"/>
          <w:sz w:val="18"/>
          <w:szCs w:val="18"/>
        </w:rPr>
        <w:t>I plan to draw down heavily on the business relationships I have developed previously and expect to maintain a steady stream of business from these 3 companies, all of whom are actively recruiting now.</w:t>
      </w:r>
    </w:p>
    <w:p w:rsidR="00484E57" w:rsidRDefault="00484E57" w:rsidP="00484E57">
      <w:pPr>
        <w:rPr>
          <w:rStyle w:val="apple-converted-space"/>
          <w:rFonts w:ascii="Verdana" w:hAnsi="Verdana"/>
          <w:color w:val="000000"/>
          <w:sz w:val="18"/>
          <w:szCs w:val="18"/>
        </w:rPr>
      </w:pPr>
    </w:p>
    <w:p w:rsidR="003A752B" w:rsidRPr="006A0575" w:rsidRDefault="003A752B" w:rsidP="00484E57">
      <w:pPr>
        <w:rPr>
          <w:rStyle w:val="apple-converted-space"/>
          <w:rFonts w:ascii="Verdana" w:hAnsi="Verdana"/>
          <w:b/>
          <w:color w:val="000000"/>
          <w:sz w:val="18"/>
          <w:szCs w:val="18"/>
        </w:rPr>
      </w:pPr>
      <w:r w:rsidRPr="006A0575">
        <w:rPr>
          <w:rStyle w:val="apple-converted-space"/>
          <w:rFonts w:ascii="Verdana" w:hAnsi="Verdana"/>
          <w:b/>
          <w:color w:val="000000"/>
          <w:sz w:val="18"/>
          <w:szCs w:val="18"/>
        </w:rPr>
        <w:t>Strategic Consulting/Business Research and Analysis Technology/Engineering and Science</w:t>
      </w:r>
    </w:p>
    <w:p w:rsidR="00D57626" w:rsidRDefault="003A752B" w:rsidP="00484E57">
      <w:pPr>
        <w:rPr>
          <w:rStyle w:val="apple-converted-space"/>
          <w:rFonts w:ascii="Verdana" w:hAnsi="Verdana"/>
          <w:color w:val="000000"/>
          <w:sz w:val="18"/>
          <w:szCs w:val="18"/>
        </w:rPr>
      </w:pPr>
      <w:r>
        <w:rPr>
          <w:rStyle w:val="apple-converted-space"/>
          <w:rFonts w:ascii="Verdana" w:hAnsi="Verdana"/>
          <w:color w:val="000000"/>
          <w:sz w:val="18"/>
          <w:szCs w:val="18"/>
        </w:rPr>
        <w:t xml:space="preserve">Companies operating in this industry help organisations within technology, engineering and scientific fields to improve performance, primarily through the analysis of existing business problems and the development of plans for improvement. </w:t>
      </w:r>
    </w:p>
    <w:p w:rsidR="003A752B" w:rsidRDefault="00D57626" w:rsidP="00484E57">
      <w:pPr>
        <w:rPr>
          <w:rStyle w:val="apple-converted-space"/>
          <w:rFonts w:ascii="Verdana" w:hAnsi="Verdana"/>
          <w:color w:val="000000"/>
          <w:sz w:val="18"/>
          <w:szCs w:val="18"/>
        </w:rPr>
      </w:pPr>
      <w:r>
        <w:rPr>
          <w:rStyle w:val="apple-converted-space"/>
          <w:rFonts w:ascii="Verdana" w:hAnsi="Verdana"/>
          <w:color w:val="000000"/>
          <w:sz w:val="18"/>
          <w:szCs w:val="18"/>
        </w:rPr>
        <w:t>Companies hire the services of strategic/management consultants for a number of reasons, including gaining external (and presumably objective) advice and access to the consultants specialised expertise.</w:t>
      </w:r>
    </w:p>
    <w:p w:rsidR="003A752B" w:rsidRDefault="00D57626" w:rsidP="00484E57">
      <w:pPr>
        <w:rPr>
          <w:rStyle w:val="apple-converted-space"/>
          <w:rFonts w:ascii="Verdana" w:hAnsi="Verdana"/>
          <w:color w:val="000000"/>
          <w:sz w:val="18"/>
          <w:szCs w:val="18"/>
        </w:rPr>
      </w:pPr>
      <w:r>
        <w:rPr>
          <w:rStyle w:val="apple-converted-space"/>
          <w:rFonts w:ascii="Verdana" w:hAnsi="Verdana"/>
          <w:color w:val="000000"/>
          <w:sz w:val="18"/>
          <w:szCs w:val="18"/>
        </w:rPr>
        <w:lastRenderedPageBreak/>
        <w:t>There is a very strong link between this industry and Competitive Intelligence, as many of my contacts have either previously been in this industry or have moved into it. These organisations a</w:t>
      </w:r>
      <w:r w:rsidR="00372D94">
        <w:rPr>
          <w:rStyle w:val="apple-converted-space"/>
          <w:rFonts w:ascii="Verdana" w:hAnsi="Verdana"/>
          <w:color w:val="000000"/>
          <w:sz w:val="18"/>
          <w:szCs w:val="18"/>
        </w:rPr>
        <w:t>re mostly multidisciplinary,</w:t>
      </w:r>
      <w:r>
        <w:rPr>
          <w:rStyle w:val="apple-converted-space"/>
          <w:rFonts w:ascii="Verdana" w:hAnsi="Verdana"/>
          <w:color w:val="000000"/>
          <w:sz w:val="18"/>
          <w:szCs w:val="18"/>
        </w:rPr>
        <w:t xml:space="preserve"> hiring Analysts with life science, technology or engineering expertise at doctorate level. </w:t>
      </w:r>
    </w:p>
    <w:p w:rsidR="00D57626" w:rsidRDefault="00D57626" w:rsidP="00484E57">
      <w:pPr>
        <w:rPr>
          <w:rStyle w:val="apple-converted-space"/>
          <w:rFonts w:ascii="Verdana" w:hAnsi="Verdana"/>
          <w:color w:val="000000"/>
          <w:sz w:val="18"/>
          <w:szCs w:val="18"/>
        </w:rPr>
      </w:pPr>
    </w:p>
    <w:p w:rsidR="00D57626" w:rsidRPr="006A0575" w:rsidRDefault="00D57626" w:rsidP="00484E57">
      <w:pPr>
        <w:rPr>
          <w:rStyle w:val="apple-converted-space"/>
          <w:rFonts w:ascii="Verdana" w:hAnsi="Verdana"/>
          <w:b/>
          <w:color w:val="000000"/>
          <w:sz w:val="18"/>
          <w:szCs w:val="18"/>
        </w:rPr>
      </w:pPr>
      <w:r w:rsidRPr="006A0575">
        <w:rPr>
          <w:rStyle w:val="apple-converted-space"/>
          <w:rFonts w:ascii="Verdana" w:hAnsi="Verdana"/>
          <w:b/>
          <w:color w:val="000000"/>
          <w:sz w:val="18"/>
          <w:szCs w:val="18"/>
        </w:rPr>
        <w:t>Clean Technology</w:t>
      </w:r>
    </w:p>
    <w:p w:rsidR="00A15E89" w:rsidRDefault="00A15E89" w:rsidP="00484E57">
      <w:pPr>
        <w:rPr>
          <w:rStyle w:val="apple-converted-space"/>
          <w:rFonts w:ascii="Verdana" w:hAnsi="Verdana"/>
          <w:color w:val="000000"/>
          <w:sz w:val="18"/>
          <w:szCs w:val="18"/>
        </w:rPr>
      </w:pPr>
      <w:r>
        <w:rPr>
          <w:rStyle w:val="apple-converted-space"/>
          <w:rFonts w:ascii="Verdana" w:hAnsi="Verdana"/>
          <w:color w:val="000000"/>
          <w:sz w:val="18"/>
          <w:szCs w:val="18"/>
        </w:rPr>
        <w:t>The UK clean technology industry includes renewable energy (wind power, biomass, hydropower, biofuels), green transportation, electric motor and green chemistry companies. The aim is to create electricity and fuels with a smaller environmental footprint.  Global venture capital investment in clean technology companies reached $4.04 billion in the first half of 2010.</w:t>
      </w:r>
    </w:p>
    <w:p w:rsidR="006C49AC" w:rsidRDefault="006C49AC" w:rsidP="00484E57">
      <w:pPr>
        <w:rPr>
          <w:rStyle w:val="apple-converted-space"/>
          <w:rFonts w:ascii="Verdana" w:hAnsi="Verdana"/>
          <w:color w:val="000000"/>
          <w:sz w:val="18"/>
          <w:szCs w:val="18"/>
        </w:rPr>
      </w:pPr>
      <w:r>
        <w:rPr>
          <w:rStyle w:val="apple-converted-space"/>
          <w:rFonts w:ascii="Verdana" w:hAnsi="Verdana"/>
          <w:color w:val="000000"/>
          <w:sz w:val="18"/>
          <w:szCs w:val="18"/>
        </w:rPr>
        <w:t>The target companies in this market would primarily be the UK’s emerging next generation Li-ion battery technology sector. This market has over the last 2 years seen major investment from both the government and venture capitalists. The technology has been successfully piloted in the Asian motorcycle market as a successor to fuel cell electric powered vehicles. With several companies now ope</w:t>
      </w:r>
      <w:r w:rsidR="00372D94">
        <w:rPr>
          <w:rStyle w:val="apple-converted-space"/>
          <w:rFonts w:ascii="Verdana" w:hAnsi="Verdana"/>
          <w:color w:val="000000"/>
          <w:sz w:val="18"/>
          <w:szCs w:val="18"/>
        </w:rPr>
        <w:t>rating in the UK (confidential</w:t>
      </w:r>
      <w:r>
        <w:rPr>
          <w:rStyle w:val="apple-converted-space"/>
          <w:rFonts w:ascii="Verdana" w:hAnsi="Verdana"/>
          <w:color w:val="000000"/>
          <w:sz w:val="18"/>
          <w:szCs w:val="18"/>
        </w:rPr>
        <w:t xml:space="preserve">) the push is now for the development and scale up in production for the automotive industry. I have for 3 years successfully sourced Electrochemists, Electrochemical Engineers and Process Engineers for companies in this sector. </w:t>
      </w:r>
    </w:p>
    <w:p w:rsidR="00484E57" w:rsidRDefault="006C49AC" w:rsidP="00484E57">
      <w:pPr>
        <w:rPr>
          <w:rStyle w:val="apple-converted-space"/>
          <w:rFonts w:ascii="Verdana" w:hAnsi="Verdana"/>
          <w:color w:val="000000"/>
          <w:sz w:val="18"/>
          <w:szCs w:val="18"/>
        </w:rPr>
      </w:pPr>
      <w:r>
        <w:rPr>
          <w:rStyle w:val="apple-converted-space"/>
          <w:rFonts w:ascii="Verdana" w:hAnsi="Verdana"/>
          <w:color w:val="000000"/>
          <w:sz w:val="18"/>
          <w:szCs w:val="18"/>
        </w:rPr>
        <w:t>Other areas that are buoyant include the UK’s fuel cell technology market. Both fuel cell and Lithium battery technology have similarities</w:t>
      </w:r>
      <w:r w:rsidR="00684AD2">
        <w:rPr>
          <w:rStyle w:val="apple-converted-space"/>
          <w:rFonts w:ascii="Verdana" w:hAnsi="Verdana"/>
          <w:color w:val="000000"/>
          <w:sz w:val="18"/>
          <w:szCs w:val="18"/>
        </w:rPr>
        <w:t>. The</w:t>
      </w:r>
      <w:r w:rsidR="005F4A4F">
        <w:rPr>
          <w:rStyle w:val="apple-converted-space"/>
          <w:rFonts w:ascii="Verdana" w:hAnsi="Verdana"/>
          <w:color w:val="000000"/>
          <w:sz w:val="18"/>
          <w:szCs w:val="18"/>
        </w:rPr>
        <w:t xml:space="preserve"> emphasis</w:t>
      </w:r>
      <w:r w:rsidR="00684AD2">
        <w:rPr>
          <w:rStyle w:val="apple-converted-space"/>
          <w:rFonts w:ascii="Verdana" w:hAnsi="Verdana"/>
          <w:color w:val="000000"/>
          <w:sz w:val="18"/>
          <w:szCs w:val="18"/>
        </w:rPr>
        <w:t xml:space="preserve"> would be placed on the SME (10-100 employees)</w:t>
      </w:r>
      <w:proofErr w:type="gramStart"/>
      <w:r w:rsidR="00684AD2">
        <w:rPr>
          <w:rStyle w:val="apple-converted-space"/>
          <w:rFonts w:ascii="Verdana" w:hAnsi="Verdana"/>
          <w:color w:val="000000"/>
          <w:sz w:val="18"/>
          <w:szCs w:val="18"/>
        </w:rPr>
        <w:t>,</w:t>
      </w:r>
      <w:proofErr w:type="gramEnd"/>
      <w:r w:rsidR="00684AD2">
        <w:rPr>
          <w:rStyle w:val="apple-converted-space"/>
          <w:rFonts w:ascii="Verdana" w:hAnsi="Verdana"/>
          <w:color w:val="000000"/>
          <w:sz w:val="18"/>
          <w:szCs w:val="18"/>
        </w:rPr>
        <w:t xml:space="preserve"> there will be opportunities to leverage previous business relationships in several of the blue chip multinationals such as Johnson Matthey Fuel Cells, Schlumberger and ABSL.</w:t>
      </w:r>
    </w:p>
    <w:p w:rsidR="00684AD2" w:rsidRDefault="00684AD2" w:rsidP="00484E57">
      <w:pPr>
        <w:rPr>
          <w:rStyle w:val="apple-converted-space"/>
          <w:rFonts w:ascii="Verdana" w:hAnsi="Verdana"/>
          <w:color w:val="000000"/>
          <w:sz w:val="18"/>
          <w:szCs w:val="18"/>
        </w:rPr>
      </w:pPr>
    </w:p>
    <w:p w:rsidR="00684AD2" w:rsidRPr="006A0575" w:rsidRDefault="00684AD2" w:rsidP="00484E57">
      <w:pPr>
        <w:rPr>
          <w:rStyle w:val="apple-converted-space"/>
          <w:rFonts w:ascii="Verdana" w:hAnsi="Verdana"/>
          <w:b/>
          <w:color w:val="000000"/>
          <w:sz w:val="18"/>
          <w:szCs w:val="18"/>
        </w:rPr>
      </w:pPr>
      <w:r w:rsidRPr="006A0575">
        <w:rPr>
          <w:rStyle w:val="apple-converted-space"/>
          <w:rFonts w:ascii="Verdana" w:hAnsi="Verdana"/>
          <w:b/>
          <w:color w:val="000000"/>
          <w:sz w:val="18"/>
          <w:szCs w:val="18"/>
        </w:rPr>
        <w:t>Markets – In Conclusion</w:t>
      </w:r>
    </w:p>
    <w:p w:rsidR="00684AD2" w:rsidRDefault="00684AD2" w:rsidP="00484E57">
      <w:pPr>
        <w:rPr>
          <w:rStyle w:val="apple-converted-space"/>
          <w:rFonts w:ascii="Verdana" w:hAnsi="Verdana"/>
          <w:color w:val="000000"/>
          <w:sz w:val="18"/>
          <w:szCs w:val="18"/>
        </w:rPr>
      </w:pPr>
      <w:r>
        <w:rPr>
          <w:rStyle w:val="apple-converted-space"/>
          <w:rFonts w:ascii="Verdana" w:hAnsi="Verdana"/>
          <w:color w:val="000000"/>
          <w:sz w:val="18"/>
          <w:szCs w:val="18"/>
        </w:rPr>
        <w:t>The 3 main focus markets in which I aim to operate are predicted areas of sustained recruitment activity over the next few years and will return the revenue levels for the desk to achieve consistent growth. Each of these vertical markets has the breadth and diversity of technical and managerial requirements to allow the eventual spin out of highly specialised divisions focussed on specific sectors.</w:t>
      </w:r>
    </w:p>
    <w:p w:rsidR="006A0575" w:rsidRDefault="006A0575" w:rsidP="00484E57">
      <w:pPr>
        <w:rPr>
          <w:rStyle w:val="apple-converted-space"/>
          <w:rFonts w:ascii="Verdana" w:hAnsi="Verdana"/>
          <w:color w:val="000000"/>
          <w:sz w:val="18"/>
          <w:szCs w:val="18"/>
        </w:rPr>
      </w:pPr>
    </w:p>
    <w:p w:rsidR="00684AD2" w:rsidRDefault="00684AD2" w:rsidP="00484E57">
      <w:pPr>
        <w:rPr>
          <w:rStyle w:val="apple-converted-space"/>
          <w:rFonts w:ascii="Verdana" w:hAnsi="Verdana"/>
          <w:color w:val="000000"/>
          <w:sz w:val="18"/>
          <w:szCs w:val="18"/>
        </w:rPr>
      </w:pPr>
    </w:p>
    <w:p w:rsidR="00684AD2" w:rsidRDefault="00684AD2" w:rsidP="00484E57">
      <w:pPr>
        <w:rPr>
          <w:rStyle w:val="apple-converted-space"/>
          <w:rFonts w:ascii="Verdana" w:hAnsi="Verdana"/>
          <w:color w:val="000000"/>
          <w:sz w:val="18"/>
          <w:szCs w:val="18"/>
        </w:rPr>
      </w:pPr>
    </w:p>
    <w:p w:rsidR="00684AD2" w:rsidRDefault="00684AD2" w:rsidP="00484E57">
      <w:pPr>
        <w:rPr>
          <w:rStyle w:val="apple-converted-space"/>
          <w:rFonts w:ascii="Verdana" w:hAnsi="Verdana"/>
          <w:color w:val="000000"/>
          <w:sz w:val="18"/>
          <w:szCs w:val="18"/>
        </w:rPr>
      </w:pPr>
    </w:p>
    <w:p w:rsidR="00684AD2" w:rsidRDefault="00684AD2" w:rsidP="00484E57">
      <w:pPr>
        <w:rPr>
          <w:rStyle w:val="apple-converted-space"/>
          <w:rFonts w:ascii="Verdana" w:hAnsi="Verdana"/>
          <w:color w:val="000000"/>
          <w:sz w:val="18"/>
          <w:szCs w:val="18"/>
        </w:rPr>
      </w:pPr>
    </w:p>
    <w:p w:rsidR="00684AD2" w:rsidRDefault="00684AD2" w:rsidP="00484E57">
      <w:pPr>
        <w:rPr>
          <w:rStyle w:val="apple-converted-space"/>
          <w:rFonts w:ascii="Verdana" w:hAnsi="Verdana"/>
          <w:color w:val="000000"/>
          <w:sz w:val="18"/>
          <w:szCs w:val="18"/>
        </w:rPr>
      </w:pPr>
    </w:p>
    <w:p w:rsidR="00684AD2" w:rsidRDefault="00684AD2" w:rsidP="00484E57">
      <w:pPr>
        <w:rPr>
          <w:rStyle w:val="apple-converted-space"/>
          <w:rFonts w:ascii="Verdana" w:hAnsi="Verdana"/>
          <w:color w:val="000000"/>
          <w:sz w:val="18"/>
          <w:szCs w:val="18"/>
        </w:rPr>
      </w:pPr>
    </w:p>
    <w:p w:rsidR="00684AD2" w:rsidRDefault="00684AD2" w:rsidP="00484E57">
      <w:pPr>
        <w:rPr>
          <w:rStyle w:val="apple-converted-space"/>
          <w:rFonts w:ascii="Verdana" w:hAnsi="Verdana"/>
          <w:color w:val="000000"/>
          <w:sz w:val="18"/>
          <w:szCs w:val="18"/>
        </w:rPr>
      </w:pPr>
    </w:p>
    <w:p w:rsidR="00684AD2" w:rsidRDefault="00684AD2" w:rsidP="00484E57">
      <w:pPr>
        <w:rPr>
          <w:rStyle w:val="apple-converted-space"/>
          <w:rFonts w:ascii="Verdana" w:hAnsi="Verdana"/>
          <w:color w:val="000000"/>
          <w:sz w:val="18"/>
          <w:szCs w:val="18"/>
        </w:rPr>
      </w:pPr>
    </w:p>
    <w:p w:rsidR="00684AD2" w:rsidRDefault="00684AD2" w:rsidP="00484E57">
      <w:pPr>
        <w:rPr>
          <w:rStyle w:val="apple-converted-space"/>
          <w:rFonts w:ascii="Verdana" w:hAnsi="Verdana"/>
          <w:color w:val="000000"/>
          <w:sz w:val="18"/>
          <w:szCs w:val="18"/>
        </w:rPr>
      </w:pPr>
    </w:p>
    <w:p w:rsidR="00684AD2" w:rsidRDefault="00684AD2" w:rsidP="00484E57">
      <w:pPr>
        <w:rPr>
          <w:rStyle w:val="apple-converted-space"/>
          <w:rFonts w:ascii="Verdana" w:hAnsi="Verdana"/>
          <w:color w:val="000000"/>
          <w:sz w:val="18"/>
          <w:szCs w:val="18"/>
        </w:rPr>
      </w:pPr>
    </w:p>
    <w:p w:rsidR="006A0575" w:rsidRDefault="006A0575" w:rsidP="00484E57">
      <w:pPr>
        <w:rPr>
          <w:rStyle w:val="apple-converted-space"/>
          <w:rFonts w:ascii="Verdana" w:hAnsi="Verdana"/>
          <w:color w:val="000000"/>
          <w:sz w:val="18"/>
          <w:szCs w:val="18"/>
        </w:rPr>
      </w:pPr>
    </w:p>
    <w:p w:rsidR="00684AD2" w:rsidRPr="006A0575" w:rsidRDefault="00684AD2" w:rsidP="00484E57">
      <w:pPr>
        <w:rPr>
          <w:rStyle w:val="apple-converted-space"/>
          <w:rFonts w:ascii="Verdana" w:hAnsi="Verdana"/>
          <w:b/>
          <w:color w:val="000000"/>
          <w:sz w:val="18"/>
          <w:szCs w:val="18"/>
        </w:rPr>
      </w:pPr>
      <w:r w:rsidRPr="006A0575">
        <w:rPr>
          <w:rStyle w:val="apple-converted-space"/>
          <w:rFonts w:ascii="Verdana" w:hAnsi="Verdana"/>
          <w:b/>
          <w:color w:val="000000"/>
          <w:sz w:val="18"/>
          <w:szCs w:val="18"/>
        </w:rPr>
        <w:t>MODUS OPERANDI</w:t>
      </w:r>
    </w:p>
    <w:p w:rsidR="00684AD2" w:rsidRDefault="00684AD2" w:rsidP="00484E57">
      <w:pPr>
        <w:rPr>
          <w:rStyle w:val="apple-converted-space"/>
          <w:rFonts w:ascii="Verdana" w:hAnsi="Verdana"/>
          <w:color w:val="000000"/>
          <w:sz w:val="18"/>
          <w:szCs w:val="18"/>
        </w:rPr>
      </w:pPr>
      <w:r>
        <w:rPr>
          <w:rStyle w:val="apple-converted-space"/>
          <w:rFonts w:ascii="Verdana" w:hAnsi="Verdana"/>
          <w:color w:val="000000"/>
          <w:sz w:val="18"/>
          <w:szCs w:val="18"/>
        </w:rPr>
        <w:t>As a specialist desk initially working under the FMCG umbrella, the focus will remain firmly on white-collar technical and technical management roles. These types of roles within the target markets will return fees on average in excess</w:t>
      </w:r>
      <w:r w:rsidR="008A1A1D">
        <w:rPr>
          <w:rStyle w:val="apple-converted-space"/>
          <w:rFonts w:ascii="Verdana" w:hAnsi="Verdana"/>
          <w:color w:val="000000"/>
          <w:sz w:val="18"/>
          <w:szCs w:val="18"/>
        </w:rPr>
        <w:t xml:space="preserve"> of 20% of basic salary, where salaries extend from £30,000 to £100,000+. The discounting of fees will only take place as a last option to gain multiple business opportunities.</w:t>
      </w:r>
    </w:p>
    <w:p w:rsidR="008A1A1D" w:rsidRDefault="008A1A1D" w:rsidP="00484E57">
      <w:pPr>
        <w:rPr>
          <w:rStyle w:val="apple-converted-space"/>
          <w:rFonts w:ascii="Verdana" w:hAnsi="Verdana"/>
          <w:color w:val="000000"/>
          <w:sz w:val="18"/>
          <w:szCs w:val="18"/>
        </w:rPr>
      </w:pPr>
      <w:r>
        <w:rPr>
          <w:rStyle w:val="apple-converted-space"/>
          <w:rFonts w:ascii="Verdana" w:hAnsi="Verdana"/>
          <w:color w:val="000000"/>
          <w:sz w:val="18"/>
          <w:szCs w:val="18"/>
        </w:rPr>
        <w:t xml:space="preserve">The overriding </w:t>
      </w:r>
      <w:r w:rsidR="006A0575">
        <w:rPr>
          <w:rStyle w:val="apple-converted-space"/>
          <w:rFonts w:ascii="Verdana" w:hAnsi="Verdana"/>
          <w:color w:val="000000"/>
          <w:sz w:val="18"/>
          <w:szCs w:val="18"/>
        </w:rPr>
        <w:t>aim will be to sell</w:t>
      </w:r>
      <w:r>
        <w:rPr>
          <w:rStyle w:val="apple-converted-space"/>
          <w:rFonts w:ascii="Verdana" w:hAnsi="Verdana"/>
          <w:color w:val="000000"/>
          <w:sz w:val="18"/>
          <w:szCs w:val="18"/>
        </w:rPr>
        <w:t xml:space="preserve"> our service based on Quality of Service rather than Cost of Supply with a strong emphasis on a Consulting approach.</w:t>
      </w:r>
    </w:p>
    <w:p w:rsidR="008A1A1D" w:rsidRDefault="008A1A1D" w:rsidP="00484E57">
      <w:pPr>
        <w:rPr>
          <w:rStyle w:val="apple-converted-space"/>
          <w:rFonts w:ascii="Verdana" w:hAnsi="Verdana"/>
          <w:color w:val="000000"/>
          <w:sz w:val="18"/>
          <w:szCs w:val="18"/>
        </w:rPr>
      </w:pPr>
      <w:r>
        <w:rPr>
          <w:rStyle w:val="apple-converted-space"/>
          <w:rFonts w:ascii="Verdana" w:hAnsi="Verdana"/>
          <w:color w:val="000000"/>
          <w:sz w:val="18"/>
          <w:szCs w:val="18"/>
        </w:rPr>
        <w:t>Using the full range of tools at my disposal, I will target decision makers within potential clients organisations to wherever possible remove the clients HR function from the initial sales process. Experience has shown that by selling in at the top tier of an organisation interference from HR or personnel departments can be kept to a minimum and in some cases nullified completely. The level of Quality of Service supplied to these Senior Managers and Directors usually results in exceptionally high results of repeat business and referrals through to other recruiting managers.</w:t>
      </w:r>
    </w:p>
    <w:p w:rsidR="008A1A1D" w:rsidRDefault="008A1A1D" w:rsidP="00484E57">
      <w:pPr>
        <w:rPr>
          <w:rStyle w:val="apple-converted-space"/>
          <w:rFonts w:ascii="Verdana" w:hAnsi="Verdana"/>
          <w:color w:val="000000"/>
          <w:sz w:val="18"/>
          <w:szCs w:val="18"/>
        </w:rPr>
      </w:pPr>
      <w:r>
        <w:rPr>
          <w:rStyle w:val="apple-converted-space"/>
          <w:rFonts w:ascii="Verdana" w:hAnsi="Verdana"/>
          <w:color w:val="000000"/>
          <w:sz w:val="18"/>
          <w:szCs w:val="18"/>
        </w:rPr>
        <w:t xml:space="preserve">Internal Key Performance Indicators (my own personal) and external Service Level Agreements (SLA) will be put into place to ensure performance exceeds </w:t>
      </w:r>
      <w:r w:rsidR="00F30817">
        <w:rPr>
          <w:rStyle w:val="apple-converted-space"/>
          <w:rFonts w:ascii="Verdana" w:hAnsi="Verdana"/>
          <w:color w:val="000000"/>
          <w:sz w:val="18"/>
          <w:szCs w:val="18"/>
        </w:rPr>
        <w:t>client expectations. The KPI’s will also allow for ease of monitoring of individual activity as the team grows in size.</w:t>
      </w:r>
    </w:p>
    <w:p w:rsidR="00424B19" w:rsidRDefault="00F30817" w:rsidP="00424B19">
      <w:pPr>
        <w:rPr>
          <w:rStyle w:val="apple-converted-space"/>
          <w:rFonts w:ascii="Verdana" w:hAnsi="Verdana"/>
          <w:color w:val="000000"/>
          <w:sz w:val="18"/>
          <w:szCs w:val="18"/>
        </w:rPr>
      </w:pPr>
      <w:r>
        <w:rPr>
          <w:rStyle w:val="apple-converted-space"/>
          <w:rFonts w:ascii="Verdana" w:hAnsi="Verdana"/>
          <w:color w:val="000000"/>
          <w:sz w:val="18"/>
          <w:szCs w:val="18"/>
        </w:rPr>
        <w:t>Several companies who have dealt with myself have, due to previous quality of service already expressed an interest in continuing our relationship. The figures shown in Brackets are the approximate recruitment spend (GM) of these companies in 2009.</w:t>
      </w:r>
    </w:p>
    <w:p w:rsidR="00F30817" w:rsidRDefault="00372D94" w:rsidP="00424B19">
      <w:pPr>
        <w:rPr>
          <w:rStyle w:val="apple-converted-space"/>
          <w:rFonts w:ascii="Verdana" w:hAnsi="Verdana"/>
          <w:color w:val="000000"/>
          <w:sz w:val="18"/>
          <w:szCs w:val="18"/>
        </w:rPr>
      </w:pPr>
      <w:r>
        <w:rPr>
          <w:rStyle w:val="apple-converted-space"/>
          <w:rFonts w:ascii="Verdana" w:hAnsi="Verdana"/>
          <w:color w:val="000000"/>
          <w:sz w:val="18"/>
          <w:szCs w:val="18"/>
        </w:rPr>
        <w:t>Confidential</w:t>
      </w:r>
      <w:r w:rsidR="00F30817">
        <w:rPr>
          <w:rStyle w:val="apple-converted-space"/>
          <w:rFonts w:ascii="Verdana" w:hAnsi="Verdana"/>
          <w:color w:val="000000"/>
          <w:sz w:val="18"/>
          <w:szCs w:val="18"/>
        </w:rPr>
        <w:t xml:space="preserve"> £50,000</w:t>
      </w:r>
    </w:p>
    <w:p w:rsidR="00F30817" w:rsidRDefault="00372D94" w:rsidP="00424B19">
      <w:pPr>
        <w:rPr>
          <w:rStyle w:val="apple-converted-space"/>
          <w:rFonts w:ascii="Verdana" w:hAnsi="Verdana"/>
          <w:color w:val="000000"/>
          <w:sz w:val="18"/>
          <w:szCs w:val="18"/>
        </w:rPr>
      </w:pPr>
      <w:r>
        <w:rPr>
          <w:rStyle w:val="apple-converted-space"/>
          <w:rFonts w:ascii="Verdana" w:hAnsi="Verdana"/>
          <w:color w:val="000000"/>
          <w:sz w:val="18"/>
          <w:szCs w:val="18"/>
        </w:rPr>
        <w:t>Confidential £10</w:t>
      </w:r>
      <w:r w:rsidR="00F30817">
        <w:rPr>
          <w:rStyle w:val="apple-converted-space"/>
          <w:rFonts w:ascii="Verdana" w:hAnsi="Verdana"/>
          <w:color w:val="000000"/>
          <w:sz w:val="18"/>
          <w:szCs w:val="18"/>
        </w:rPr>
        <w:t>0,000</w:t>
      </w:r>
    </w:p>
    <w:p w:rsidR="00F30817" w:rsidRDefault="00372D94" w:rsidP="00424B19">
      <w:pPr>
        <w:rPr>
          <w:rStyle w:val="apple-converted-space"/>
          <w:rFonts w:ascii="Verdana" w:hAnsi="Verdana"/>
          <w:color w:val="000000"/>
          <w:sz w:val="18"/>
          <w:szCs w:val="18"/>
        </w:rPr>
      </w:pPr>
      <w:r>
        <w:rPr>
          <w:rStyle w:val="apple-converted-space"/>
          <w:rFonts w:ascii="Verdana" w:hAnsi="Verdana"/>
          <w:color w:val="000000"/>
          <w:sz w:val="18"/>
          <w:szCs w:val="18"/>
        </w:rPr>
        <w:t xml:space="preserve">Confidential </w:t>
      </w:r>
      <w:r w:rsidR="00F30817">
        <w:rPr>
          <w:rStyle w:val="apple-converted-space"/>
          <w:rFonts w:ascii="Verdana" w:hAnsi="Verdana"/>
          <w:color w:val="000000"/>
          <w:sz w:val="18"/>
          <w:szCs w:val="18"/>
        </w:rPr>
        <w:t>£40,000</w:t>
      </w:r>
    </w:p>
    <w:p w:rsidR="00F30817" w:rsidRDefault="00372D94" w:rsidP="00424B19">
      <w:pPr>
        <w:rPr>
          <w:rStyle w:val="apple-converted-space"/>
          <w:rFonts w:ascii="Verdana" w:hAnsi="Verdana"/>
          <w:color w:val="000000"/>
          <w:sz w:val="18"/>
          <w:szCs w:val="18"/>
        </w:rPr>
      </w:pPr>
      <w:r>
        <w:rPr>
          <w:rStyle w:val="apple-converted-space"/>
          <w:rFonts w:ascii="Verdana" w:hAnsi="Verdana"/>
          <w:color w:val="000000"/>
          <w:sz w:val="18"/>
          <w:szCs w:val="18"/>
        </w:rPr>
        <w:t xml:space="preserve">Confidential </w:t>
      </w:r>
      <w:r w:rsidR="00F30817">
        <w:rPr>
          <w:rStyle w:val="apple-converted-space"/>
          <w:rFonts w:ascii="Verdana" w:hAnsi="Verdana"/>
          <w:color w:val="000000"/>
          <w:sz w:val="18"/>
          <w:szCs w:val="18"/>
        </w:rPr>
        <w:t>£35,000</w:t>
      </w:r>
    </w:p>
    <w:p w:rsidR="00F30817" w:rsidRDefault="00372D94" w:rsidP="00424B19">
      <w:pPr>
        <w:rPr>
          <w:rStyle w:val="apple-converted-space"/>
          <w:rFonts w:ascii="Verdana" w:hAnsi="Verdana"/>
          <w:color w:val="000000"/>
          <w:sz w:val="18"/>
          <w:szCs w:val="18"/>
        </w:rPr>
      </w:pPr>
      <w:r>
        <w:rPr>
          <w:rStyle w:val="apple-converted-space"/>
          <w:rFonts w:ascii="Verdana" w:hAnsi="Verdana"/>
          <w:color w:val="000000"/>
          <w:sz w:val="18"/>
          <w:szCs w:val="18"/>
        </w:rPr>
        <w:t xml:space="preserve">Confidential </w:t>
      </w:r>
      <w:r w:rsidR="00F30817">
        <w:rPr>
          <w:rStyle w:val="apple-converted-space"/>
          <w:rFonts w:ascii="Verdana" w:hAnsi="Verdana"/>
          <w:color w:val="000000"/>
          <w:sz w:val="18"/>
          <w:szCs w:val="18"/>
        </w:rPr>
        <w:t>£25,000</w:t>
      </w:r>
    </w:p>
    <w:p w:rsidR="00F30817" w:rsidRDefault="00372D94" w:rsidP="00424B19">
      <w:pPr>
        <w:rPr>
          <w:rStyle w:val="apple-converted-space"/>
          <w:rFonts w:ascii="Verdana" w:hAnsi="Verdana"/>
          <w:color w:val="000000"/>
          <w:sz w:val="18"/>
          <w:szCs w:val="18"/>
        </w:rPr>
      </w:pPr>
      <w:r>
        <w:rPr>
          <w:rStyle w:val="apple-converted-space"/>
          <w:rFonts w:ascii="Verdana" w:hAnsi="Verdana"/>
          <w:color w:val="000000"/>
          <w:sz w:val="18"/>
          <w:szCs w:val="18"/>
        </w:rPr>
        <w:t>Confidential</w:t>
      </w:r>
      <w:r w:rsidR="00F30817">
        <w:rPr>
          <w:rStyle w:val="apple-converted-space"/>
          <w:rFonts w:ascii="Verdana" w:hAnsi="Verdana"/>
          <w:color w:val="000000"/>
          <w:sz w:val="18"/>
          <w:szCs w:val="18"/>
        </w:rPr>
        <w:t xml:space="preserve"> £30,000</w:t>
      </w:r>
    </w:p>
    <w:p w:rsidR="00F30817" w:rsidRDefault="00372D94" w:rsidP="00424B19">
      <w:pPr>
        <w:rPr>
          <w:rStyle w:val="apple-converted-space"/>
          <w:rFonts w:ascii="Verdana" w:hAnsi="Verdana"/>
          <w:color w:val="000000"/>
          <w:sz w:val="18"/>
          <w:szCs w:val="18"/>
        </w:rPr>
      </w:pPr>
      <w:r>
        <w:rPr>
          <w:rStyle w:val="apple-converted-space"/>
          <w:rFonts w:ascii="Verdana" w:hAnsi="Verdana"/>
          <w:color w:val="000000"/>
          <w:sz w:val="18"/>
          <w:szCs w:val="18"/>
        </w:rPr>
        <w:t>Confidential</w:t>
      </w:r>
      <w:r w:rsidR="00F30817">
        <w:rPr>
          <w:rStyle w:val="apple-converted-space"/>
          <w:rFonts w:ascii="Verdana" w:hAnsi="Verdana"/>
          <w:color w:val="000000"/>
          <w:sz w:val="18"/>
          <w:szCs w:val="18"/>
        </w:rPr>
        <w:t xml:space="preserve"> £20,000</w:t>
      </w:r>
    </w:p>
    <w:p w:rsidR="00F30817" w:rsidRDefault="00F30817" w:rsidP="00424B19"/>
    <w:p w:rsidR="00C21169" w:rsidRDefault="00C21169" w:rsidP="00424B19"/>
    <w:p w:rsidR="00C21169" w:rsidRDefault="00C21169" w:rsidP="00424B19"/>
    <w:p w:rsidR="00C21169" w:rsidRDefault="00C21169" w:rsidP="00424B19"/>
    <w:p w:rsidR="00C21169" w:rsidRDefault="00C21169" w:rsidP="00424B19"/>
    <w:p w:rsidR="00C21169" w:rsidRDefault="00C21169" w:rsidP="00424B19"/>
    <w:p w:rsidR="00C21169" w:rsidRDefault="00C21169" w:rsidP="00424B19"/>
    <w:p w:rsidR="00C21169" w:rsidRDefault="00C21169" w:rsidP="00424B19"/>
    <w:p w:rsidR="00C21169" w:rsidRDefault="00C21169" w:rsidP="00424B19"/>
    <w:p w:rsidR="00C21169" w:rsidRPr="006A0575" w:rsidRDefault="000815E8" w:rsidP="00424B19">
      <w:pPr>
        <w:rPr>
          <w:b/>
        </w:rPr>
      </w:pPr>
      <w:r w:rsidRPr="006A0575">
        <w:rPr>
          <w:b/>
        </w:rPr>
        <w:t>FINANCIAL PROJECTIONS FOR MONTHS 8-12</w:t>
      </w:r>
    </w:p>
    <w:tbl>
      <w:tblPr>
        <w:tblStyle w:val="TableGrid"/>
        <w:tblW w:w="0" w:type="auto"/>
        <w:tblLook w:val="04A0"/>
      </w:tblPr>
      <w:tblGrid>
        <w:gridCol w:w="1884"/>
        <w:gridCol w:w="673"/>
        <w:gridCol w:w="1217"/>
        <w:gridCol w:w="1050"/>
        <w:gridCol w:w="1217"/>
        <w:gridCol w:w="1217"/>
      </w:tblGrid>
      <w:tr w:rsidR="000815E8" w:rsidTr="007E7470">
        <w:tc>
          <w:tcPr>
            <w:tcW w:w="1884" w:type="dxa"/>
          </w:tcPr>
          <w:p w:rsidR="000815E8" w:rsidRDefault="000815E8" w:rsidP="00424B19">
            <w:r>
              <w:t>Month</w:t>
            </w:r>
          </w:p>
        </w:tc>
        <w:tc>
          <w:tcPr>
            <w:tcW w:w="673" w:type="dxa"/>
          </w:tcPr>
          <w:p w:rsidR="000815E8" w:rsidRDefault="000815E8" w:rsidP="00424B19">
            <w:r>
              <w:t>Aug</w:t>
            </w:r>
          </w:p>
        </w:tc>
        <w:tc>
          <w:tcPr>
            <w:tcW w:w="1217" w:type="dxa"/>
          </w:tcPr>
          <w:p w:rsidR="000815E8" w:rsidRDefault="000815E8" w:rsidP="00424B19">
            <w:r>
              <w:t>Sept</w:t>
            </w:r>
          </w:p>
        </w:tc>
        <w:tc>
          <w:tcPr>
            <w:tcW w:w="1050" w:type="dxa"/>
          </w:tcPr>
          <w:p w:rsidR="000815E8" w:rsidRDefault="000815E8" w:rsidP="00424B19">
            <w:r>
              <w:t>Oct</w:t>
            </w:r>
          </w:p>
        </w:tc>
        <w:tc>
          <w:tcPr>
            <w:tcW w:w="1217" w:type="dxa"/>
          </w:tcPr>
          <w:p w:rsidR="000815E8" w:rsidRDefault="000815E8" w:rsidP="00424B19">
            <w:r>
              <w:t>Nov</w:t>
            </w:r>
          </w:p>
        </w:tc>
        <w:tc>
          <w:tcPr>
            <w:tcW w:w="1217" w:type="dxa"/>
          </w:tcPr>
          <w:p w:rsidR="000815E8" w:rsidRDefault="000815E8" w:rsidP="00424B19">
            <w:r>
              <w:t>Dec</w:t>
            </w:r>
          </w:p>
        </w:tc>
      </w:tr>
      <w:tr w:rsidR="000815E8" w:rsidTr="007E7470">
        <w:tc>
          <w:tcPr>
            <w:tcW w:w="1884" w:type="dxa"/>
          </w:tcPr>
          <w:p w:rsidR="000815E8" w:rsidRDefault="000815E8" w:rsidP="00424B19">
            <w:r>
              <w:t>Headcount</w:t>
            </w:r>
          </w:p>
        </w:tc>
        <w:tc>
          <w:tcPr>
            <w:tcW w:w="673" w:type="dxa"/>
          </w:tcPr>
          <w:p w:rsidR="000815E8" w:rsidRDefault="000815E8" w:rsidP="00424B19">
            <w:r>
              <w:t>1</w:t>
            </w:r>
          </w:p>
        </w:tc>
        <w:tc>
          <w:tcPr>
            <w:tcW w:w="1217" w:type="dxa"/>
          </w:tcPr>
          <w:p w:rsidR="000815E8" w:rsidRDefault="000815E8" w:rsidP="00424B19">
            <w:r>
              <w:t>1</w:t>
            </w:r>
          </w:p>
        </w:tc>
        <w:tc>
          <w:tcPr>
            <w:tcW w:w="1050" w:type="dxa"/>
          </w:tcPr>
          <w:p w:rsidR="000815E8" w:rsidRDefault="000815E8" w:rsidP="00424B19">
            <w:r>
              <w:t>1</w:t>
            </w:r>
          </w:p>
        </w:tc>
        <w:tc>
          <w:tcPr>
            <w:tcW w:w="1217" w:type="dxa"/>
          </w:tcPr>
          <w:p w:rsidR="000815E8" w:rsidRDefault="000815E8" w:rsidP="00424B19">
            <w:r>
              <w:t>1</w:t>
            </w:r>
          </w:p>
        </w:tc>
        <w:tc>
          <w:tcPr>
            <w:tcW w:w="1217" w:type="dxa"/>
          </w:tcPr>
          <w:p w:rsidR="000815E8" w:rsidRDefault="000815E8" w:rsidP="00424B19">
            <w:r>
              <w:t>1</w:t>
            </w:r>
          </w:p>
        </w:tc>
      </w:tr>
      <w:tr w:rsidR="000815E8" w:rsidTr="007E7470">
        <w:tc>
          <w:tcPr>
            <w:tcW w:w="1884" w:type="dxa"/>
          </w:tcPr>
          <w:p w:rsidR="000815E8" w:rsidRDefault="000815E8" w:rsidP="00424B19">
            <w:r>
              <w:t>Perm Placements</w:t>
            </w:r>
          </w:p>
        </w:tc>
        <w:tc>
          <w:tcPr>
            <w:tcW w:w="673" w:type="dxa"/>
          </w:tcPr>
          <w:p w:rsidR="000815E8" w:rsidRDefault="000815E8" w:rsidP="00424B19">
            <w:r>
              <w:t>0</w:t>
            </w:r>
          </w:p>
        </w:tc>
        <w:tc>
          <w:tcPr>
            <w:tcW w:w="1217" w:type="dxa"/>
          </w:tcPr>
          <w:p w:rsidR="000815E8" w:rsidRDefault="000815E8" w:rsidP="00424B19">
            <w:r>
              <w:t>1</w:t>
            </w:r>
          </w:p>
        </w:tc>
        <w:tc>
          <w:tcPr>
            <w:tcW w:w="1050" w:type="dxa"/>
          </w:tcPr>
          <w:p w:rsidR="000815E8" w:rsidRDefault="000815E8" w:rsidP="00424B19">
            <w:r>
              <w:t>2</w:t>
            </w:r>
          </w:p>
        </w:tc>
        <w:tc>
          <w:tcPr>
            <w:tcW w:w="1217" w:type="dxa"/>
          </w:tcPr>
          <w:p w:rsidR="000815E8" w:rsidRDefault="000815E8" w:rsidP="00424B19">
            <w:r>
              <w:t>2</w:t>
            </w:r>
          </w:p>
        </w:tc>
        <w:tc>
          <w:tcPr>
            <w:tcW w:w="1217" w:type="dxa"/>
          </w:tcPr>
          <w:p w:rsidR="000815E8" w:rsidRDefault="000815E8" w:rsidP="00424B19">
            <w:r>
              <w:t>1</w:t>
            </w:r>
          </w:p>
        </w:tc>
      </w:tr>
      <w:tr w:rsidR="000815E8" w:rsidTr="007E7470">
        <w:tc>
          <w:tcPr>
            <w:tcW w:w="1884" w:type="dxa"/>
          </w:tcPr>
          <w:p w:rsidR="000815E8" w:rsidRDefault="000815E8" w:rsidP="00424B19">
            <w:r>
              <w:t>Income £</w:t>
            </w:r>
          </w:p>
        </w:tc>
        <w:tc>
          <w:tcPr>
            <w:tcW w:w="673" w:type="dxa"/>
          </w:tcPr>
          <w:p w:rsidR="000815E8" w:rsidRDefault="000815E8" w:rsidP="00424B19">
            <w:r>
              <w:t>0</w:t>
            </w:r>
          </w:p>
        </w:tc>
        <w:tc>
          <w:tcPr>
            <w:tcW w:w="1217" w:type="dxa"/>
          </w:tcPr>
          <w:p w:rsidR="000815E8" w:rsidRDefault="000815E8" w:rsidP="00424B19">
            <w:r>
              <w:t>£6,125.00</w:t>
            </w:r>
          </w:p>
        </w:tc>
        <w:tc>
          <w:tcPr>
            <w:tcW w:w="1050" w:type="dxa"/>
          </w:tcPr>
          <w:p w:rsidR="000815E8" w:rsidRDefault="000815E8" w:rsidP="00424B19">
            <w:r>
              <w:t>£13,850</w:t>
            </w:r>
          </w:p>
        </w:tc>
        <w:tc>
          <w:tcPr>
            <w:tcW w:w="1217" w:type="dxa"/>
          </w:tcPr>
          <w:p w:rsidR="000815E8" w:rsidRDefault="000815E8" w:rsidP="00424B19">
            <w:r>
              <w:t>£6,125.00</w:t>
            </w:r>
          </w:p>
        </w:tc>
        <w:tc>
          <w:tcPr>
            <w:tcW w:w="1217" w:type="dxa"/>
          </w:tcPr>
          <w:p w:rsidR="000815E8" w:rsidRDefault="000815E8" w:rsidP="00424B19">
            <w:r>
              <w:t>£6,125.00</w:t>
            </w:r>
          </w:p>
        </w:tc>
      </w:tr>
    </w:tbl>
    <w:p w:rsidR="000815E8" w:rsidRDefault="000815E8" w:rsidP="00424B19"/>
    <w:p w:rsidR="000815E8" w:rsidRPr="006A0575" w:rsidRDefault="000815E8" w:rsidP="00424B19">
      <w:pPr>
        <w:rPr>
          <w:b/>
        </w:rPr>
      </w:pPr>
      <w:r w:rsidRPr="006A0575">
        <w:rPr>
          <w:b/>
        </w:rPr>
        <w:t>FINANCIAL PROJECTIONS FOR months 13-24</w:t>
      </w:r>
    </w:p>
    <w:tbl>
      <w:tblPr>
        <w:tblStyle w:val="TableGrid"/>
        <w:tblW w:w="7524" w:type="dxa"/>
        <w:tblLook w:val="04A0"/>
      </w:tblPr>
      <w:tblGrid>
        <w:gridCol w:w="1884"/>
        <w:gridCol w:w="940"/>
        <w:gridCol w:w="940"/>
        <w:gridCol w:w="940"/>
        <w:gridCol w:w="940"/>
        <w:gridCol w:w="940"/>
        <w:gridCol w:w="940"/>
      </w:tblGrid>
      <w:tr w:rsidR="007E7470" w:rsidTr="007E7470">
        <w:tc>
          <w:tcPr>
            <w:tcW w:w="1884" w:type="dxa"/>
          </w:tcPr>
          <w:p w:rsidR="007E7470" w:rsidRDefault="007E7470" w:rsidP="00424B19">
            <w:r>
              <w:t>Month</w:t>
            </w:r>
          </w:p>
        </w:tc>
        <w:tc>
          <w:tcPr>
            <w:tcW w:w="940" w:type="dxa"/>
          </w:tcPr>
          <w:p w:rsidR="007E7470" w:rsidRDefault="007E7470" w:rsidP="00424B19">
            <w:r>
              <w:t>Jan</w:t>
            </w:r>
          </w:p>
        </w:tc>
        <w:tc>
          <w:tcPr>
            <w:tcW w:w="940" w:type="dxa"/>
          </w:tcPr>
          <w:p w:rsidR="007E7470" w:rsidRDefault="007E7470" w:rsidP="00424B19">
            <w:r>
              <w:t>Feb</w:t>
            </w:r>
          </w:p>
        </w:tc>
        <w:tc>
          <w:tcPr>
            <w:tcW w:w="940" w:type="dxa"/>
          </w:tcPr>
          <w:p w:rsidR="007E7470" w:rsidRDefault="007E7470" w:rsidP="00424B19">
            <w:r>
              <w:t>Mar</w:t>
            </w:r>
          </w:p>
        </w:tc>
        <w:tc>
          <w:tcPr>
            <w:tcW w:w="940" w:type="dxa"/>
          </w:tcPr>
          <w:p w:rsidR="007E7470" w:rsidRDefault="007E7470" w:rsidP="00424B19">
            <w:r>
              <w:t>Apr</w:t>
            </w:r>
          </w:p>
        </w:tc>
        <w:tc>
          <w:tcPr>
            <w:tcW w:w="940" w:type="dxa"/>
          </w:tcPr>
          <w:p w:rsidR="007E7470" w:rsidRDefault="007E7470" w:rsidP="00424B19">
            <w:r>
              <w:t>May</w:t>
            </w:r>
          </w:p>
        </w:tc>
        <w:tc>
          <w:tcPr>
            <w:tcW w:w="940" w:type="dxa"/>
          </w:tcPr>
          <w:p w:rsidR="007E7470" w:rsidRDefault="007E7470" w:rsidP="00424B19">
            <w:r>
              <w:t>Jun</w:t>
            </w:r>
          </w:p>
        </w:tc>
      </w:tr>
      <w:tr w:rsidR="007E7470" w:rsidTr="007E7470">
        <w:tc>
          <w:tcPr>
            <w:tcW w:w="1884" w:type="dxa"/>
          </w:tcPr>
          <w:p w:rsidR="007E7470" w:rsidRDefault="007E7470" w:rsidP="00424B19">
            <w:r>
              <w:t>Headcount</w:t>
            </w:r>
          </w:p>
        </w:tc>
        <w:tc>
          <w:tcPr>
            <w:tcW w:w="940" w:type="dxa"/>
          </w:tcPr>
          <w:p w:rsidR="007E7470" w:rsidRDefault="007E7470" w:rsidP="00424B19">
            <w:r>
              <w:t>1</w:t>
            </w:r>
          </w:p>
        </w:tc>
        <w:tc>
          <w:tcPr>
            <w:tcW w:w="940" w:type="dxa"/>
          </w:tcPr>
          <w:p w:rsidR="007E7470" w:rsidRDefault="007E7470" w:rsidP="00424B19">
            <w:r>
              <w:t>1</w:t>
            </w:r>
          </w:p>
        </w:tc>
        <w:tc>
          <w:tcPr>
            <w:tcW w:w="940" w:type="dxa"/>
          </w:tcPr>
          <w:p w:rsidR="007E7470" w:rsidRDefault="007E7470" w:rsidP="00424B19">
            <w:r>
              <w:t>1</w:t>
            </w:r>
          </w:p>
        </w:tc>
        <w:tc>
          <w:tcPr>
            <w:tcW w:w="940" w:type="dxa"/>
          </w:tcPr>
          <w:p w:rsidR="007E7470" w:rsidRDefault="007E7470" w:rsidP="00424B19">
            <w:r>
              <w:t>1</w:t>
            </w:r>
          </w:p>
        </w:tc>
        <w:tc>
          <w:tcPr>
            <w:tcW w:w="940" w:type="dxa"/>
          </w:tcPr>
          <w:p w:rsidR="007E7470" w:rsidRDefault="007E7470" w:rsidP="00424B19">
            <w:r>
              <w:t>1</w:t>
            </w:r>
          </w:p>
        </w:tc>
        <w:tc>
          <w:tcPr>
            <w:tcW w:w="940" w:type="dxa"/>
          </w:tcPr>
          <w:p w:rsidR="007E7470" w:rsidRDefault="007E7470" w:rsidP="00424B19">
            <w:r>
              <w:t>2</w:t>
            </w:r>
          </w:p>
        </w:tc>
      </w:tr>
      <w:tr w:rsidR="007E7470" w:rsidTr="007E7470">
        <w:tc>
          <w:tcPr>
            <w:tcW w:w="1884" w:type="dxa"/>
          </w:tcPr>
          <w:p w:rsidR="007E7470" w:rsidRDefault="007E7470" w:rsidP="00424B19">
            <w:r>
              <w:t>Perm Placements</w:t>
            </w:r>
          </w:p>
        </w:tc>
        <w:tc>
          <w:tcPr>
            <w:tcW w:w="940" w:type="dxa"/>
          </w:tcPr>
          <w:p w:rsidR="007E7470" w:rsidRDefault="007E7470" w:rsidP="00424B19">
            <w:r>
              <w:t>2</w:t>
            </w:r>
          </w:p>
        </w:tc>
        <w:tc>
          <w:tcPr>
            <w:tcW w:w="940" w:type="dxa"/>
          </w:tcPr>
          <w:p w:rsidR="007E7470" w:rsidRDefault="007E7470" w:rsidP="00424B19">
            <w:r>
              <w:t>2</w:t>
            </w:r>
          </w:p>
        </w:tc>
        <w:tc>
          <w:tcPr>
            <w:tcW w:w="940" w:type="dxa"/>
          </w:tcPr>
          <w:p w:rsidR="007E7470" w:rsidRDefault="007E7470" w:rsidP="00424B19">
            <w:r>
              <w:t>2</w:t>
            </w:r>
          </w:p>
        </w:tc>
        <w:tc>
          <w:tcPr>
            <w:tcW w:w="940" w:type="dxa"/>
          </w:tcPr>
          <w:p w:rsidR="007E7470" w:rsidRDefault="007E7470" w:rsidP="00424B19">
            <w:r>
              <w:t>2</w:t>
            </w:r>
          </w:p>
        </w:tc>
        <w:tc>
          <w:tcPr>
            <w:tcW w:w="940" w:type="dxa"/>
          </w:tcPr>
          <w:p w:rsidR="007E7470" w:rsidRDefault="007E7470" w:rsidP="00424B19">
            <w:r>
              <w:t>2</w:t>
            </w:r>
          </w:p>
        </w:tc>
        <w:tc>
          <w:tcPr>
            <w:tcW w:w="940" w:type="dxa"/>
          </w:tcPr>
          <w:p w:rsidR="007E7470" w:rsidRDefault="007E7470" w:rsidP="00424B19">
            <w:r>
              <w:t>2</w:t>
            </w:r>
          </w:p>
        </w:tc>
      </w:tr>
      <w:tr w:rsidR="007E7470" w:rsidTr="007E7470">
        <w:tc>
          <w:tcPr>
            <w:tcW w:w="1884" w:type="dxa"/>
          </w:tcPr>
          <w:p w:rsidR="007E7470" w:rsidRDefault="007E7470" w:rsidP="00424B19">
            <w:r>
              <w:t>Income £</w:t>
            </w:r>
          </w:p>
        </w:tc>
        <w:tc>
          <w:tcPr>
            <w:tcW w:w="940" w:type="dxa"/>
          </w:tcPr>
          <w:p w:rsidR="007E7470" w:rsidRDefault="007E7470" w:rsidP="00424B19">
            <w:r>
              <w:t>£13,850</w:t>
            </w:r>
          </w:p>
        </w:tc>
        <w:tc>
          <w:tcPr>
            <w:tcW w:w="940" w:type="dxa"/>
          </w:tcPr>
          <w:p w:rsidR="007E7470" w:rsidRDefault="007E7470" w:rsidP="00424B19">
            <w:r>
              <w:t>£13,850</w:t>
            </w:r>
          </w:p>
        </w:tc>
        <w:tc>
          <w:tcPr>
            <w:tcW w:w="940" w:type="dxa"/>
          </w:tcPr>
          <w:p w:rsidR="007E7470" w:rsidRDefault="007E7470" w:rsidP="00424B19">
            <w:r>
              <w:t>£13,850</w:t>
            </w:r>
          </w:p>
        </w:tc>
        <w:tc>
          <w:tcPr>
            <w:tcW w:w="940" w:type="dxa"/>
          </w:tcPr>
          <w:p w:rsidR="007E7470" w:rsidRDefault="007E7470" w:rsidP="00424B19">
            <w:r>
              <w:t>£13,850</w:t>
            </w:r>
          </w:p>
        </w:tc>
        <w:tc>
          <w:tcPr>
            <w:tcW w:w="940" w:type="dxa"/>
          </w:tcPr>
          <w:p w:rsidR="007E7470" w:rsidRDefault="007E7470" w:rsidP="00424B19">
            <w:r>
              <w:t>£13,850</w:t>
            </w:r>
          </w:p>
        </w:tc>
        <w:tc>
          <w:tcPr>
            <w:tcW w:w="940" w:type="dxa"/>
          </w:tcPr>
          <w:p w:rsidR="007E7470" w:rsidRDefault="007E7470" w:rsidP="00424B19">
            <w:r>
              <w:t>£13,850</w:t>
            </w:r>
          </w:p>
        </w:tc>
      </w:tr>
    </w:tbl>
    <w:p w:rsidR="000815E8" w:rsidRDefault="000815E8" w:rsidP="00424B19"/>
    <w:tbl>
      <w:tblPr>
        <w:tblStyle w:val="TableGrid"/>
        <w:tblW w:w="6300" w:type="dxa"/>
        <w:tblLook w:val="04A0"/>
      </w:tblPr>
      <w:tblGrid>
        <w:gridCol w:w="1050"/>
        <w:gridCol w:w="1050"/>
        <w:gridCol w:w="1050"/>
        <w:gridCol w:w="1050"/>
        <w:gridCol w:w="1050"/>
        <w:gridCol w:w="1050"/>
      </w:tblGrid>
      <w:tr w:rsidR="007E7470" w:rsidTr="007E7470">
        <w:tc>
          <w:tcPr>
            <w:tcW w:w="1050" w:type="dxa"/>
          </w:tcPr>
          <w:p w:rsidR="007E7470" w:rsidRDefault="007E7470" w:rsidP="00177A13">
            <w:r>
              <w:t>Jul</w:t>
            </w:r>
          </w:p>
        </w:tc>
        <w:tc>
          <w:tcPr>
            <w:tcW w:w="1050" w:type="dxa"/>
          </w:tcPr>
          <w:p w:rsidR="007E7470" w:rsidRDefault="007E7470" w:rsidP="00177A13">
            <w:r>
              <w:t>Aug</w:t>
            </w:r>
          </w:p>
        </w:tc>
        <w:tc>
          <w:tcPr>
            <w:tcW w:w="1050" w:type="dxa"/>
          </w:tcPr>
          <w:p w:rsidR="007E7470" w:rsidRDefault="007E7470" w:rsidP="00177A13">
            <w:r>
              <w:t>Sept</w:t>
            </w:r>
          </w:p>
        </w:tc>
        <w:tc>
          <w:tcPr>
            <w:tcW w:w="1050" w:type="dxa"/>
          </w:tcPr>
          <w:p w:rsidR="007E7470" w:rsidRDefault="007E7470" w:rsidP="00177A13">
            <w:r>
              <w:t>Oct</w:t>
            </w:r>
          </w:p>
        </w:tc>
        <w:tc>
          <w:tcPr>
            <w:tcW w:w="1050" w:type="dxa"/>
          </w:tcPr>
          <w:p w:rsidR="007E7470" w:rsidRDefault="007E7470" w:rsidP="00177A13">
            <w:r>
              <w:t>Nov</w:t>
            </w:r>
          </w:p>
        </w:tc>
        <w:tc>
          <w:tcPr>
            <w:tcW w:w="1050" w:type="dxa"/>
          </w:tcPr>
          <w:p w:rsidR="007E7470" w:rsidRDefault="007E7470" w:rsidP="00177A13">
            <w:r>
              <w:t>Dec</w:t>
            </w:r>
          </w:p>
        </w:tc>
      </w:tr>
      <w:tr w:rsidR="007E7470" w:rsidTr="007E7470">
        <w:tc>
          <w:tcPr>
            <w:tcW w:w="1050" w:type="dxa"/>
          </w:tcPr>
          <w:p w:rsidR="007E7470" w:rsidRDefault="007E7470" w:rsidP="00177A13">
            <w:r>
              <w:t>2</w:t>
            </w:r>
          </w:p>
        </w:tc>
        <w:tc>
          <w:tcPr>
            <w:tcW w:w="1050" w:type="dxa"/>
          </w:tcPr>
          <w:p w:rsidR="007E7470" w:rsidRDefault="007E7470" w:rsidP="00177A13">
            <w:r>
              <w:t>2</w:t>
            </w:r>
          </w:p>
        </w:tc>
        <w:tc>
          <w:tcPr>
            <w:tcW w:w="1050" w:type="dxa"/>
          </w:tcPr>
          <w:p w:rsidR="007E7470" w:rsidRDefault="007E7470" w:rsidP="00177A13">
            <w:r>
              <w:t>2</w:t>
            </w:r>
          </w:p>
        </w:tc>
        <w:tc>
          <w:tcPr>
            <w:tcW w:w="1050" w:type="dxa"/>
          </w:tcPr>
          <w:p w:rsidR="007E7470" w:rsidRDefault="007E7470" w:rsidP="00177A13">
            <w:r>
              <w:t>2</w:t>
            </w:r>
          </w:p>
        </w:tc>
        <w:tc>
          <w:tcPr>
            <w:tcW w:w="1050" w:type="dxa"/>
          </w:tcPr>
          <w:p w:rsidR="007E7470" w:rsidRDefault="007E7470" w:rsidP="00177A13">
            <w:r>
              <w:t>2</w:t>
            </w:r>
          </w:p>
        </w:tc>
        <w:tc>
          <w:tcPr>
            <w:tcW w:w="1050" w:type="dxa"/>
          </w:tcPr>
          <w:p w:rsidR="007E7470" w:rsidRDefault="007E7470" w:rsidP="00177A13">
            <w:r>
              <w:t>2</w:t>
            </w:r>
          </w:p>
        </w:tc>
      </w:tr>
      <w:tr w:rsidR="007E7470" w:rsidTr="007E7470">
        <w:tc>
          <w:tcPr>
            <w:tcW w:w="1050" w:type="dxa"/>
          </w:tcPr>
          <w:p w:rsidR="007E7470" w:rsidRDefault="007E7470" w:rsidP="00177A13">
            <w:r>
              <w:t>2</w:t>
            </w:r>
          </w:p>
        </w:tc>
        <w:tc>
          <w:tcPr>
            <w:tcW w:w="1050" w:type="dxa"/>
          </w:tcPr>
          <w:p w:rsidR="007E7470" w:rsidRDefault="007E7470" w:rsidP="00177A13">
            <w:r>
              <w:t>3</w:t>
            </w:r>
          </w:p>
        </w:tc>
        <w:tc>
          <w:tcPr>
            <w:tcW w:w="1050" w:type="dxa"/>
          </w:tcPr>
          <w:p w:rsidR="007E7470" w:rsidRDefault="007E7470" w:rsidP="00177A13">
            <w:r>
              <w:t>3</w:t>
            </w:r>
          </w:p>
        </w:tc>
        <w:tc>
          <w:tcPr>
            <w:tcW w:w="1050" w:type="dxa"/>
          </w:tcPr>
          <w:p w:rsidR="007E7470" w:rsidRDefault="007E7470" w:rsidP="00177A13">
            <w:r>
              <w:t>4</w:t>
            </w:r>
          </w:p>
        </w:tc>
        <w:tc>
          <w:tcPr>
            <w:tcW w:w="1050" w:type="dxa"/>
          </w:tcPr>
          <w:p w:rsidR="007E7470" w:rsidRDefault="007E7470" w:rsidP="00177A13">
            <w:r>
              <w:t>4</w:t>
            </w:r>
          </w:p>
        </w:tc>
        <w:tc>
          <w:tcPr>
            <w:tcW w:w="1050" w:type="dxa"/>
          </w:tcPr>
          <w:p w:rsidR="007E7470" w:rsidRDefault="007E7470" w:rsidP="00177A13">
            <w:r>
              <w:t>2</w:t>
            </w:r>
          </w:p>
        </w:tc>
      </w:tr>
      <w:tr w:rsidR="007E7470" w:rsidTr="007E7470">
        <w:tc>
          <w:tcPr>
            <w:tcW w:w="1050" w:type="dxa"/>
          </w:tcPr>
          <w:p w:rsidR="007E7470" w:rsidRDefault="007E7470" w:rsidP="00177A13">
            <w:r>
              <w:t>£13,850</w:t>
            </w:r>
          </w:p>
        </w:tc>
        <w:tc>
          <w:tcPr>
            <w:tcW w:w="1050" w:type="dxa"/>
          </w:tcPr>
          <w:p w:rsidR="007E7470" w:rsidRDefault="007E7470" w:rsidP="00177A13">
            <w:r>
              <w:t>£20,000</w:t>
            </w:r>
          </w:p>
        </w:tc>
        <w:tc>
          <w:tcPr>
            <w:tcW w:w="1050" w:type="dxa"/>
          </w:tcPr>
          <w:p w:rsidR="007E7470" w:rsidRDefault="007E7470" w:rsidP="00177A13">
            <w:r>
              <w:t>£20,000</w:t>
            </w:r>
          </w:p>
        </w:tc>
        <w:tc>
          <w:tcPr>
            <w:tcW w:w="1050" w:type="dxa"/>
          </w:tcPr>
          <w:p w:rsidR="007E7470" w:rsidRDefault="007E7470" w:rsidP="00177A13">
            <w:r>
              <w:t>£27,000</w:t>
            </w:r>
          </w:p>
        </w:tc>
        <w:tc>
          <w:tcPr>
            <w:tcW w:w="1050" w:type="dxa"/>
          </w:tcPr>
          <w:p w:rsidR="007E7470" w:rsidRDefault="007E7470" w:rsidP="00177A13">
            <w:r>
              <w:t>£27,000</w:t>
            </w:r>
          </w:p>
        </w:tc>
        <w:tc>
          <w:tcPr>
            <w:tcW w:w="1050" w:type="dxa"/>
          </w:tcPr>
          <w:p w:rsidR="007E7470" w:rsidRDefault="007E7470" w:rsidP="00177A13">
            <w:r>
              <w:t>£13,850</w:t>
            </w:r>
          </w:p>
        </w:tc>
      </w:tr>
    </w:tbl>
    <w:p w:rsidR="007E7470" w:rsidRDefault="007E7470" w:rsidP="00424B19"/>
    <w:p w:rsidR="007E7470" w:rsidRDefault="007E7470" w:rsidP="007E7470">
      <w:pPr>
        <w:pStyle w:val="ListParagraph"/>
        <w:numPr>
          <w:ilvl w:val="0"/>
          <w:numId w:val="2"/>
        </w:numPr>
      </w:pPr>
      <w:r>
        <w:t>Average permanent fee of £6125.00</w:t>
      </w:r>
    </w:p>
    <w:p w:rsidR="007E7470" w:rsidRDefault="007E7470" w:rsidP="007E7470">
      <w:pPr>
        <w:pStyle w:val="ListParagraph"/>
      </w:pPr>
    </w:p>
    <w:sectPr w:rsidR="007E7470" w:rsidSect="00D658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56136"/>
    <w:multiLevelType w:val="hybridMultilevel"/>
    <w:tmpl w:val="90EAE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C21B38"/>
    <w:multiLevelType w:val="hybridMultilevel"/>
    <w:tmpl w:val="EF9274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BC7408"/>
    <w:multiLevelType w:val="hybridMultilevel"/>
    <w:tmpl w:val="3E7EDF50"/>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219F7A25"/>
    <w:multiLevelType w:val="multilevel"/>
    <w:tmpl w:val="16F2A5A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Roman"/>
      <w:lvlText w:val="%3."/>
      <w:lvlJc w:val="right"/>
      <w:pPr>
        <w:ind w:left="1080" w:hanging="360"/>
      </w:pPr>
      <w:rPr>
        <w:rFont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8CF3E7D"/>
    <w:multiLevelType w:val="multilevel"/>
    <w:tmpl w:val="E8882E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5B45B0E"/>
    <w:multiLevelType w:val="hybridMultilevel"/>
    <w:tmpl w:val="E98A1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8E92975"/>
    <w:multiLevelType w:val="hybridMultilevel"/>
    <w:tmpl w:val="362EE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EB1EC1"/>
    <w:multiLevelType w:val="hybridMultilevel"/>
    <w:tmpl w:val="1870E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8244E5A"/>
    <w:multiLevelType w:val="hybridMultilevel"/>
    <w:tmpl w:val="56AA31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8"/>
  </w:num>
  <w:num w:numId="5">
    <w:abstractNumId w:val="4"/>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3F98"/>
    <w:rsid w:val="0005294C"/>
    <w:rsid w:val="000815E8"/>
    <w:rsid w:val="00151455"/>
    <w:rsid w:val="00372D94"/>
    <w:rsid w:val="003A752B"/>
    <w:rsid w:val="00424B19"/>
    <w:rsid w:val="00484E57"/>
    <w:rsid w:val="005A7D7E"/>
    <w:rsid w:val="005C1CF1"/>
    <w:rsid w:val="005F4A4F"/>
    <w:rsid w:val="00684AD2"/>
    <w:rsid w:val="006A0575"/>
    <w:rsid w:val="006C49AC"/>
    <w:rsid w:val="0071738A"/>
    <w:rsid w:val="00780296"/>
    <w:rsid w:val="007E7470"/>
    <w:rsid w:val="008A1A1D"/>
    <w:rsid w:val="00A15E89"/>
    <w:rsid w:val="00A5631B"/>
    <w:rsid w:val="00B321D7"/>
    <w:rsid w:val="00BE3F98"/>
    <w:rsid w:val="00C21169"/>
    <w:rsid w:val="00CD0454"/>
    <w:rsid w:val="00D57626"/>
    <w:rsid w:val="00D6589E"/>
    <w:rsid w:val="00F3081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8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B19"/>
    <w:pPr>
      <w:ind w:left="720"/>
      <w:contextualSpacing/>
    </w:pPr>
  </w:style>
  <w:style w:type="paragraph" w:styleId="NormalWeb">
    <w:name w:val="Normal (Web)"/>
    <w:basedOn w:val="Normal"/>
    <w:uiPriority w:val="99"/>
    <w:semiHidden/>
    <w:unhideWhenUsed/>
    <w:rsid w:val="00424B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24B19"/>
  </w:style>
  <w:style w:type="character" w:styleId="Hyperlink">
    <w:name w:val="Hyperlink"/>
    <w:basedOn w:val="DefaultParagraphFont"/>
    <w:uiPriority w:val="99"/>
    <w:semiHidden/>
    <w:unhideWhenUsed/>
    <w:rsid w:val="003A752B"/>
    <w:rPr>
      <w:color w:val="0000FF"/>
      <w:u w:val="single"/>
    </w:rPr>
  </w:style>
  <w:style w:type="character" w:customStyle="1" w:styleId="apple-style-span">
    <w:name w:val="apple-style-span"/>
    <w:basedOn w:val="DefaultParagraphFont"/>
    <w:rsid w:val="00D57626"/>
  </w:style>
  <w:style w:type="table" w:styleId="TableGrid">
    <w:name w:val="Table Grid"/>
    <w:basedOn w:val="TableNormal"/>
    <w:uiPriority w:val="59"/>
    <w:rsid w:val="000815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74052315">
      <w:bodyDiv w:val="1"/>
      <w:marLeft w:val="0"/>
      <w:marRight w:val="0"/>
      <w:marTop w:val="0"/>
      <w:marBottom w:val="0"/>
      <w:divBdr>
        <w:top w:val="none" w:sz="0" w:space="0" w:color="auto"/>
        <w:left w:val="none" w:sz="0" w:space="0" w:color="auto"/>
        <w:bottom w:val="none" w:sz="0" w:space="0" w:color="auto"/>
        <w:right w:val="none" w:sz="0" w:space="0" w:color="auto"/>
      </w:divBdr>
    </w:div>
    <w:div w:id="592514127">
      <w:bodyDiv w:val="1"/>
      <w:marLeft w:val="0"/>
      <w:marRight w:val="0"/>
      <w:marTop w:val="0"/>
      <w:marBottom w:val="0"/>
      <w:divBdr>
        <w:top w:val="none" w:sz="0" w:space="0" w:color="auto"/>
        <w:left w:val="none" w:sz="0" w:space="0" w:color="auto"/>
        <w:bottom w:val="none" w:sz="0" w:space="0" w:color="auto"/>
        <w:right w:val="none" w:sz="0" w:space="0" w:color="auto"/>
      </w:divBdr>
    </w:div>
    <w:div w:id="151788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2</cp:revision>
  <dcterms:created xsi:type="dcterms:W3CDTF">2010-11-30T12:25:00Z</dcterms:created>
  <dcterms:modified xsi:type="dcterms:W3CDTF">2010-11-30T12:25:00Z</dcterms:modified>
</cp:coreProperties>
</file>