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EA6A13" w:rsidRDefault="00AF5CB4">
      <w:pPr>
        <w:rPr>
          <w:rFonts w:asciiTheme="minorHAnsi" w:hAnsiTheme="minorHAnsi" w:cstheme="minorHAnsi"/>
        </w:rPr>
      </w:pPr>
    </w:p>
    <w:p w14:paraId="009229C7" w14:textId="77777777" w:rsidR="006C584F" w:rsidRPr="00DD7B5E" w:rsidRDefault="006C584F">
      <w:pPr>
        <w:rPr>
          <w:rFonts w:asciiTheme="minorHAnsi" w:hAnsiTheme="minorHAnsi" w:cstheme="minorHAnsi"/>
        </w:rPr>
      </w:pPr>
    </w:p>
    <w:p w14:paraId="35A5D7CE" w14:textId="77777777" w:rsidR="00AF5CB4" w:rsidRPr="00DD7B5E" w:rsidRDefault="00AF5CB4">
      <w:pPr>
        <w:rPr>
          <w:rFonts w:asciiTheme="minorHAnsi" w:hAnsiTheme="minorHAnsi" w:cstheme="minorHAnsi"/>
        </w:rPr>
      </w:pPr>
    </w:p>
    <w:p w14:paraId="3654D001" w14:textId="77777777" w:rsidR="00AF5CB4" w:rsidRPr="00DD7B5E" w:rsidRDefault="00625E2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DD7B5E">
        <w:rPr>
          <w:rFonts w:asciiTheme="minorHAnsi" w:hAnsiTheme="minorHAnsi" w:cstheme="minorHAnsi"/>
          <w:b/>
          <w:bCs/>
          <w:color w:val="000000"/>
          <w:u w:val="single"/>
        </w:rPr>
        <w:t xml:space="preserve">CANDIDATE </w:t>
      </w:r>
    </w:p>
    <w:p w14:paraId="6EBC8BDB" w14:textId="79E8D459" w:rsidR="00625E22" w:rsidRPr="00DD7B5E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7F78260C" w14:textId="2919D199" w:rsidR="00C25C7C" w:rsidRPr="00DD7B5E" w:rsidRDefault="00DD7B5E" w:rsidP="00AF5CB4">
      <w:pPr>
        <w:rPr>
          <w:rFonts w:asciiTheme="minorHAnsi" w:hAnsiTheme="minorHAnsi" w:cstheme="minorHAnsi"/>
        </w:rPr>
      </w:pPr>
      <w:bookmarkStart w:id="0" w:name="_GoBack"/>
      <w:r w:rsidRPr="00DD7B5E">
        <w:rPr>
          <w:rFonts w:asciiTheme="minorHAnsi" w:hAnsiTheme="minorHAnsi" w:cstheme="minorHAnsi"/>
        </w:rPr>
        <w:t xml:space="preserve">Mustafa </w:t>
      </w:r>
      <w:proofErr w:type="spellStart"/>
      <w:r w:rsidRPr="00DD7B5E">
        <w:rPr>
          <w:rFonts w:asciiTheme="minorHAnsi" w:hAnsiTheme="minorHAnsi" w:cstheme="minorHAnsi"/>
        </w:rPr>
        <w:t>Selcuk</w:t>
      </w:r>
      <w:proofErr w:type="spellEnd"/>
      <w:r w:rsidRPr="00DD7B5E">
        <w:rPr>
          <w:rFonts w:asciiTheme="minorHAnsi" w:hAnsiTheme="minorHAnsi" w:cstheme="minorHAnsi"/>
        </w:rPr>
        <w:t xml:space="preserve"> EKSIOGLU</w:t>
      </w:r>
    </w:p>
    <w:bookmarkEnd w:id="0"/>
    <w:p w14:paraId="396D5C51" w14:textId="77777777" w:rsidR="00DD7B5E" w:rsidRPr="00DD7B5E" w:rsidRDefault="00DD7B5E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DD7B5E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DD7B5E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DD7B5E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61E473EB" w14:textId="77777777" w:rsidR="00363DFB" w:rsidRPr="00DD7B5E" w:rsidRDefault="00363DF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C1680DB" w14:textId="5464E0F1" w:rsidR="00AF5CB4" w:rsidRPr="00DD7B5E" w:rsidRDefault="00AF5CB4" w:rsidP="00AF5CB4">
      <w:pPr>
        <w:rPr>
          <w:rFonts w:asciiTheme="minorHAnsi" w:hAnsiTheme="minorHAnsi" w:cstheme="minorHAnsi"/>
          <w:color w:val="000000"/>
        </w:rPr>
      </w:pPr>
    </w:p>
    <w:p w14:paraId="48ECEF86" w14:textId="77777777" w:rsidR="00363DFB" w:rsidRPr="00DD7B5E" w:rsidRDefault="00363DFB" w:rsidP="00AF5CB4">
      <w:pPr>
        <w:rPr>
          <w:rFonts w:asciiTheme="minorHAnsi" w:hAnsiTheme="minorHAnsi" w:cstheme="minorHAnsi"/>
          <w:color w:val="000000"/>
        </w:rPr>
      </w:pPr>
      <w:r w:rsidRPr="00DD7B5E">
        <w:rPr>
          <w:rFonts w:asciiTheme="minorHAnsi" w:hAnsiTheme="minorHAnsi" w:cstheme="minorHAnsi"/>
          <w:b/>
          <w:color w:val="000000"/>
          <w:u w:val="single"/>
        </w:rPr>
        <w:t>LOCATION</w:t>
      </w:r>
      <w:r w:rsidR="002448B1" w:rsidRPr="00DD7B5E">
        <w:rPr>
          <w:rFonts w:asciiTheme="minorHAnsi" w:hAnsiTheme="minorHAnsi" w:cstheme="minorHAnsi"/>
          <w:color w:val="000000"/>
        </w:rPr>
        <w:t xml:space="preserve"> </w:t>
      </w:r>
      <w:r w:rsidRPr="00DD7B5E">
        <w:rPr>
          <w:rFonts w:asciiTheme="minorHAnsi" w:hAnsiTheme="minorHAnsi" w:cstheme="minorHAnsi"/>
          <w:color w:val="000000"/>
        </w:rPr>
        <w:tab/>
      </w:r>
      <w:r w:rsidRPr="00DD7B5E">
        <w:rPr>
          <w:rFonts w:asciiTheme="minorHAnsi" w:hAnsiTheme="minorHAnsi" w:cstheme="minorHAnsi"/>
          <w:color w:val="000000"/>
        </w:rPr>
        <w:tab/>
      </w:r>
    </w:p>
    <w:p w14:paraId="5AA648D0" w14:textId="77777777" w:rsidR="00363DFB" w:rsidRPr="00DD7B5E" w:rsidRDefault="00363DFB" w:rsidP="00AF5CB4">
      <w:pPr>
        <w:rPr>
          <w:rFonts w:asciiTheme="minorHAnsi" w:hAnsiTheme="minorHAnsi" w:cstheme="minorHAnsi"/>
          <w:color w:val="000000"/>
        </w:rPr>
      </w:pPr>
    </w:p>
    <w:p w14:paraId="049C8DA2" w14:textId="27017D5A" w:rsidR="0027313C" w:rsidRPr="00DD7B5E" w:rsidRDefault="00DD7B5E" w:rsidP="00AF5CB4">
      <w:pPr>
        <w:rPr>
          <w:rFonts w:asciiTheme="minorHAnsi" w:hAnsiTheme="minorHAnsi" w:cstheme="minorHAnsi"/>
        </w:rPr>
      </w:pPr>
      <w:r w:rsidRPr="00DD7B5E">
        <w:rPr>
          <w:rFonts w:asciiTheme="minorHAnsi" w:hAnsiTheme="minorHAnsi" w:cstheme="minorHAnsi"/>
        </w:rPr>
        <w:t>Istanbul</w:t>
      </w:r>
    </w:p>
    <w:p w14:paraId="7F32BD35" w14:textId="77777777" w:rsidR="00DD7B5E" w:rsidRPr="00DD7B5E" w:rsidRDefault="00DD7B5E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15771A0" w14:textId="77777777" w:rsidR="007C3FBB" w:rsidRPr="00DD7B5E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02AEDF2B" w14:textId="09B43883" w:rsidR="007C3FBB" w:rsidRPr="00DD7B5E" w:rsidRDefault="007C3FB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DD7B5E">
        <w:rPr>
          <w:rFonts w:asciiTheme="minorHAnsi" w:hAnsiTheme="minorHAnsi" w:cstheme="minorHAnsi"/>
          <w:b/>
          <w:bCs/>
          <w:color w:val="000000"/>
          <w:u w:val="single"/>
        </w:rPr>
        <w:t>QUALIFICATIONS</w:t>
      </w:r>
    </w:p>
    <w:p w14:paraId="33C62A8D" w14:textId="77777777" w:rsidR="007C3FBB" w:rsidRPr="00DD7B5E" w:rsidRDefault="007C3FBB" w:rsidP="00AF5CB4">
      <w:pPr>
        <w:rPr>
          <w:rFonts w:asciiTheme="minorHAnsi" w:hAnsiTheme="minorHAnsi" w:cstheme="minorHAnsi"/>
          <w:color w:val="000000"/>
        </w:rPr>
      </w:pPr>
    </w:p>
    <w:p w14:paraId="28F813E4" w14:textId="68A3FF35" w:rsidR="0027313C" w:rsidRPr="00DD7B5E" w:rsidRDefault="00DD7B5E" w:rsidP="0027313C">
      <w:pPr>
        <w:rPr>
          <w:rFonts w:asciiTheme="minorHAnsi" w:hAnsiTheme="minorHAnsi" w:cstheme="minorHAnsi"/>
          <w:color w:val="000000"/>
        </w:rPr>
      </w:pPr>
      <w:r w:rsidRPr="00DD7B5E">
        <w:rPr>
          <w:rFonts w:asciiTheme="minorHAnsi" w:hAnsiTheme="minorHAnsi" w:cstheme="minorHAnsi"/>
          <w:color w:val="000000"/>
        </w:rPr>
        <w:t>MBA in International Management, Baldwin-Wallace College, Berea, Ohio, USA</w:t>
      </w:r>
    </w:p>
    <w:p w14:paraId="7682962D" w14:textId="77777777" w:rsidR="00DD7B5E" w:rsidRPr="00DD7B5E" w:rsidRDefault="00DD7B5E" w:rsidP="0027313C">
      <w:pPr>
        <w:rPr>
          <w:rFonts w:asciiTheme="minorHAnsi" w:hAnsiTheme="minorHAnsi" w:cstheme="minorHAnsi"/>
          <w:color w:val="000000"/>
        </w:rPr>
      </w:pPr>
    </w:p>
    <w:p w14:paraId="0AC83B34" w14:textId="32845899" w:rsidR="00DD7B5E" w:rsidRPr="00DD7B5E" w:rsidRDefault="00DD7B5E" w:rsidP="0027313C">
      <w:pPr>
        <w:rPr>
          <w:rFonts w:asciiTheme="minorHAnsi" w:hAnsiTheme="minorHAnsi" w:cstheme="minorHAnsi"/>
          <w:color w:val="000000"/>
        </w:rPr>
      </w:pPr>
      <w:r w:rsidRPr="00DD7B5E">
        <w:rPr>
          <w:rFonts w:asciiTheme="minorHAnsi" w:hAnsiTheme="minorHAnsi" w:cstheme="minorHAnsi"/>
          <w:color w:val="000000"/>
        </w:rPr>
        <w:t>BS, Mechanical Engineering, Middle East Technical University, Ankara, Turkey</w:t>
      </w:r>
    </w:p>
    <w:p w14:paraId="1A47A460" w14:textId="77777777" w:rsidR="00DD7B5E" w:rsidRPr="00DD7B5E" w:rsidRDefault="00DD7B5E" w:rsidP="0027313C">
      <w:pPr>
        <w:rPr>
          <w:rFonts w:asciiTheme="minorHAnsi" w:hAnsiTheme="minorHAnsi" w:cstheme="minorHAnsi"/>
          <w:color w:val="000000"/>
        </w:rPr>
      </w:pPr>
    </w:p>
    <w:p w14:paraId="1E7BFCBC" w14:textId="77777777" w:rsidR="00EA0983" w:rsidRPr="00DD7B5E" w:rsidRDefault="00EA0983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DD7B5E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DD7B5E">
        <w:rPr>
          <w:rFonts w:asciiTheme="minorHAnsi" w:hAnsiTheme="minorHAnsi" w:cstheme="minorHAnsi"/>
          <w:b/>
          <w:bCs/>
          <w:color w:val="000000"/>
          <w:u w:val="single"/>
        </w:rPr>
        <w:t>CAREER SUMMARY</w:t>
      </w:r>
    </w:p>
    <w:p w14:paraId="4F26AF6E" w14:textId="77777777" w:rsidR="00446E91" w:rsidRPr="00DD7B5E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500937A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/>
          <w:bCs/>
          <w:color w:val="000000"/>
        </w:rPr>
        <w:t>TURK HENKEL KIM.</w:t>
      </w:r>
      <w:proofErr w:type="gramEnd"/>
      <w:r w:rsidRPr="00DD7B5E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/>
          <w:bCs/>
          <w:color w:val="000000"/>
        </w:rPr>
        <w:t>SAN.</w:t>
      </w:r>
      <w:proofErr w:type="gramEnd"/>
      <w:r w:rsidRPr="00DD7B5E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DD7B5E">
        <w:rPr>
          <w:rFonts w:asciiTheme="minorHAnsi" w:hAnsiTheme="minorHAnsi" w:cstheme="minorHAnsi"/>
          <w:b/>
          <w:bCs/>
          <w:color w:val="000000"/>
        </w:rPr>
        <w:t>Ve</w:t>
      </w:r>
      <w:proofErr w:type="spellEnd"/>
      <w:r w:rsidRPr="00DD7B5E">
        <w:rPr>
          <w:rFonts w:asciiTheme="minorHAnsi" w:hAnsiTheme="minorHAnsi" w:cstheme="minorHAnsi"/>
          <w:b/>
          <w:bCs/>
          <w:color w:val="000000"/>
        </w:rPr>
        <w:t xml:space="preserve"> TIC. A.Ş., Istanbul, Turkey</w:t>
      </w:r>
    </w:p>
    <w:p w14:paraId="72268CFA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Regional Business Development Manager (Jan. 2020 -current)</w:t>
      </w:r>
    </w:p>
    <w:p w14:paraId="4BFB54F8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East Europe, India, Middle East, Africa Region,</w:t>
      </w:r>
    </w:p>
    <w:p w14:paraId="03F79B91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Global Segment Manager</w:t>
      </w:r>
    </w:p>
    <w:p w14:paraId="7D72CAC0" w14:textId="3CBF2E86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 xml:space="preserve">Responsible for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analyzing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>, determining regional market potential, needs and business opportunities, creating market entry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strategy, product portfolios accordingly, developing the business and boosting sales on regional level for Henkel’s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Automotive Aftermarket business.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Having the same responsibility in global level (6 regions of Henkel global) for one of the sub-segments of Automotive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Aftermarket business.</w:t>
      </w:r>
      <w:proofErr w:type="gramEnd"/>
    </w:p>
    <w:p w14:paraId="3096CAEB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</w:p>
    <w:p w14:paraId="37D9270E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/>
          <w:bCs/>
          <w:color w:val="000000"/>
        </w:rPr>
        <w:t>TURK HENKEL KIM.</w:t>
      </w:r>
      <w:proofErr w:type="gramEnd"/>
      <w:r w:rsidRPr="00DD7B5E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/>
          <w:bCs/>
          <w:color w:val="000000"/>
        </w:rPr>
        <w:t>SAN.</w:t>
      </w:r>
      <w:proofErr w:type="gramEnd"/>
      <w:r w:rsidRPr="00DD7B5E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DD7B5E">
        <w:rPr>
          <w:rFonts w:asciiTheme="minorHAnsi" w:hAnsiTheme="minorHAnsi" w:cstheme="minorHAnsi"/>
          <w:b/>
          <w:bCs/>
          <w:color w:val="000000"/>
        </w:rPr>
        <w:t>Ve</w:t>
      </w:r>
      <w:proofErr w:type="spellEnd"/>
      <w:r w:rsidRPr="00DD7B5E">
        <w:rPr>
          <w:rFonts w:asciiTheme="minorHAnsi" w:hAnsiTheme="minorHAnsi" w:cstheme="minorHAnsi"/>
          <w:b/>
          <w:bCs/>
          <w:color w:val="000000"/>
        </w:rPr>
        <w:t xml:space="preserve"> TIC. A.Ş., Istanbul, Turkey</w:t>
      </w:r>
    </w:p>
    <w:p w14:paraId="20BC0EF1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Regional Business Development Manager (Sept. 2016 -Jan. 2020)</w:t>
      </w:r>
    </w:p>
    <w:p w14:paraId="6995F8A2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India, Middle East, Africa Region,</w:t>
      </w:r>
    </w:p>
    <w:p w14:paraId="39704AD3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Global Segment Manager</w:t>
      </w:r>
    </w:p>
    <w:p w14:paraId="23F350AE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 xml:space="preserve">Responsible for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analyzing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>, determining regional market potential, needs and business opportunities, creating market entry</w:t>
      </w:r>
    </w:p>
    <w:p w14:paraId="486AD663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lastRenderedPageBreak/>
        <w:t>strategy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>, product portfolios accordingly, developing the business and boosting sales on regional level for Henkel’s</w:t>
      </w:r>
    </w:p>
    <w:p w14:paraId="45AF7020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Automotive Aftermarket business.</w:t>
      </w:r>
      <w:proofErr w:type="gramEnd"/>
    </w:p>
    <w:p w14:paraId="766D657F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>Having the same responsibility in global level (6 regions of Henkel global) for one of the sub-segments of Automotive</w:t>
      </w:r>
    </w:p>
    <w:p w14:paraId="5DDBAC3A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Aftermarket business.</w:t>
      </w:r>
      <w:proofErr w:type="gramEnd"/>
    </w:p>
    <w:p w14:paraId="4F6B06E9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7F4EA51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 xml:space="preserve">Regional Sales Manager &amp;amp; Business Development Manager, Henkel (July 2012 – Sept. </w:t>
      </w:r>
      <w:proofErr w:type="gramStart"/>
      <w:r w:rsidRPr="00DD7B5E">
        <w:rPr>
          <w:rFonts w:asciiTheme="minorHAnsi" w:hAnsiTheme="minorHAnsi" w:cstheme="minorHAnsi"/>
          <w:b/>
          <w:bCs/>
          <w:color w:val="000000"/>
        </w:rPr>
        <w:t>2016 )</w:t>
      </w:r>
      <w:proofErr w:type="gramEnd"/>
    </w:p>
    <w:p w14:paraId="69CDFED0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India, Middle East, Africa (IMEA) Region</w:t>
      </w:r>
    </w:p>
    <w:p w14:paraId="2A59A585" w14:textId="34270265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>In addition to Automotive Aftermarket Business Development Manager position, Head of Sales of the new division of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 xml:space="preserve">Henkel, Exterior Finish/ Car Detailing, in whole IMEA region.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Establishing new business organization with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salesteam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and</w:t>
      </w:r>
      <w:r w:rsidRPr="00DD7B5E">
        <w:rPr>
          <w:rFonts w:asciiTheme="minorHAnsi" w:hAnsiTheme="minorHAnsi" w:cstheme="minorHAnsi"/>
          <w:bCs/>
          <w:color w:val="000000"/>
        </w:rPr>
        <w:t xml:space="preserve"> distribution </w:t>
      </w:r>
      <w:r w:rsidRPr="00DD7B5E">
        <w:rPr>
          <w:rFonts w:asciiTheme="minorHAnsi" w:hAnsiTheme="minorHAnsi" w:cstheme="minorHAnsi"/>
          <w:bCs/>
          <w:color w:val="000000"/>
        </w:rPr>
        <w:t>network in the IMEA countries including Turkey.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Accomplishments: Created completely new product range for Henkel’</w:t>
      </w:r>
      <w:r w:rsidRPr="00DD7B5E">
        <w:rPr>
          <w:rFonts w:asciiTheme="minorHAnsi" w:hAnsiTheme="minorHAnsi" w:cstheme="minorHAnsi"/>
          <w:bCs/>
          <w:color w:val="000000"/>
        </w:rPr>
        <w:t xml:space="preserve">s new business segment.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Brought </w:t>
      </w:r>
      <w:r w:rsidRPr="00DD7B5E">
        <w:rPr>
          <w:rFonts w:asciiTheme="minorHAnsi" w:hAnsiTheme="minorHAnsi" w:cstheme="minorHAnsi"/>
          <w:bCs/>
          <w:color w:val="000000"/>
        </w:rPr>
        <w:t>substantial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contribution to the growth of the divisio</w:t>
      </w:r>
      <w:r w:rsidRPr="00DD7B5E">
        <w:rPr>
          <w:rFonts w:asciiTheme="minorHAnsi" w:hAnsiTheme="minorHAnsi" w:cstheme="minorHAnsi"/>
          <w:bCs/>
          <w:color w:val="000000"/>
        </w:rPr>
        <w:t>n in the region.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Also, made the </w:t>
      </w:r>
      <w:r w:rsidRPr="00DD7B5E">
        <w:rPr>
          <w:rFonts w:asciiTheme="minorHAnsi" w:hAnsiTheme="minorHAnsi" w:cstheme="minorHAnsi"/>
          <w:bCs/>
          <w:color w:val="000000"/>
        </w:rPr>
        <w:t>new portfolio available in global Henkel regions.</w:t>
      </w:r>
      <w:proofErr w:type="gramEnd"/>
    </w:p>
    <w:p w14:paraId="4C2FB4F6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</w:p>
    <w:p w14:paraId="5D3E0C72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SBU Manager Automotive Aftermarket Turkey, Turk Henkel A.S. (Jan. 2003- July 2012)</w:t>
      </w:r>
    </w:p>
    <w:p w14:paraId="30704B67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Regional Business Development Manager, Middle East &amp;amp; Africa</w:t>
      </w:r>
    </w:p>
    <w:p w14:paraId="5F098E06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Had double function in the organization.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Managed sales and marketing activities of Automotive Aftermarket SBU in</w:t>
      </w:r>
    </w:p>
    <w:p w14:paraId="0C9A73B2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 xml:space="preserve">Turkey. Managed 6 regional sales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managers ,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7 sales engineers, 1 key account manager in 6 regions in Turkey.</w:t>
      </w:r>
    </w:p>
    <w:p w14:paraId="1C551C47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>In addition, responsible for developing Automotive Aftermarket business in the region MEA (Turkey, Central Asia, Iran,</w:t>
      </w:r>
    </w:p>
    <w:p w14:paraId="082A9482" w14:textId="3CDEFA2E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 xml:space="preserve">Middle East, Continent Africa).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Cooperating with 5</w:t>
      </w:r>
      <w:r w:rsidRPr="00DD7B5E">
        <w:rPr>
          <w:rFonts w:asciiTheme="minorHAnsi" w:hAnsiTheme="minorHAnsi" w:cstheme="minorHAnsi"/>
          <w:bCs/>
          <w:color w:val="000000"/>
        </w:rPr>
        <w:t xml:space="preserve"> country managers.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Reporting to </w:t>
      </w:r>
      <w:r w:rsidRPr="00DD7B5E">
        <w:rPr>
          <w:rFonts w:asciiTheme="minorHAnsi" w:hAnsiTheme="minorHAnsi" w:cstheme="minorHAnsi"/>
          <w:bCs/>
          <w:color w:val="000000"/>
        </w:rPr>
        <w:t>regional SBU manager.</w:t>
      </w:r>
      <w:proofErr w:type="gramEnd"/>
    </w:p>
    <w:p w14:paraId="19FEC296" w14:textId="4E34CDC2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>Accomplishments: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 xml:space="preserve">Grew the sales in the MEA region by 300%. Enlarged dedicated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Automotive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salesteam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to 14 territory sales managers and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sales engineers in Turkey.</w:t>
      </w:r>
    </w:p>
    <w:p w14:paraId="6EEA041B" w14:textId="083AE553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Established OES (Original Equipment Supplier) business model for sales of chemical consumables to the aftermarket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divisions of the OEMs in Turkey.</w:t>
      </w:r>
      <w:proofErr w:type="gramEnd"/>
    </w:p>
    <w:p w14:paraId="4A1D39DC" w14:textId="7CC15F65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 xml:space="preserve">As MEA business development manager, started to establish dedicated automotive salesforce in the region.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Launched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>Henkel’s European market and product initiatives in the region.</w:t>
      </w:r>
      <w:proofErr w:type="gramEnd"/>
    </w:p>
    <w:p w14:paraId="1E24F30F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E418EED" w14:textId="7CBDF31F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Sales Manager General Industry and Aftermarket, Turk Henkel A.S. (Jan. 2000-Jan. 2003)</w:t>
      </w:r>
    </w:p>
    <w:p w14:paraId="063D6911" w14:textId="39E2CE82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r w:rsidRPr="00DD7B5E">
        <w:rPr>
          <w:rFonts w:asciiTheme="minorHAnsi" w:hAnsiTheme="minorHAnsi" w:cstheme="minorHAnsi"/>
          <w:bCs/>
          <w:color w:val="000000"/>
        </w:rPr>
        <w:t>Responsible for managing sales and marketing activities of Engineering Adhesives SBU, which consists of Automotive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 xml:space="preserve">Aftermarket and Industrial Maintenance, Repair &amp;amp; OEM.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Managed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salesteam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of 13 sales engineers.</w:t>
      </w:r>
      <w:proofErr w:type="gramEnd"/>
    </w:p>
    <w:p w14:paraId="7CF45B82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Accomplishments:</w:t>
      </w:r>
    </w:p>
    <w:p w14:paraId="45677C1E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Differentiated the distributors and the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salesteams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of two divisions as Automotive and Industry.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Revised the distribution</w:t>
      </w:r>
    </w:p>
    <w:p w14:paraId="6CDC721F" w14:textId="51EF931D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lastRenderedPageBreak/>
        <w:t>network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of both divisions. Created specific focus in the market and increased the revenue of the SBU by an average of</w:t>
      </w:r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r w:rsidRPr="00DD7B5E">
        <w:rPr>
          <w:rFonts w:asciiTheme="minorHAnsi" w:hAnsiTheme="minorHAnsi" w:cstheme="minorHAnsi"/>
          <w:bCs/>
          <w:color w:val="000000"/>
        </w:rPr>
        <w:t xml:space="preserve">200% in 3 years.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Established territory sales management system.</w:t>
      </w:r>
      <w:proofErr w:type="gramEnd"/>
    </w:p>
    <w:p w14:paraId="0B288774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</w:p>
    <w:p w14:paraId="60130905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Sales Manager Automotive Aftermarket, Loctite A.S. (Sept. 1997-Jan. 2000)</w:t>
      </w:r>
    </w:p>
    <w:p w14:paraId="285AD995" w14:textId="07EF875C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Responsible for managing the Automotive Aftermarket SBU of Henkel after the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acqusition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of Loctite Corporation.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 xml:space="preserve">Managed </w:t>
      </w:r>
      <w:proofErr w:type="spellStart"/>
      <w:r w:rsidRPr="00DD7B5E">
        <w:rPr>
          <w:rFonts w:asciiTheme="minorHAnsi" w:hAnsiTheme="minorHAnsi" w:cstheme="minorHAnsi"/>
          <w:bCs/>
          <w:color w:val="000000"/>
        </w:rPr>
        <w:t>salesteam</w:t>
      </w:r>
      <w:proofErr w:type="spellEnd"/>
      <w:r w:rsidRPr="00DD7B5E">
        <w:rPr>
          <w:rFonts w:asciiTheme="minorHAnsi" w:hAnsiTheme="minorHAnsi" w:cstheme="minorHAnsi"/>
          <w:bCs/>
          <w:color w:val="000000"/>
        </w:rPr>
        <w:t xml:space="preserve"> of 5 sales engineers.</w:t>
      </w:r>
      <w:proofErr w:type="gramEnd"/>
    </w:p>
    <w:p w14:paraId="4059F961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Accomplishments:</w:t>
      </w:r>
    </w:p>
    <w:p w14:paraId="56C0C651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Merged aftermarket businesses and distribution networks of Henkel and Loctite companies.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Also revised distribution</w:t>
      </w:r>
    </w:p>
    <w:p w14:paraId="3C850797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network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.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Brought new approach to the market.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</w:t>
      </w:r>
      <w:proofErr w:type="gramStart"/>
      <w:r w:rsidRPr="00DD7B5E">
        <w:rPr>
          <w:rFonts w:asciiTheme="minorHAnsi" w:hAnsiTheme="minorHAnsi" w:cstheme="minorHAnsi"/>
          <w:bCs/>
          <w:color w:val="000000"/>
        </w:rPr>
        <w:t>Combined field salesforces of the two companies.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Increased the sales of</w:t>
      </w:r>
    </w:p>
    <w:p w14:paraId="5680F07D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new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division by 12 times in 6 years.</w:t>
      </w:r>
    </w:p>
    <w:p w14:paraId="4D191DF4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</w:p>
    <w:p w14:paraId="2B96D3F0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Sales Engineer, Turk Henkel A.S. (March 1994-Sept. 1997)</w:t>
      </w:r>
    </w:p>
    <w:p w14:paraId="544D6093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Responsible for Sales &amp;amp; Marketing activities of Automotive Aftermarket SBU of Henkel in Turkey.</w:t>
      </w:r>
      <w:proofErr w:type="gramEnd"/>
    </w:p>
    <w:p w14:paraId="377EBEB2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/>
          <w:bCs/>
          <w:color w:val="000000"/>
        </w:rPr>
      </w:pPr>
      <w:r w:rsidRPr="00DD7B5E">
        <w:rPr>
          <w:rFonts w:asciiTheme="minorHAnsi" w:hAnsiTheme="minorHAnsi" w:cstheme="minorHAnsi"/>
          <w:b/>
          <w:bCs/>
          <w:color w:val="000000"/>
        </w:rPr>
        <w:t>Accomplishments:</w:t>
      </w:r>
    </w:p>
    <w:p w14:paraId="14667D98" w14:textId="77777777" w:rsidR="00DD7B5E" w:rsidRPr="00DD7B5E" w:rsidRDefault="00DD7B5E" w:rsidP="00DD7B5E">
      <w:pPr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Grew Henkel’s Auto Aftermarket business in Turkey in distribution network and product portfolio.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Took over the business</w:t>
      </w:r>
    </w:p>
    <w:p w14:paraId="53C120E6" w14:textId="3AECFC46" w:rsidR="0027313C" w:rsidRPr="00DD7B5E" w:rsidRDefault="00DD7B5E" w:rsidP="00DD7B5E">
      <w:pPr>
        <w:jc w:val="both"/>
        <w:rPr>
          <w:rFonts w:asciiTheme="minorHAnsi" w:hAnsiTheme="minorHAnsi" w:cstheme="minorHAnsi"/>
        </w:rPr>
      </w:pPr>
      <w:proofErr w:type="gramStart"/>
      <w:r w:rsidRPr="00DD7B5E">
        <w:rPr>
          <w:rFonts w:asciiTheme="minorHAnsi" w:hAnsiTheme="minorHAnsi" w:cstheme="minorHAnsi"/>
          <w:bCs/>
          <w:color w:val="000000"/>
        </w:rPr>
        <w:t>from</w:t>
      </w:r>
      <w:proofErr w:type="gramEnd"/>
      <w:r w:rsidRPr="00DD7B5E">
        <w:rPr>
          <w:rFonts w:asciiTheme="minorHAnsi" w:hAnsiTheme="minorHAnsi" w:cstheme="minorHAnsi"/>
          <w:bCs/>
          <w:color w:val="000000"/>
        </w:rPr>
        <w:t xml:space="preserve"> ex-country importer and increased the revenues by average of 300% in 2,5 years.</w:t>
      </w:r>
    </w:p>
    <w:p w14:paraId="3317FF55" w14:textId="77777777" w:rsidR="0027313C" w:rsidRPr="00DD7B5E" w:rsidRDefault="0027313C" w:rsidP="0027313C">
      <w:pPr>
        <w:jc w:val="both"/>
        <w:rPr>
          <w:rFonts w:asciiTheme="minorHAnsi" w:hAnsiTheme="minorHAnsi" w:cstheme="minorHAnsi"/>
        </w:rPr>
      </w:pPr>
    </w:p>
    <w:p w14:paraId="687C08F4" w14:textId="77777777" w:rsidR="00A41B63" w:rsidRPr="00DD7B5E" w:rsidRDefault="00A41B63" w:rsidP="00A236D0">
      <w:pPr>
        <w:jc w:val="both"/>
        <w:rPr>
          <w:rFonts w:asciiTheme="minorHAnsi" w:hAnsiTheme="minorHAnsi" w:cstheme="minorHAnsi"/>
        </w:rPr>
      </w:pPr>
    </w:p>
    <w:p w14:paraId="7D683FF8" w14:textId="4E83C865" w:rsidR="00AF5CB4" w:rsidRPr="00DD7B5E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DD7B5E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DD7B5E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DD7B5E">
        <w:rPr>
          <w:rFonts w:asciiTheme="minorHAnsi" w:hAnsiTheme="minorHAnsi" w:cstheme="minorHAnsi"/>
          <w:bCs/>
          <w:lang w:eastAsia="en-US"/>
        </w:rPr>
        <w:t xml:space="preserve">on </w:t>
      </w:r>
      <w:r w:rsidRPr="00DD7B5E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DD7B5E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DD7B5E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DD7B5E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DD7B5E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363DFB" w:rsidRDefault="00AF5CB4" w:rsidP="00AF5CB4">
      <w:pPr>
        <w:jc w:val="both"/>
        <w:rPr>
          <w:rFonts w:asciiTheme="minorHAnsi" w:hAnsiTheme="minorHAnsi" w:cstheme="minorHAnsi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52D7C" w14:textId="77777777" w:rsidR="00F34D49" w:rsidRDefault="00F34D49">
      <w:r>
        <w:separator/>
      </w:r>
    </w:p>
  </w:endnote>
  <w:endnote w:type="continuationSeparator" w:id="0">
    <w:p w14:paraId="4C850883" w14:textId="77777777" w:rsidR="00F34D49" w:rsidRDefault="00F3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F486D" w14:textId="77777777" w:rsidR="00F34D49" w:rsidRDefault="00F34D49">
      <w:r>
        <w:separator/>
      </w:r>
    </w:p>
  </w:footnote>
  <w:footnote w:type="continuationSeparator" w:id="0">
    <w:p w14:paraId="4041F614" w14:textId="77777777" w:rsidR="00F34D49" w:rsidRDefault="00F34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5E2"/>
    <w:multiLevelType w:val="hybridMultilevel"/>
    <w:tmpl w:val="578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12ECB"/>
    <w:multiLevelType w:val="hybridMultilevel"/>
    <w:tmpl w:val="A1B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FD6F0A"/>
    <w:multiLevelType w:val="hybridMultilevel"/>
    <w:tmpl w:val="5858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7E1C69"/>
    <w:multiLevelType w:val="hybridMultilevel"/>
    <w:tmpl w:val="5312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92FDF"/>
    <w:multiLevelType w:val="hybridMultilevel"/>
    <w:tmpl w:val="F44EEF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ED1BF3"/>
    <w:multiLevelType w:val="hybridMultilevel"/>
    <w:tmpl w:val="7BBC3E14"/>
    <w:lvl w:ilvl="0" w:tplc="E2BE4B8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3"/>
  </w:num>
  <w:num w:numId="4">
    <w:abstractNumId w:val="1"/>
  </w:num>
  <w:num w:numId="5">
    <w:abstractNumId w:val="23"/>
  </w:num>
  <w:num w:numId="6">
    <w:abstractNumId w:val="2"/>
  </w:num>
  <w:num w:numId="7">
    <w:abstractNumId w:val="30"/>
  </w:num>
  <w:num w:numId="8">
    <w:abstractNumId w:val="6"/>
  </w:num>
  <w:num w:numId="9">
    <w:abstractNumId w:val="22"/>
  </w:num>
  <w:num w:numId="10">
    <w:abstractNumId w:val="29"/>
  </w:num>
  <w:num w:numId="11">
    <w:abstractNumId w:val="31"/>
  </w:num>
  <w:num w:numId="12">
    <w:abstractNumId w:val="10"/>
  </w:num>
  <w:num w:numId="13">
    <w:abstractNumId w:val="26"/>
  </w:num>
  <w:num w:numId="14">
    <w:abstractNumId w:val="37"/>
  </w:num>
  <w:num w:numId="15">
    <w:abstractNumId w:val="18"/>
  </w:num>
  <w:num w:numId="16">
    <w:abstractNumId w:val="11"/>
  </w:num>
  <w:num w:numId="17">
    <w:abstractNumId w:val="38"/>
  </w:num>
  <w:num w:numId="18">
    <w:abstractNumId w:val="0"/>
  </w:num>
  <w:num w:numId="19">
    <w:abstractNumId w:val="20"/>
  </w:num>
  <w:num w:numId="20">
    <w:abstractNumId w:val="34"/>
  </w:num>
  <w:num w:numId="21">
    <w:abstractNumId w:val="36"/>
  </w:num>
  <w:num w:numId="22">
    <w:abstractNumId w:val="5"/>
  </w:num>
  <w:num w:numId="23">
    <w:abstractNumId w:val="39"/>
  </w:num>
  <w:num w:numId="24">
    <w:abstractNumId w:val="17"/>
  </w:num>
  <w:num w:numId="25">
    <w:abstractNumId w:val="32"/>
  </w:num>
  <w:num w:numId="26">
    <w:abstractNumId w:val="1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15"/>
  </w:num>
  <w:num w:numId="32">
    <w:abstractNumId w:val="12"/>
  </w:num>
  <w:num w:numId="33">
    <w:abstractNumId w:val="13"/>
  </w:num>
  <w:num w:numId="34">
    <w:abstractNumId w:val="14"/>
  </w:num>
  <w:num w:numId="35">
    <w:abstractNumId w:val="40"/>
  </w:num>
  <w:num w:numId="36">
    <w:abstractNumId w:val="21"/>
  </w:num>
  <w:num w:numId="37">
    <w:abstractNumId w:val="35"/>
  </w:num>
  <w:num w:numId="38">
    <w:abstractNumId w:val="27"/>
  </w:num>
  <w:num w:numId="39">
    <w:abstractNumId w:val="3"/>
  </w:num>
  <w:num w:numId="40">
    <w:abstractNumId w:val="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0639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0F73A3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C690C"/>
    <w:rsid w:val="001D1803"/>
    <w:rsid w:val="001E4830"/>
    <w:rsid w:val="001E6CFF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313C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3DFB"/>
    <w:rsid w:val="00364C10"/>
    <w:rsid w:val="00364E22"/>
    <w:rsid w:val="0036644A"/>
    <w:rsid w:val="0036796B"/>
    <w:rsid w:val="003722F6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1B36"/>
    <w:rsid w:val="00446E91"/>
    <w:rsid w:val="0044754B"/>
    <w:rsid w:val="004667C9"/>
    <w:rsid w:val="00472B9D"/>
    <w:rsid w:val="00472E2F"/>
    <w:rsid w:val="00481E62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3FBB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0D32"/>
    <w:rsid w:val="008C21A8"/>
    <w:rsid w:val="008E0F7B"/>
    <w:rsid w:val="008F2D37"/>
    <w:rsid w:val="008F3CAB"/>
    <w:rsid w:val="009002F9"/>
    <w:rsid w:val="00904BF3"/>
    <w:rsid w:val="00914DA8"/>
    <w:rsid w:val="00937A5B"/>
    <w:rsid w:val="009445B0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36D0"/>
    <w:rsid w:val="00A24676"/>
    <w:rsid w:val="00A26299"/>
    <w:rsid w:val="00A33481"/>
    <w:rsid w:val="00A34F2E"/>
    <w:rsid w:val="00A401D3"/>
    <w:rsid w:val="00A41935"/>
    <w:rsid w:val="00A41B63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24AD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25C7C"/>
    <w:rsid w:val="00C452EB"/>
    <w:rsid w:val="00C459BD"/>
    <w:rsid w:val="00C57D9A"/>
    <w:rsid w:val="00C61666"/>
    <w:rsid w:val="00C62096"/>
    <w:rsid w:val="00C67897"/>
    <w:rsid w:val="00C766D8"/>
    <w:rsid w:val="00C769F5"/>
    <w:rsid w:val="00C77353"/>
    <w:rsid w:val="00C92953"/>
    <w:rsid w:val="00C938D0"/>
    <w:rsid w:val="00CA0FAF"/>
    <w:rsid w:val="00CB37E8"/>
    <w:rsid w:val="00CB4446"/>
    <w:rsid w:val="00CB763F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D7B5E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85A40"/>
    <w:rsid w:val="00E9010B"/>
    <w:rsid w:val="00EA0983"/>
    <w:rsid w:val="00EA14AD"/>
    <w:rsid w:val="00EA16CC"/>
    <w:rsid w:val="00EA2DEE"/>
    <w:rsid w:val="00EA6A13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4D49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2024-03-21T18:21:00Z</dcterms:created>
  <dcterms:modified xsi:type="dcterms:W3CDTF">2024-03-21T18:21:00Z</dcterms:modified>
</cp:coreProperties>
</file>