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318" w:type="dxa"/>
        <w:tblLayout w:type="fixed"/>
      </w:tblPr>
      <w:tblGrid>
        <w:gridCol w:w="10318"/>
      </w:tblGrid>
      <w:tr>
        <w:trPr>
          <w:trHeight w:val="3241" w:hRule="exact"/>
          <w:cantSplit/>
        </w:trPr>
        <w:tc>
          <w:tcPr>
            <w:tcW w:type="dxa" w:w="10318"/>
            <w:shd w:color="auto" w:val="clear" w:fill="FFFFFF"/>
          </w:tcPr>
          <w:p/>
        </w:tc>
      </w:tr>
      <w:tr>
        <w:trPr>
          <w:trHeight w:val="2946" w:hRule="exact"/>
          <w:cantSplit/>
        </w:trPr>
        <w:tc>
          <w:tcPr>
            <w:tcW w:type="dxa" w:w="10318"/>
            <w:shd w:color="auto" w:val="clear" w:fill="FFFFFF"/>
            <w:vAlign w:val="center"/>
          </w:tcPr>
          <w:p/>
          <w:p>
            <w:pPr>
              <w:spacing w:after="80"/>
              <w:ind w:left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64"/>
                <w:color w:val="1F2937"/>
              </w:rPr>
              <w:t>王力安防科技健康评估报告</w:t>
            </w:r>
          </w:p>
        </w:tc>
      </w:tr>
      <w:tr>
        <w:trPr>
          <w:trHeight w:val="3535" w:hRule="exact"/>
          <w:cantSplit/>
        </w:trPr>
        <w:tc>
          <w:tcPr>
            <w:tcW w:type="dxa" w:w="10318"/>
            <w:shd w:color="auto" w:val="clear" w:fill="FFFFFF"/>
            <w:vAlign w:val="center"/>
          </w:tcPr>
          <w:p/>
          <w:p>
            <w:pPr>
              <w:spacing w:after="40"/>
              <w:ind w:left="0"/>
              <w:jc w:val="center"/>
            </w:pPr>
            <w:r>
              <w:rPr>
                <w:b w:val="off"/>
                <w:rFonts w:ascii="Source Sans 3" w:hAnsi="Source Sans 3" w:cs="Source Sans 3" w:eastAsia="Source Sans 3"/>
                <w:sz w:val="22"/>
                <w:color w:val="6B7280"/>
              </w:rPr>
              <w:t>王力安防科技健康评估报告，用户自定义巡检报告模板，专门用于评审王力安防科技租户的健康评估报告。</w:t>
            </w:r>
          </w:p>
        </w:tc>
      </w:tr>
      <w:tr>
        <w:trPr>
          <w:trHeight w:val="5008" w:hRule="exact"/>
          <w:cantSplit/>
        </w:trPr>
        <w:tc>
          <w:tcPr>
            <w:tcW w:type="dxa" w:w="10318"/>
            <w:shd w:color="auto" w:val="clear" w:fill="FFFFFF"/>
            <w:vAlign w:val="bottom"/>
          </w:tcPr>
          <w:p/>
        </w:tc>
      </w:tr>
    </w:tbl>
    <w:p>
      <w:pPr>
        <w:pageBreakBefore w:val="on"/>
        <w:spacing w:before="0" w:after="0"/>
      </w:pPr>
    </w:p>
    <w:p>
      <w:pPr>
        <w:spacing w:before="0" w:after="763"/>
      </w:pPr>
    </w:p>
    <w:p>
      <w:pPr>
        <w:pStyle w:val="Heading1"/>
        <w:spacing w:before="360" w:after="180"/>
        <w:jc w:val="left"/>
        <w:outlineLvl w:val="0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pPr>
        <w:spacing w:after="80"/>
        <w:ind w:left="0"/>
      </w:pPr>
      <w:hyperlink w:anchor="rs_d3e4662c_cd22ef2f">
        <w:r>
          <w:rPr>
            <w:color w:val="1F2937"/>
            <w:u w:val="none"/>
            <w:rFonts w:ascii="Source Sans 3" w:eastAsia="Source Sans 3"/>
            <w:sz w:val="22"/>
          </w:rPr>
          <w:t>1 评估整体概况和结果</w:t>
        </w:r>
      </w:hyperlink>
    </w:p>
    <w:p>
      <w:pPr>
        <w:spacing w:after="80"/>
        <w:ind w:left="360"/>
      </w:pPr>
      <w:hyperlink w:anchor="rs_5faffef0_40ad3d3f">
        <w:r>
          <w:rPr>
            <w:color w:val="1F2937"/>
            <w:u w:val="none"/>
            <w:rFonts w:ascii="Source Sans 3" w:eastAsia="Source Sans 3"/>
            <w:sz w:val="22"/>
          </w:rPr>
          <w:t>1.1 评估范围</w:t>
        </w:r>
      </w:hyperlink>
    </w:p>
    <w:p>
      <w:pPr>
        <w:spacing w:after="80"/>
        <w:ind w:left="360"/>
      </w:pPr>
      <w:hyperlink w:anchor="rs_219390c6_ce39aea3">
        <w:r>
          <w:rPr>
            <w:color w:val="1F2937"/>
            <w:u w:val="none"/>
            <w:rFonts w:ascii="Source Sans 3" w:eastAsia="Source Sans 3"/>
            <w:sz w:val="22"/>
          </w:rPr>
          <w:t>1.2 评估结果</w:t>
        </w:r>
      </w:hyperlink>
    </w:p>
    <w:p>
      <w:pPr>
        <w:pageBreakBefore w:val="on"/>
        <w:spacing w:before="0" w:after="0"/>
      </w:pPr>
    </w:p>
    <w:p>
      <w:pPr>
        <w:pStyle w:val="Heading1"/>
        <w:spacing w:before="360" w:after="180"/>
        <w:jc w:val="left"/>
        <w:outlineLvl w:val="0"/>
      </w:pPr>
      <w:bookmarkStart w:name="rs_d3e4662c_cd22ef2f" w:id="1"/>
      <w:r>
        <w:rPr>
          <w:b w:val="on"/>
          <w:rFonts w:ascii="Source Sans 3" w:hAnsi="Source Sans 3" w:cs="Source Sans 3" w:eastAsia="Source Sans 3"/>
          <w:color w:val="1F2937"/>
          <w:sz w:val="36"/>
        </w:rPr>
        <w:t>1 评估整体概况和结果</w:t>
      </w:r>
      <w:bookmarkEnd w:id="1"/>
    </w:p>
    <w:p>
      <w:pPr>
        <w:pStyle w:val="Heading2"/>
        <w:spacing w:before="240" w:after="180"/>
        <w:jc w:val="left"/>
        <w:outlineLvl w:val="1"/>
      </w:pPr>
      <w:bookmarkStart w:name="rs_5faffef0_40ad3d3f" w:id="2"/>
      <w:r>
        <w:rPr>
          <w:b w:val="on"/>
          <w:rFonts w:ascii="Source Sans 3" w:hAnsi="Source Sans 3" w:cs="Source Sans 3" w:eastAsia="Source Sans 3"/>
          <w:color w:val="1F2937"/>
          <w:sz w:val="28"/>
        </w:rPr>
        <w:t>1.1 评估范围</w:t>
      </w:r>
      <w:bookmarkEnd w:id="2"/>
    </w:p>
    <w:p>
      <w:pPr>
        <w:spacing w:before="0" w:after="120"/>
      </w:pPr>
      <w:r>
        <w:rPr>
          <w:rFonts w:ascii="Source Sans 3" w:hAnsi="Source Sans 3" w:cs="Source Sans 3" w:eastAsia="Source Sans 3"/>
          <w:color w:val="1F2937"/>
          <w:sz w:val="22"/>
        </w:rPr>
        <w:t>本评估旨在对指定的站点（分支）完成健康检测，评估范围包含 一号写字楼, QWERTY, 王力测试，评估设备包含了121 台网络设备，2 台存储设备,2 台存储设备。评估对象如下：</w:t>
      </w:r>
    </w:p>
    <w:p>
      <w:pPr>
        <w:spacing w:after="120"/>
      </w:pPr>
    </w:p>
    <w:tbl>
      <w:tblPr>
        <w:tblW w:w="10318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720"/>
        <w:gridCol w:w="1720"/>
        <w:gridCol w:w="1720"/>
        <w:gridCol w:w="1720"/>
        <w:gridCol w:w="1720"/>
        <w:gridCol w:w="1718"/>
      </w:tblGrid>
      <w:tr>
        <w:tc>
          <w:tcPr>
            <w:tcW w:type="dxa" w:w="1720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站点名称</w:t>
            </w:r>
          </w:p>
        </w:tc>
        <w:tc>
          <w:tcPr>
            <w:tcW w:type="dxa" w:w="1720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设备分类</w:t>
            </w:r>
          </w:p>
        </w:tc>
        <w:tc>
          <w:tcPr>
            <w:tcW w:type="dxa" w:w="1720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设备类型</w:t>
            </w:r>
          </w:p>
        </w:tc>
        <w:tc>
          <w:tcPr>
            <w:tcW w:type="dxa" w:w="1720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品牌</w:t>
            </w:r>
          </w:p>
        </w:tc>
        <w:tc>
          <w:tcPr>
            <w:tcW w:type="dxa" w:w="1720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设备型号</w:t>
            </w:r>
          </w:p>
        </w:tc>
        <w:tc>
          <w:tcPr>
            <w:tcW w:type="dxa" w:w="1718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数量</w:t>
            </w:r>
          </w:p>
        </w:tc>
      </w:tr>
      <w:tr>
        <w:tc>
          <w:tcPr>
            <w:tcW w:type="dxa" w:w="1720"/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QWERTY</w:t>
            </w:r>
          </w:p>
        </w:tc>
        <w:tc>
          <w:tcPr>
            <w:tcW w:type="dxa" w:w="1720"/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网络设备</w:t>
            </w:r>
          </w:p>
        </w:tc>
        <w:tc>
          <w:tcPr>
            <w:tcW w:type="dxa" w:w="1720"/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路由器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DGHW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NetEngine 8000E F8-Z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AR502H-5G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DGHW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NetEngine 8000E M14-Z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restart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其他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AP8030DN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H3C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AFC2000-D-CN20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Fortinet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FortiGate VM64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交换机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DC6881H-48S6CQ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DGHW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S12700E-4-Z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DC16800-X8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S5735S-L48T4X-A2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S5735S-L48T4S-A2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DC6885-48YS8CQ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S5735-L48T4X-A2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DC16800-X16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DGHW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S5731-H48T4XC-Z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DGHW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S6730-H48X6C-Z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Huaqin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DX112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DC8855-32CQ4BQ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DC6865E-48S8CQ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DC6863H-48S6CQ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DGHW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S12700E-8-Z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S5735-L48P4X-A2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S5735S-L48P4X-A2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DC16808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DC8865-4C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S5735-L48P4S-A2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DC16816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S5735S-L48P4S-A2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DC16804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C6735-S48X6C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C5735-L24T4X-QA2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S5735-L48T4S-A2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DC8875-24BQ8DQ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DC16800-X4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DGHW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S5732-H48S6Q-Z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AC控制器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AC6800V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服务器设备</w:t>
            </w:r>
          </w:p>
        </w:tc>
        <w:tc>
          <w:tcPr>
            <w:tcW w:type="dxa" w:w="1720"/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服务器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2288H V6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OEM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RS221G1(VC)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存储设备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存储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OceanStor Pacific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restart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一号写字楼</w:t>
            </w:r>
          </w:p>
        </w:tc>
        <w:tc>
          <w:tcPr>
            <w:tcW w:type="dxa" w:w="1720"/>
            <w:vMerge w:val="restart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网络设备</w:t>
            </w:r>
          </w:p>
        </w:tc>
        <w:tc>
          <w:tcPr>
            <w:tcW w:type="dxa" w:w="1720"/>
            <w:vMerge w:val="restart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路由器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DGHW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NetEngine 8000E M14-Z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AR502H-5G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DGHW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NetEngine 8000E F8-Z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其他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AP8030DN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H3C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AFC2000-D-CN20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Fortinet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FortiGate VM64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restart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交换机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DC16808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C5735-L24T4X-QA2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S5735S-L48T4S-A2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DC16800-X16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S5735S-L48P4X-A2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DGHW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S5732-H48S6Q-Z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DC8875-24BQ8DQ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S5735S-L48T4X-A2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DC16804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DGHW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S6730-H48X6C-Z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Huaqin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DX112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DC6885-48YS8CQ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DC8855-32CQ4BQ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S5735-L48P4S-A2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DGHW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S12700E-8-Z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DC6881H-48S6CQ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S5735-L48T4S-A2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DC6865E-48S8CQ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DC16816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DC6863H-48S6CQ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S5735-L48T4X-A2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S5735S-L48P4S-A2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Huarong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S5735-L48P4X-A2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DC8865-4C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DC16800-X4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DGHW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S12700E-4-Z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DGHW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S5731-H48T4XC-Z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C6735-S48X6C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HCZG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DC16800-X8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AC控制器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AC6800V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存储设备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存储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OceanStor Pacific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</w:tr>
      <w:tr>
        <w:tc>
          <w:tcPr>
            <w:tcW w:type="dxa" w:w="1720"/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王力测试</w:t>
            </w:r>
          </w:p>
        </w:tc>
        <w:tc>
          <w:tcPr>
            <w:tcW w:type="dxa" w:w="1720"/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网络设备</w:t>
            </w:r>
          </w:p>
        </w:tc>
        <w:tc>
          <w:tcPr>
            <w:tcW w:type="dxa" w:w="1720"/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路由器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AirEngine9700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AirEngine5760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其他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S3700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CE5810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交换机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USG6565E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S5328C-EI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CE5810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1720"/>
            <w:vMerge w:val="restart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AC控制器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USG6565E</w:t>
            </w:r>
          </w:p>
        </w:tc>
        <w:tc>
          <w:tcPr>
            <w:tcW w:type="dxa" w:w="1718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  <w:tr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vMerge w:val="continue"/>
            <w:shd w:color="auto" w:val="clear" w:fill="FFFFFF"/>
          </w:tcPr>
          <w:p>
            <w:pPr>
              <w:spacing w:after="0"/>
            </w:pP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Huawei</w:t>
            </w:r>
          </w:p>
        </w:tc>
        <w:tc>
          <w:tcPr>
            <w:tcW w:type="dxa" w:w="172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S5720</w:t>
            </w:r>
          </w:p>
        </w:tc>
        <w:tc>
          <w:tcPr>
            <w:tcW w:type="dxa" w:w="1718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</w:tr>
    </w:tbl>
    <w:p>
      <w:pPr>
        <w:spacing w:after="60"/>
      </w:pPr>
    </w:p>
    <w:p>
      <w:pPr>
        <w:pStyle w:val="Heading2"/>
        <w:spacing w:before="240" w:after="180"/>
        <w:jc w:val="left"/>
        <w:outlineLvl w:val="1"/>
      </w:pPr>
      <w:bookmarkStart w:name="rs_219390c6_ce39aea3" w:id="3"/>
      <w:r>
        <w:rPr>
          <w:b w:val="on"/>
          <w:rFonts w:ascii="Source Sans 3" w:hAnsi="Source Sans 3" w:cs="Source Sans 3" w:eastAsia="Source Sans 3"/>
          <w:color w:val="1F2937"/>
          <w:sz w:val="28"/>
        </w:rPr>
        <w:t>1.2 评估结果</w:t>
      </w:r>
      <w:bookmarkEnd w:id="3"/>
    </w:p>
    <w:p>
      <w:pPr>
        <w:spacing w:before="0" w:after="120"/>
      </w:pPr>
      <w:r>
        <w:rPr>
          <w:rFonts w:ascii="Source Sans 3" w:hAnsi="Source Sans 3" w:cs="Source Sans 3" w:eastAsia="Source Sans 3"/>
          <w:color w:val="1F2937"/>
          <w:sz w:val="22"/>
        </w:rPr>
        <w:t>本次评估未发现风险问题，所有站点运行正常。</w:t>
      </w:r>
    </w:p>
    <w:sectPr>
      <w:headerReference w:type="default" r:id="rId3"/>
      <w:footerReference w:type="default" r:id="rId4"/>
      <w:pgSz w:w="11906" w:h="16838"/>
      <w:pgMar w:top="794" w:bottom="794" w:left="794" w:right="794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ChatBI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王力安防科技健康评估报告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1" w:type="paragraph">
    <w:name w:val="heading 1"/>
    <w:basedOn w:val="Normal"/>
    <w:next w:val="Normal"/>
    <w:uiPriority w:val="10"/>
    <w:qFormat/>
    <w:pPr>
      <w:spacing w:before="360" w:after="160"/>
      <w:outlineLvl w:val="0"/>
    </w:pPr>
    <w:rPr>
      <w:b/>
      <w:color w:val="1F2937"/>
      <w:rFonts w:ascii="Source Sans 3" w:eastAsia="Source Sans 3"/>
      <w:sz w:val="36"/>
    </w:rPr>
  </w:style>
  <w:style w:styleId="Heading2" w:type="paragraph">
    <w:name w:val="heading 2"/>
    <w:basedOn w:val="Normal"/>
    <w:next w:val="Normal"/>
    <w:uiPriority w:val="11"/>
    <w:qFormat/>
    <w:pPr>
      <w:spacing w:before="240" w:after="120"/>
      <w:outlineLvl w:val="1"/>
    </w:pPr>
    <w:rPr>
      <w:b/>
      <w:color w:val="1F2937"/>
      <w:rFonts w:ascii="Source Sans 3" w:eastAsia="Source Sans 3"/>
      <w:sz w:val="32"/>
    </w:rPr>
  </w:style>
  <w:style w:styleId="Heading3" w:type="paragraph">
    <w:name w:val="heading 3"/>
    <w:basedOn w:val="Normal"/>
    <w:next w:val="Normal"/>
    <w:uiPriority w:val="12"/>
    <w:qFormat/>
    <w:pPr>
      <w:spacing w:before="240" w:after="120"/>
      <w:outlineLvl w:val="2"/>
    </w:pPr>
    <w:rPr>
      <w:b/>
      <w:color w:val="1F2937"/>
      <w:rFonts w:ascii="Source Sans 3" w:eastAsia="Source Sans 3"/>
      <w:sz w:val="28"/>
    </w:rPr>
  </w:style>
  <w:style w:styleId="Heading4" w:type="paragraph">
    <w:name w:val="heading 4"/>
    <w:basedOn w:val="Normal"/>
    <w:next w:val="Normal"/>
    <w:uiPriority w:val="24"/>
    <w:qFormat/>
    <w:pPr>
      <w:spacing w:before="240" w:after="120"/>
      <w:outlineLvl w:val="3"/>
    </w:pPr>
    <w:rPr>
      <w:b/>
      <w:color w:val="1F2937"/>
      <w:rFonts w:ascii="Source Sans 3" w:eastAsia="Source Sans 3"/>
      <w:sz w:val="28"/>
    </w:rPr>
  </w:style>
  <w:style w:styleId="Heading5" w:type="paragraph">
    <w:name w:val="heading 5"/>
    <w:basedOn w:val="Normal"/>
    <w:next w:val="Normal"/>
    <w:uiPriority w:val="25"/>
    <w:qFormat/>
    <w:pPr>
      <w:spacing w:before="240" w:after="120"/>
      <w:outlineLvl w:val="4"/>
    </w:pPr>
    <w:rPr>
      <w:b/>
      <w:color w:val="1F2937"/>
      <w:rFonts w:ascii="Source Sans 3" w:eastAsia="Source Sans 3"/>
      <w:sz w:val="28"/>
    </w:rPr>
  </w:style>
  <w:style w:styleId="Heading6" w:type="paragraph">
    <w:name w:val="heading 6"/>
    <w:basedOn w:val="Normal"/>
    <w:next w:val="Normal"/>
    <w:uiPriority w:val="26"/>
    <w:qFormat/>
    <w:pPr>
      <w:spacing w:before="240" w:after="120"/>
      <w:outlineLvl w:val="5"/>
    </w:pPr>
    <w:rPr>
      <w:b/>
      <w:color w:val="1F2937"/>
      <w:rFonts w:ascii="Source Sans 3" w:eastAsia="Source Sans 3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2026-06-30T09:02:41Z</dcterms:created>
  <dc:creator>Apache POI</dc:creator>
</cp:coreProperties>
</file>