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AA" w:rsidRPr="000C24AA" w:rsidRDefault="000C24AA" w:rsidP="000C24AA">
      <w:pPr>
        <w:pStyle w:val="Title"/>
        <w:jc w:val="center"/>
        <w:rPr>
          <w:sz w:val="44"/>
        </w:rPr>
      </w:pPr>
      <w:r w:rsidRPr="000C24AA">
        <w:rPr>
          <w:sz w:val="44"/>
        </w:rPr>
        <w:t>PRNU modeling and correction using on-board LED</w:t>
      </w:r>
      <w:r w:rsidR="00BF5E5E">
        <w:rPr>
          <w:sz w:val="44"/>
        </w:rPr>
        <w:t>s</w:t>
      </w:r>
      <w:r w:rsidRPr="000C24AA">
        <w:rPr>
          <w:sz w:val="44"/>
        </w:rPr>
        <w:t xml:space="preserve"> during SUIT PV Phase</w:t>
      </w:r>
    </w:p>
    <w:p w:rsidR="001270C7" w:rsidRPr="008900FC" w:rsidRDefault="001270C7" w:rsidP="008900FC">
      <w:pPr>
        <w:pStyle w:val="Heading1"/>
      </w:pPr>
      <w:r w:rsidRPr="008900FC">
        <w:t>Methodology</w:t>
      </w:r>
    </w:p>
    <w:p w:rsidR="00461541" w:rsidRDefault="00624D88">
      <w:r>
        <w:t xml:space="preserve">Please refer to the appendix for detailed explanation of PRNU </w:t>
      </w:r>
      <w:r w:rsidR="008900FC">
        <w:t>modeling</w:t>
      </w:r>
      <w:r>
        <w:t xml:space="preserve"> methodology and validation of the process.</w:t>
      </w:r>
    </w:p>
    <w:p w:rsidR="00624D88" w:rsidRPr="008900FC" w:rsidRDefault="00624D88" w:rsidP="008900FC">
      <w:pPr>
        <w:pStyle w:val="Heading3"/>
      </w:pPr>
      <w:r w:rsidRPr="008900FC">
        <w:t>Test results from PV phase data-</w:t>
      </w:r>
    </w:p>
    <w:p w:rsidR="00624D88" w:rsidRDefault="00624D88">
      <w:r>
        <w:t>Recorded LED data includes single LED and 4 LED images. PRNU modeling is done with 4 LED images for 255 and 355 nm. 20 images are recorded for 4 main and 4 redundant set of LEDs for each of the two wavelengths. The table below summarizes the number of frames available for PRNU estimation.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24D88" w:rsidTr="00624D88">
        <w:tc>
          <w:tcPr>
            <w:tcW w:w="3192" w:type="dxa"/>
          </w:tcPr>
          <w:p w:rsidR="00624D88" w:rsidRPr="008900FC" w:rsidRDefault="008900FC">
            <w:pPr>
              <w:rPr>
                <w:b/>
              </w:rPr>
            </w:pPr>
            <w:r w:rsidRPr="008900FC">
              <w:rPr>
                <w:b/>
              </w:rPr>
              <w:t>Wavelength</w:t>
            </w:r>
          </w:p>
        </w:tc>
        <w:tc>
          <w:tcPr>
            <w:tcW w:w="3192" w:type="dxa"/>
          </w:tcPr>
          <w:p w:rsidR="00624D88" w:rsidRPr="00CC323B" w:rsidRDefault="00624D88">
            <w:pPr>
              <w:rPr>
                <w:b/>
              </w:rPr>
            </w:pPr>
            <w:r w:rsidRPr="00CC323B">
              <w:rPr>
                <w:b/>
              </w:rPr>
              <w:t>Main Set (4 LEDs)</w:t>
            </w:r>
          </w:p>
        </w:tc>
        <w:tc>
          <w:tcPr>
            <w:tcW w:w="3192" w:type="dxa"/>
          </w:tcPr>
          <w:p w:rsidR="00624D88" w:rsidRPr="00CC323B" w:rsidRDefault="00624D88">
            <w:pPr>
              <w:rPr>
                <w:b/>
              </w:rPr>
            </w:pPr>
            <w:r w:rsidRPr="00CC323B">
              <w:rPr>
                <w:b/>
              </w:rPr>
              <w:t>Redundant Set (4 LEDs)</w:t>
            </w:r>
          </w:p>
        </w:tc>
      </w:tr>
      <w:tr w:rsidR="00624D88" w:rsidTr="00624D88">
        <w:tc>
          <w:tcPr>
            <w:tcW w:w="3192" w:type="dxa"/>
          </w:tcPr>
          <w:p w:rsidR="00624D88" w:rsidRPr="00CC323B" w:rsidRDefault="00881C13">
            <w:pPr>
              <w:rPr>
                <w:b/>
              </w:rPr>
            </w:pPr>
            <w:r>
              <w:rPr>
                <w:b/>
              </w:rPr>
              <w:t>258</w:t>
            </w:r>
            <w:r w:rsidR="00624D88" w:rsidRPr="00CC323B">
              <w:rPr>
                <w:b/>
              </w:rPr>
              <w:t xml:space="preserve"> nm</w:t>
            </w:r>
          </w:p>
        </w:tc>
        <w:tc>
          <w:tcPr>
            <w:tcW w:w="3192" w:type="dxa"/>
          </w:tcPr>
          <w:p w:rsidR="00624D88" w:rsidRDefault="00624D88">
            <w:r>
              <w:t>20</w:t>
            </w:r>
          </w:p>
        </w:tc>
        <w:tc>
          <w:tcPr>
            <w:tcW w:w="3192" w:type="dxa"/>
          </w:tcPr>
          <w:p w:rsidR="00624D88" w:rsidRDefault="00624D88">
            <w:r>
              <w:t>20</w:t>
            </w:r>
          </w:p>
        </w:tc>
      </w:tr>
      <w:tr w:rsidR="00624D88" w:rsidTr="00624D88">
        <w:tc>
          <w:tcPr>
            <w:tcW w:w="3192" w:type="dxa"/>
          </w:tcPr>
          <w:p w:rsidR="00624D88" w:rsidRPr="00CC323B" w:rsidRDefault="00881C13">
            <w:pPr>
              <w:rPr>
                <w:b/>
              </w:rPr>
            </w:pPr>
            <w:r>
              <w:rPr>
                <w:b/>
              </w:rPr>
              <w:t>356</w:t>
            </w:r>
            <w:r w:rsidR="00624D88" w:rsidRPr="00CC323B">
              <w:rPr>
                <w:b/>
              </w:rPr>
              <w:t xml:space="preserve"> nm</w:t>
            </w:r>
          </w:p>
        </w:tc>
        <w:tc>
          <w:tcPr>
            <w:tcW w:w="3192" w:type="dxa"/>
          </w:tcPr>
          <w:p w:rsidR="00624D88" w:rsidRDefault="00624D88">
            <w:r>
              <w:t>20</w:t>
            </w:r>
          </w:p>
        </w:tc>
        <w:tc>
          <w:tcPr>
            <w:tcW w:w="3192" w:type="dxa"/>
          </w:tcPr>
          <w:p w:rsidR="00624D88" w:rsidRDefault="00624D88">
            <w:r>
              <w:t>20</w:t>
            </w:r>
          </w:p>
        </w:tc>
      </w:tr>
    </w:tbl>
    <w:p w:rsidR="00624D88" w:rsidRDefault="00624D88"/>
    <w:p w:rsidR="00A3403E" w:rsidRDefault="00A3403E">
      <w:r>
        <w:t xml:space="preserve">Bias corrected and </w:t>
      </w:r>
      <w:proofErr w:type="spellStart"/>
      <w:r>
        <w:t>underscan</w:t>
      </w:r>
      <w:proofErr w:type="spellEnd"/>
      <w:r>
        <w:t xml:space="preserve"> removed</w:t>
      </w:r>
      <w:r w:rsidR="00624D88">
        <w:t xml:space="preserve"> data products are used for the PRNU </w:t>
      </w:r>
      <w:r>
        <w:t>modeling using previously determined kernel parameters (</w:t>
      </w:r>
      <w:r w:rsidR="007B2585">
        <w:t>11px*11px for 358 nm; 13px * 13px for 256 nm. R</w:t>
      </w:r>
      <w:r>
        <w:t>efer Appendix).</w:t>
      </w:r>
    </w:p>
    <w:p w:rsidR="00624D88" w:rsidRDefault="00624D88">
      <w:r>
        <w:t>The</w:t>
      </w:r>
      <w:r w:rsidR="00A3403E">
        <w:t xml:space="preserve"> derived</w:t>
      </w:r>
      <w:r>
        <w:t xml:space="preserve"> PRNU model is divided from one of the LED images and the normalized standard deviation within several </w:t>
      </w:r>
      <w:r w:rsidR="007B2585">
        <w:t>25*</w:t>
      </w:r>
      <w:r>
        <w:t xml:space="preserve">25 </w:t>
      </w:r>
      <w:proofErr w:type="spellStart"/>
      <w:proofErr w:type="gramStart"/>
      <w:r w:rsidR="008900FC">
        <w:t>px</w:t>
      </w:r>
      <w:proofErr w:type="spellEnd"/>
      <w:proofErr w:type="gramEnd"/>
      <w:r w:rsidR="008900FC">
        <w:t xml:space="preserve"> </w:t>
      </w:r>
      <w:r>
        <w:t>boxes are computed</w:t>
      </w:r>
      <w:r w:rsidR="007B2585">
        <w:t xml:space="preserve"> at various locations on the image</w:t>
      </w:r>
      <w:r>
        <w:t>. These boxes are chosen in areas where the illumination is fairly constant throughout the box.</w:t>
      </w:r>
      <w:r w:rsidR="007B2585">
        <w:t xml:space="preserve"> </w:t>
      </w:r>
      <w:r>
        <w:t>The same is done for the single uncorrected image, as well as the PRNU model.</w:t>
      </w:r>
    </w:p>
    <w:p w:rsidR="00624D88" w:rsidRDefault="00624D88">
      <w:r>
        <w:t xml:space="preserve">The noise in </w:t>
      </w:r>
      <w:r w:rsidR="007B2585">
        <w:t>a</w:t>
      </w:r>
      <w:r>
        <w:t xml:space="preserve"> single uncorrected image has the contributions from </w:t>
      </w:r>
      <w:r w:rsidR="00F0066C">
        <w:t>Poisson noise, read noise and PRNU. This is given by the standard deviation of the counts within the box</w:t>
      </w:r>
      <w:r w:rsidR="007B2585">
        <w:t>,</w:t>
      </w:r>
      <w:r w:rsidR="00F0066C">
        <w:t xml:space="preserve"> normalized by diving with the mean value within the box.</w:t>
      </w:r>
    </w:p>
    <w:p w:rsidR="00F0066C" w:rsidRDefault="007C59B7" w:rsidP="00E963AD">
      <w:pPr>
        <w:jc w:val="center"/>
      </w:pPr>
      <w:r>
        <w:t>Noise</w:t>
      </w:r>
      <w:r w:rsidR="00C1577C" w:rsidRPr="00C1577C">
        <w:rPr>
          <w:vertAlign w:val="superscript"/>
        </w:rPr>
        <w:t>2</w:t>
      </w:r>
      <w:r>
        <w:rPr>
          <w:vertAlign w:val="subscript"/>
        </w:rPr>
        <w:t>s</w:t>
      </w:r>
      <w:r w:rsidR="00095F01" w:rsidRPr="00095F01">
        <w:rPr>
          <w:vertAlign w:val="subscript"/>
        </w:rPr>
        <w:t>ingle</w:t>
      </w:r>
      <w:r w:rsidR="00F0066C">
        <w:t xml:space="preserve">= </w:t>
      </w:r>
      <w:r w:rsidR="00C1577C">
        <w:t>(</w:t>
      </w:r>
      <w:r w:rsidR="008900FC">
        <w:t>Poisson</w:t>
      </w:r>
      <w:r w:rsidR="00F0066C">
        <w:t xml:space="preserve"> noise</w:t>
      </w:r>
      <w:proofErr w:type="gramStart"/>
      <w:r w:rsidR="00C1577C">
        <w:t>)</w:t>
      </w:r>
      <w:r w:rsidR="00C1577C" w:rsidRPr="00C1577C">
        <w:rPr>
          <w:vertAlign w:val="superscript"/>
        </w:rPr>
        <w:t>2</w:t>
      </w:r>
      <w:proofErr w:type="gramEnd"/>
      <w:r w:rsidR="00C1577C">
        <w:t xml:space="preserve"> </w:t>
      </w:r>
      <w:r w:rsidR="00F0066C">
        <w:t>+</w:t>
      </w:r>
      <w:r w:rsidR="00C1577C">
        <w:t xml:space="preserve"> (</w:t>
      </w:r>
      <w:r w:rsidR="00F0066C">
        <w:t>Read Noise</w:t>
      </w:r>
      <w:r w:rsidR="00C1577C">
        <w:t>)</w:t>
      </w:r>
      <w:r w:rsidR="00C1577C" w:rsidRPr="00C1577C">
        <w:rPr>
          <w:vertAlign w:val="superscript"/>
        </w:rPr>
        <w:t>2</w:t>
      </w:r>
      <w:r w:rsidR="00C1577C">
        <w:t xml:space="preserve"> </w:t>
      </w:r>
      <w:r w:rsidR="00F0066C">
        <w:t>+</w:t>
      </w:r>
      <w:r w:rsidR="00C1577C">
        <w:t xml:space="preserve"> (</w:t>
      </w:r>
      <w:r w:rsidR="00F0066C">
        <w:t>PRNU</w:t>
      </w:r>
      <w:r w:rsidR="00C1577C">
        <w:t>)</w:t>
      </w:r>
      <w:r w:rsidR="00C1577C" w:rsidRPr="00C1577C">
        <w:rPr>
          <w:vertAlign w:val="superscript"/>
        </w:rPr>
        <w:t>2</w:t>
      </w:r>
    </w:p>
    <w:p w:rsidR="003317EC" w:rsidRDefault="003317EC" w:rsidP="009A1CF7">
      <w:r>
        <w:t xml:space="preserve">The corrected image is created by dividing </w:t>
      </w:r>
      <w:r w:rsidR="007B2585">
        <w:t>a</w:t>
      </w:r>
      <w:r>
        <w:t xml:space="preserve"> single LED image with the PRNU model. The normalized </w:t>
      </w:r>
      <w:r w:rsidR="007B2585">
        <w:t>standard deviation</w:t>
      </w:r>
      <w:r>
        <w:t xml:space="preserve"> within 25px * 25px box in the corrected image gives the </w:t>
      </w:r>
      <w:r w:rsidR="009A1CF7">
        <w:t>residual flat field error</w:t>
      </w:r>
      <w:r w:rsidR="007C59B7">
        <w:t xml:space="preserve"> (Residual </w:t>
      </w:r>
      <w:r w:rsidR="007C59B7" w:rsidRPr="007C59B7">
        <w:rPr>
          <w:vertAlign w:val="subscript"/>
        </w:rPr>
        <w:t>measured</w:t>
      </w:r>
      <w:r w:rsidR="007C59B7">
        <w:t>)</w:t>
      </w:r>
      <w:r>
        <w:t xml:space="preserve">. This </w:t>
      </w:r>
      <w:r w:rsidR="009A1CF7">
        <w:t xml:space="preserve">is computed </w:t>
      </w:r>
      <w:r>
        <w:t xml:space="preserve">by finding the standard deviation of the counts within the box and normalized by diving with the mean value within the box. </w:t>
      </w:r>
    </w:p>
    <w:p w:rsidR="00E963AD" w:rsidRDefault="003317EC" w:rsidP="003317EC">
      <w:r>
        <w:t>Logically, this value should be similar to the (Noise</w:t>
      </w:r>
      <w:proofErr w:type="gramStart"/>
      <w:r>
        <w:t>)</w:t>
      </w:r>
      <w:r w:rsidRPr="00C1577C">
        <w:rPr>
          <w:vertAlign w:val="superscript"/>
        </w:rPr>
        <w:t>2</w:t>
      </w:r>
      <w:r w:rsidR="007C59B7">
        <w:rPr>
          <w:vertAlign w:val="subscript"/>
        </w:rPr>
        <w:t>s</w:t>
      </w:r>
      <w:r w:rsidRPr="00095F01">
        <w:rPr>
          <w:vertAlign w:val="subscript"/>
        </w:rPr>
        <w:t>ingle</w:t>
      </w:r>
      <w:proofErr w:type="gramEnd"/>
      <w:r>
        <w:t xml:space="preserve"> within the box when the PRNU c</w:t>
      </w:r>
      <w:r w:rsidR="00E963AD">
        <w:t xml:space="preserve">ontribution is </w:t>
      </w:r>
      <w:r w:rsidR="00F64458">
        <w:t xml:space="preserve">arithmetically </w:t>
      </w:r>
      <w:r w:rsidR="00E963AD">
        <w:t>removed</w:t>
      </w:r>
      <w:r w:rsidR="00F64458">
        <w:t xml:space="preserve"> from it</w:t>
      </w:r>
      <w:r w:rsidR="00E963AD">
        <w:t xml:space="preserve"> as such</w:t>
      </w:r>
      <w:r w:rsidR="00E60320">
        <w:t>, giving us the estimated residual (</w:t>
      </w:r>
      <w:proofErr w:type="spellStart"/>
      <w:r w:rsidR="00E60320">
        <w:t>Residual</w:t>
      </w:r>
      <w:r w:rsidR="00E60320">
        <w:rPr>
          <w:vertAlign w:val="subscript"/>
        </w:rPr>
        <w:t>estimate</w:t>
      </w:r>
      <w:proofErr w:type="spellEnd"/>
      <w:r w:rsidR="00E60320">
        <w:t>)</w:t>
      </w:r>
      <w:r w:rsidR="00F64458">
        <w:t>-</w:t>
      </w:r>
    </w:p>
    <w:p w:rsidR="003317EC" w:rsidRDefault="00E963AD" w:rsidP="00E963AD">
      <w:pPr>
        <w:jc w:val="center"/>
      </w:pPr>
      <w:r>
        <w:t>Residual</w:t>
      </w:r>
      <w:r w:rsidRPr="00E963AD">
        <w:rPr>
          <w:vertAlign w:val="superscript"/>
        </w:rPr>
        <w:t>2</w:t>
      </w:r>
      <w:r>
        <w:rPr>
          <w:vertAlign w:val="subscript"/>
        </w:rPr>
        <w:t>estimate</w:t>
      </w:r>
      <w:r w:rsidR="007C59B7">
        <w:rPr>
          <w:vertAlign w:val="subscript"/>
        </w:rPr>
        <w:t xml:space="preserve"> </w:t>
      </w:r>
      <w:r w:rsidRPr="00E963AD">
        <w:t>=</w:t>
      </w:r>
      <w:r w:rsidR="007C59B7">
        <w:t xml:space="preserve"> Noise</w:t>
      </w:r>
      <w:r w:rsidR="003317EC" w:rsidRPr="00C1577C">
        <w:rPr>
          <w:vertAlign w:val="superscript"/>
        </w:rPr>
        <w:t>2</w:t>
      </w:r>
      <w:r w:rsidR="003317EC" w:rsidRPr="00095F01">
        <w:rPr>
          <w:vertAlign w:val="subscript"/>
        </w:rPr>
        <w:t>Single Image</w:t>
      </w:r>
      <w:r w:rsidR="003317EC" w:rsidRPr="008900FC">
        <w:t>-</w:t>
      </w:r>
      <w:r w:rsidR="007C59B7">
        <w:t xml:space="preserve"> </w:t>
      </w:r>
      <w:r w:rsidR="003317EC">
        <w:t>PRNU</w:t>
      </w:r>
      <w:r w:rsidR="003317EC" w:rsidRPr="00C1577C">
        <w:rPr>
          <w:vertAlign w:val="superscript"/>
        </w:rPr>
        <w:t>2</w:t>
      </w:r>
    </w:p>
    <w:p w:rsidR="00BF5E5E" w:rsidRDefault="00BF5E5E" w:rsidP="00BF5E5E">
      <w:r>
        <w:t>The practically measured residual flat field error should match the arithmetically estimated value. This signifies the flat fielding methodology is working effectively and can help us get reliable photometry.</w:t>
      </w:r>
    </w:p>
    <w:p w:rsidR="00E963AD" w:rsidRDefault="00E963AD" w:rsidP="00E963AD">
      <w:pPr>
        <w:pStyle w:val="Heading1"/>
      </w:pPr>
      <w:r>
        <w:lastRenderedPageBreak/>
        <w:t>Results</w:t>
      </w:r>
    </w:p>
    <w:p w:rsidR="0043404C" w:rsidRDefault="009A1CF7">
      <w:r>
        <w:t>The results are tabulated below-</w:t>
      </w:r>
    </w:p>
    <w:tbl>
      <w:tblPr>
        <w:tblStyle w:val="TableGrid"/>
        <w:tblW w:w="0" w:type="auto"/>
        <w:tblLook w:val="04A0"/>
      </w:tblPr>
      <w:tblGrid>
        <w:gridCol w:w="1709"/>
        <w:gridCol w:w="975"/>
        <w:gridCol w:w="975"/>
        <w:gridCol w:w="991"/>
        <w:gridCol w:w="992"/>
        <w:gridCol w:w="975"/>
        <w:gridCol w:w="975"/>
        <w:gridCol w:w="992"/>
        <w:gridCol w:w="992"/>
      </w:tblGrid>
      <w:tr w:rsidR="009666B7" w:rsidTr="00AA00B9">
        <w:tc>
          <w:tcPr>
            <w:tcW w:w="1709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9666B7" w:rsidRDefault="009666B7"/>
        </w:tc>
        <w:tc>
          <w:tcPr>
            <w:tcW w:w="195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666B7" w:rsidRPr="00B828DC" w:rsidRDefault="009666B7" w:rsidP="009666B7">
            <w:pPr>
              <w:jc w:val="center"/>
              <w:rPr>
                <w:b/>
              </w:rPr>
            </w:pPr>
            <w:r w:rsidRPr="00B828DC">
              <w:rPr>
                <w:b/>
              </w:rPr>
              <w:t>3</w:t>
            </w:r>
            <w:r w:rsidR="00881C13">
              <w:rPr>
                <w:b/>
              </w:rPr>
              <w:t>56</w:t>
            </w:r>
            <w:r w:rsidR="003503FA">
              <w:rPr>
                <w:b/>
              </w:rPr>
              <w:t xml:space="preserve"> </w:t>
            </w:r>
            <w:r>
              <w:rPr>
                <w:b/>
              </w:rPr>
              <w:t>nm main</w:t>
            </w:r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666B7" w:rsidRPr="00B828DC" w:rsidRDefault="00881C13" w:rsidP="009666B7">
            <w:pPr>
              <w:jc w:val="center"/>
              <w:rPr>
                <w:b/>
              </w:rPr>
            </w:pPr>
            <w:r>
              <w:rPr>
                <w:b/>
              </w:rPr>
              <w:t>356</w:t>
            </w:r>
            <w:r w:rsidR="009666B7">
              <w:rPr>
                <w:b/>
              </w:rPr>
              <w:t xml:space="preserve"> nm </w:t>
            </w:r>
            <w:proofErr w:type="spellStart"/>
            <w:r w:rsidR="009666B7">
              <w:rPr>
                <w:b/>
              </w:rPr>
              <w:t>redt</w:t>
            </w:r>
            <w:proofErr w:type="spellEnd"/>
          </w:p>
        </w:tc>
        <w:tc>
          <w:tcPr>
            <w:tcW w:w="195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666B7" w:rsidRPr="00B828DC" w:rsidRDefault="00881C13" w:rsidP="00881C13">
            <w:pPr>
              <w:jc w:val="center"/>
              <w:rPr>
                <w:b/>
              </w:rPr>
            </w:pPr>
            <w:r>
              <w:rPr>
                <w:b/>
              </w:rPr>
              <w:t xml:space="preserve">258 </w:t>
            </w:r>
            <w:r w:rsidR="009666B7">
              <w:rPr>
                <w:b/>
              </w:rPr>
              <w:t>nm main</w:t>
            </w:r>
          </w:p>
        </w:tc>
        <w:tc>
          <w:tcPr>
            <w:tcW w:w="1984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666B7" w:rsidRPr="00B828DC" w:rsidRDefault="009666B7" w:rsidP="00881C1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B828DC">
              <w:rPr>
                <w:b/>
              </w:rPr>
              <w:t>5</w:t>
            </w:r>
            <w:r w:rsidR="00881C13">
              <w:rPr>
                <w:b/>
              </w:rPr>
              <w:t>8</w:t>
            </w:r>
            <w:r>
              <w:rPr>
                <w:b/>
              </w:rPr>
              <w:t xml:space="preserve"> nm </w:t>
            </w:r>
            <w:proofErr w:type="spellStart"/>
            <w:r>
              <w:rPr>
                <w:b/>
              </w:rPr>
              <w:t>redt</w:t>
            </w:r>
            <w:proofErr w:type="spellEnd"/>
          </w:p>
        </w:tc>
      </w:tr>
      <w:tr w:rsidR="00360E2D" w:rsidTr="00AA00B9">
        <w:trPr>
          <w:trHeight w:val="359"/>
        </w:trPr>
        <w:tc>
          <w:tcPr>
            <w:tcW w:w="1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0E2D" w:rsidRPr="00B828DC" w:rsidRDefault="00AA00B9" w:rsidP="009A1581">
            <w:pPr>
              <w:rPr>
                <w:b/>
              </w:rPr>
            </w:pPr>
            <w:r>
              <w:rPr>
                <w:b/>
              </w:rPr>
              <w:t xml:space="preserve">(25 * 25) </w:t>
            </w:r>
            <w:proofErr w:type="spellStart"/>
            <w:r>
              <w:rPr>
                <w:b/>
              </w:rPr>
              <w:t>px</w:t>
            </w:r>
            <w:proofErr w:type="spellEnd"/>
            <w:r>
              <w:rPr>
                <w:b/>
              </w:rPr>
              <w:t xml:space="preserve"> box attributes</w:t>
            </w:r>
          </w:p>
        </w:tc>
        <w:tc>
          <w:tcPr>
            <w:tcW w:w="9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60E2D" w:rsidRDefault="00360E2D" w:rsidP="00AA00B9">
            <w:pPr>
              <w:jc w:val="center"/>
              <w:rPr>
                <w:b/>
              </w:rPr>
            </w:pPr>
            <w:r w:rsidRPr="00B828DC">
              <w:rPr>
                <w:b/>
              </w:rPr>
              <w:t>Loc 1</w:t>
            </w:r>
          </w:p>
          <w:p w:rsidR="00360E2D" w:rsidRPr="00B828DC" w:rsidRDefault="00360E2D" w:rsidP="00AA00B9">
            <w:pPr>
              <w:jc w:val="center"/>
              <w:rPr>
                <w:b/>
              </w:rPr>
            </w:pPr>
          </w:p>
        </w:tc>
        <w:tc>
          <w:tcPr>
            <w:tcW w:w="975" w:type="dxa"/>
            <w:tcBorders>
              <w:top w:val="double" w:sz="4" w:space="0" w:color="auto"/>
              <w:bottom w:val="double" w:sz="4" w:space="0" w:color="auto"/>
            </w:tcBorders>
          </w:tcPr>
          <w:p w:rsidR="00360E2D" w:rsidRDefault="00360E2D" w:rsidP="00AA00B9">
            <w:pPr>
              <w:jc w:val="center"/>
              <w:rPr>
                <w:b/>
              </w:rPr>
            </w:pPr>
            <w:r w:rsidRPr="00B828DC">
              <w:rPr>
                <w:b/>
              </w:rPr>
              <w:t>Loc 2</w:t>
            </w:r>
          </w:p>
          <w:p w:rsidR="00360E2D" w:rsidRPr="00B828DC" w:rsidRDefault="00360E2D" w:rsidP="00AA00B9">
            <w:pPr>
              <w:jc w:val="center"/>
              <w:rPr>
                <w:b/>
              </w:rPr>
            </w:pPr>
          </w:p>
        </w:tc>
        <w:tc>
          <w:tcPr>
            <w:tcW w:w="991" w:type="dxa"/>
            <w:tcBorders>
              <w:top w:val="double" w:sz="4" w:space="0" w:color="auto"/>
              <w:bottom w:val="double" w:sz="4" w:space="0" w:color="auto"/>
            </w:tcBorders>
          </w:tcPr>
          <w:p w:rsidR="00360E2D" w:rsidRDefault="00360E2D" w:rsidP="00AA00B9">
            <w:pPr>
              <w:jc w:val="center"/>
              <w:rPr>
                <w:b/>
              </w:rPr>
            </w:pPr>
            <w:r w:rsidRPr="00B828DC">
              <w:rPr>
                <w:b/>
              </w:rPr>
              <w:t>Loc 1</w:t>
            </w:r>
          </w:p>
          <w:p w:rsidR="00360E2D" w:rsidRPr="00B828DC" w:rsidRDefault="00360E2D" w:rsidP="00AA00B9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0E2D" w:rsidRDefault="00360E2D" w:rsidP="00AA00B9">
            <w:pPr>
              <w:jc w:val="center"/>
              <w:rPr>
                <w:b/>
              </w:rPr>
            </w:pPr>
            <w:r w:rsidRPr="00B828DC">
              <w:rPr>
                <w:b/>
              </w:rPr>
              <w:t>Loc 2</w:t>
            </w:r>
          </w:p>
          <w:p w:rsidR="00360E2D" w:rsidRPr="00B828DC" w:rsidRDefault="00360E2D" w:rsidP="00AA00B9">
            <w:pPr>
              <w:jc w:val="center"/>
              <w:rPr>
                <w:b/>
              </w:rPr>
            </w:pPr>
          </w:p>
        </w:tc>
        <w:tc>
          <w:tcPr>
            <w:tcW w:w="9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60E2D" w:rsidRDefault="00360E2D" w:rsidP="00AA00B9">
            <w:pPr>
              <w:jc w:val="center"/>
              <w:rPr>
                <w:b/>
              </w:rPr>
            </w:pPr>
            <w:r w:rsidRPr="00B828DC">
              <w:rPr>
                <w:b/>
              </w:rPr>
              <w:t>Loc 1</w:t>
            </w:r>
          </w:p>
          <w:p w:rsidR="00360E2D" w:rsidRPr="00B828DC" w:rsidRDefault="00360E2D" w:rsidP="00AA00B9">
            <w:pPr>
              <w:jc w:val="center"/>
              <w:rPr>
                <w:b/>
              </w:rPr>
            </w:pPr>
          </w:p>
        </w:tc>
        <w:tc>
          <w:tcPr>
            <w:tcW w:w="975" w:type="dxa"/>
            <w:tcBorders>
              <w:top w:val="double" w:sz="4" w:space="0" w:color="auto"/>
              <w:bottom w:val="double" w:sz="4" w:space="0" w:color="auto"/>
            </w:tcBorders>
          </w:tcPr>
          <w:p w:rsidR="00360E2D" w:rsidRDefault="00360E2D" w:rsidP="00AA00B9">
            <w:pPr>
              <w:jc w:val="center"/>
              <w:rPr>
                <w:b/>
              </w:rPr>
            </w:pPr>
            <w:r w:rsidRPr="00B828DC">
              <w:rPr>
                <w:b/>
              </w:rPr>
              <w:t>Loc 2</w:t>
            </w:r>
          </w:p>
          <w:p w:rsidR="00C87E43" w:rsidRPr="00B828DC" w:rsidRDefault="00C87E43" w:rsidP="00AA00B9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:rsidR="00360E2D" w:rsidRDefault="00360E2D" w:rsidP="00AA00B9">
            <w:pPr>
              <w:jc w:val="center"/>
              <w:rPr>
                <w:b/>
              </w:rPr>
            </w:pPr>
            <w:r w:rsidRPr="00B828DC">
              <w:rPr>
                <w:b/>
              </w:rPr>
              <w:t>Loc 1</w:t>
            </w:r>
          </w:p>
          <w:p w:rsidR="00360E2D" w:rsidRPr="00B828DC" w:rsidRDefault="00360E2D" w:rsidP="00AA00B9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0E2D" w:rsidRDefault="00360E2D" w:rsidP="00AA00B9">
            <w:pPr>
              <w:jc w:val="center"/>
              <w:rPr>
                <w:b/>
              </w:rPr>
            </w:pPr>
            <w:r w:rsidRPr="00B828DC">
              <w:rPr>
                <w:b/>
              </w:rPr>
              <w:t>Loc 2</w:t>
            </w:r>
          </w:p>
          <w:p w:rsidR="00360E2D" w:rsidRPr="00B828DC" w:rsidRDefault="00360E2D" w:rsidP="00AA00B9">
            <w:pPr>
              <w:jc w:val="center"/>
              <w:rPr>
                <w:b/>
              </w:rPr>
            </w:pPr>
          </w:p>
        </w:tc>
      </w:tr>
      <w:tr w:rsidR="009666B7" w:rsidTr="00AA00B9">
        <w:tc>
          <w:tcPr>
            <w:tcW w:w="1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666B7" w:rsidRPr="00B828DC" w:rsidRDefault="009666B7" w:rsidP="00985A79">
            <w:pPr>
              <w:rPr>
                <w:b/>
              </w:rPr>
            </w:pPr>
            <w:r>
              <w:rPr>
                <w:b/>
              </w:rPr>
              <w:t>Mean count</w:t>
            </w:r>
            <w:r w:rsidR="00985A79">
              <w:rPr>
                <w:b/>
              </w:rPr>
              <w:t xml:space="preserve"> inside box</w:t>
            </w:r>
          </w:p>
        </w:tc>
        <w:tc>
          <w:tcPr>
            <w:tcW w:w="975" w:type="dxa"/>
            <w:tcBorders>
              <w:top w:val="double" w:sz="4" w:space="0" w:color="auto"/>
              <w:left w:val="double" w:sz="4" w:space="0" w:color="auto"/>
            </w:tcBorders>
          </w:tcPr>
          <w:p w:rsidR="009666B7" w:rsidRPr="00AA00B9" w:rsidRDefault="009666B7" w:rsidP="00AA00B9">
            <w:pPr>
              <w:jc w:val="center"/>
            </w:pPr>
            <w:r w:rsidRPr="00AA00B9">
              <w:t>33853</w:t>
            </w:r>
          </w:p>
        </w:tc>
        <w:tc>
          <w:tcPr>
            <w:tcW w:w="975" w:type="dxa"/>
            <w:tcBorders>
              <w:top w:val="double" w:sz="4" w:space="0" w:color="auto"/>
            </w:tcBorders>
          </w:tcPr>
          <w:p w:rsidR="009666B7" w:rsidRPr="00AA00B9" w:rsidRDefault="009666B7" w:rsidP="00AA00B9">
            <w:pPr>
              <w:jc w:val="center"/>
            </w:pPr>
            <w:r w:rsidRPr="00AA00B9">
              <w:t>47214</w:t>
            </w:r>
          </w:p>
        </w:tc>
        <w:tc>
          <w:tcPr>
            <w:tcW w:w="991" w:type="dxa"/>
            <w:tcBorders>
              <w:top w:val="double" w:sz="4" w:space="0" w:color="auto"/>
            </w:tcBorders>
          </w:tcPr>
          <w:p w:rsidR="009666B7" w:rsidRPr="00AA00B9" w:rsidRDefault="009666B7" w:rsidP="00AA00B9">
            <w:pPr>
              <w:jc w:val="center"/>
            </w:pPr>
            <w:r w:rsidRPr="00AA00B9">
              <w:t>39020</w:t>
            </w:r>
          </w:p>
        </w:tc>
        <w:tc>
          <w:tcPr>
            <w:tcW w:w="992" w:type="dxa"/>
            <w:tcBorders>
              <w:top w:val="double" w:sz="4" w:space="0" w:color="auto"/>
              <w:right w:val="double" w:sz="4" w:space="0" w:color="auto"/>
            </w:tcBorders>
          </w:tcPr>
          <w:p w:rsidR="009666B7" w:rsidRPr="00AA00B9" w:rsidRDefault="009666B7" w:rsidP="00AA00B9">
            <w:pPr>
              <w:jc w:val="center"/>
            </w:pPr>
            <w:r w:rsidRPr="00AA00B9">
              <w:t>26967</w:t>
            </w:r>
          </w:p>
        </w:tc>
        <w:tc>
          <w:tcPr>
            <w:tcW w:w="975" w:type="dxa"/>
            <w:tcBorders>
              <w:top w:val="double" w:sz="4" w:space="0" w:color="auto"/>
              <w:left w:val="double" w:sz="4" w:space="0" w:color="auto"/>
            </w:tcBorders>
          </w:tcPr>
          <w:p w:rsidR="009666B7" w:rsidRPr="00AA00B9" w:rsidRDefault="009666B7" w:rsidP="00AA00B9">
            <w:pPr>
              <w:jc w:val="center"/>
            </w:pPr>
            <w:r w:rsidRPr="00AA00B9">
              <w:t>33091</w:t>
            </w:r>
          </w:p>
        </w:tc>
        <w:tc>
          <w:tcPr>
            <w:tcW w:w="975" w:type="dxa"/>
            <w:tcBorders>
              <w:top w:val="double" w:sz="4" w:space="0" w:color="auto"/>
            </w:tcBorders>
          </w:tcPr>
          <w:p w:rsidR="009666B7" w:rsidRPr="00AA00B9" w:rsidRDefault="009666B7" w:rsidP="00AA00B9">
            <w:pPr>
              <w:jc w:val="center"/>
            </w:pPr>
            <w:r w:rsidRPr="00AA00B9">
              <w:t>6280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9666B7" w:rsidRPr="00AA00B9" w:rsidRDefault="009666B7" w:rsidP="00AA00B9">
            <w:pPr>
              <w:jc w:val="center"/>
            </w:pPr>
            <w:r w:rsidRPr="00AA00B9">
              <w:t>29510</w:t>
            </w:r>
          </w:p>
        </w:tc>
        <w:tc>
          <w:tcPr>
            <w:tcW w:w="992" w:type="dxa"/>
            <w:tcBorders>
              <w:top w:val="double" w:sz="4" w:space="0" w:color="auto"/>
              <w:right w:val="double" w:sz="4" w:space="0" w:color="auto"/>
            </w:tcBorders>
          </w:tcPr>
          <w:p w:rsidR="009666B7" w:rsidRPr="00AA00B9" w:rsidRDefault="009666B7" w:rsidP="00AA00B9">
            <w:pPr>
              <w:jc w:val="center"/>
            </w:pPr>
            <w:r w:rsidRPr="00AA00B9">
              <w:t>4774</w:t>
            </w:r>
          </w:p>
        </w:tc>
      </w:tr>
      <w:tr w:rsidR="00360E2D" w:rsidTr="00AA00B9"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:rsidR="00360E2D" w:rsidRPr="00B828DC" w:rsidRDefault="003503FA" w:rsidP="009A1581">
            <w:pPr>
              <w:rPr>
                <w:b/>
              </w:rPr>
            </w:pPr>
            <w:proofErr w:type="spellStart"/>
            <w:r>
              <w:rPr>
                <w:b/>
              </w:rPr>
              <w:t>Normalised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</w:t>
            </w:r>
            <w:proofErr w:type="spellEnd"/>
            <w:r>
              <w:rPr>
                <w:b/>
              </w:rPr>
              <w:t xml:space="preserve"> dev</w:t>
            </w:r>
            <w:r w:rsidR="00AA00B9">
              <w:rPr>
                <w:b/>
              </w:rPr>
              <w:t xml:space="preserve"> in </w:t>
            </w:r>
            <w:r w:rsidR="00360E2D" w:rsidRPr="00B828DC">
              <w:rPr>
                <w:b/>
              </w:rPr>
              <w:t>Single image</w:t>
            </w:r>
          </w:p>
          <w:p w:rsidR="00360E2D" w:rsidRPr="00B828DC" w:rsidRDefault="00360E2D" w:rsidP="009A1581">
            <w:pPr>
              <w:rPr>
                <w:b/>
              </w:rPr>
            </w:pPr>
            <w:r w:rsidRPr="00B828DC">
              <w:rPr>
                <w:b/>
              </w:rPr>
              <w:t xml:space="preserve">(Noise </w:t>
            </w:r>
            <w:r w:rsidRPr="00B828DC">
              <w:rPr>
                <w:b/>
                <w:vertAlign w:val="subscript"/>
              </w:rPr>
              <w:t>single</w:t>
            </w:r>
            <w:r w:rsidRPr="00B828DC">
              <w:rPr>
                <w:b/>
              </w:rPr>
              <w:t>)</w:t>
            </w:r>
          </w:p>
        </w:tc>
        <w:tc>
          <w:tcPr>
            <w:tcW w:w="975" w:type="dxa"/>
            <w:tcBorders>
              <w:left w:val="double" w:sz="4" w:space="0" w:color="auto"/>
            </w:tcBorders>
          </w:tcPr>
          <w:p w:rsidR="00360E2D" w:rsidRDefault="009E244F" w:rsidP="00AA00B9">
            <w:pPr>
              <w:jc w:val="center"/>
            </w:pPr>
            <w:r w:rsidRPr="009E244F">
              <w:t>1</w:t>
            </w:r>
            <w:r>
              <w:t>.</w:t>
            </w:r>
            <w:r w:rsidRPr="009E244F">
              <w:t>02</w:t>
            </w:r>
            <w:r w:rsidR="009666B7">
              <w:t>%</w:t>
            </w:r>
          </w:p>
        </w:tc>
        <w:tc>
          <w:tcPr>
            <w:tcW w:w="975" w:type="dxa"/>
          </w:tcPr>
          <w:p w:rsidR="00360E2D" w:rsidRDefault="00360E2D" w:rsidP="00AA00B9">
            <w:pPr>
              <w:jc w:val="center"/>
            </w:pPr>
            <w:r>
              <w:t xml:space="preserve">0. </w:t>
            </w:r>
            <w:r w:rsidRPr="00D56B4D">
              <w:t>71</w:t>
            </w:r>
            <w:r w:rsidR="009666B7">
              <w:t>%</w:t>
            </w:r>
          </w:p>
        </w:tc>
        <w:tc>
          <w:tcPr>
            <w:tcW w:w="991" w:type="dxa"/>
          </w:tcPr>
          <w:p w:rsidR="00360E2D" w:rsidRDefault="00360E2D" w:rsidP="00AA00B9">
            <w:pPr>
              <w:jc w:val="center"/>
            </w:pPr>
            <w:r w:rsidRPr="00B828DC">
              <w:t>0</w:t>
            </w:r>
            <w:r>
              <w:t>.</w:t>
            </w:r>
            <w:r w:rsidRPr="00B828DC">
              <w:t>76</w:t>
            </w:r>
            <w:r w:rsidR="009666B7">
              <w:t>%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6D2443">
              <w:t>0</w:t>
            </w:r>
            <w:r>
              <w:t>.</w:t>
            </w:r>
            <w:r w:rsidRPr="006D2443">
              <w:t>99</w:t>
            </w:r>
            <w:r w:rsidR="009666B7">
              <w:t>%</w:t>
            </w:r>
          </w:p>
        </w:tc>
        <w:tc>
          <w:tcPr>
            <w:tcW w:w="975" w:type="dxa"/>
            <w:tcBorders>
              <w:left w:val="double" w:sz="4" w:space="0" w:color="auto"/>
            </w:tcBorders>
          </w:tcPr>
          <w:p w:rsidR="00360E2D" w:rsidRDefault="00C87E43" w:rsidP="00AA00B9">
            <w:pPr>
              <w:jc w:val="center"/>
            </w:pPr>
            <w:r w:rsidRPr="00C87E43">
              <w:t>1</w:t>
            </w:r>
            <w:r>
              <w:t>.</w:t>
            </w:r>
            <w:r w:rsidRPr="00C87E43">
              <w:t>82</w:t>
            </w:r>
            <w:r w:rsidR="009666B7">
              <w:t>%</w:t>
            </w:r>
          </w:p>
        </w:tc>
        <w:tc>
          <w:tcPr>
            <w:tcW w:w="975" w:type="dxa"/>
          </w:tcPr>
          <w:p w:rsidR="00360E2D" w:rsidRDefault="00C87E43" w:rsidP="00AA00B9">
            <w:pPr>
              <w:jc w:val="center"/>
            </w:pPr>
            <w:r w:rsidRPr="00C87E43">
              <w:t>1</w:t>
            </w:r>
            <w:r>
              <w:t>.</w:t>
            </w:r>
            <w:r w:rsidRPr="00C87E43">
              <w:t>6</w:t>
            </w:r>
            <w:r w:rsidR="00CB2EEF">
              <w:t>2</w:t>
            </w:r>
            <w:r w:rsidR="009666B7">
              <w:t>%</w:t>
            </w:r>
          </w:p>
        </w:tc>
        <w:tc>
          <w:tcPr>
            <w:tcW w:w="992" w:type="dxa"/>
          </w:tcPr>
          <w:p w:rsidR="00360E2D" w:rsidRDefault="00360E2D" w:rsidP="00AA00B9">
            <w:pPr>
              <w:jc w:val="center"/>
            </w:pPr>
            <w:r>
              <w:t>1.81</w:t>
            </w:r>
            <w:r w:rsidR="009666B7">
              <w:t>%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360E2D">
              <w:t>1</w:t>
            </w:r>
            <w:r>
              <w:t>.</w:t>
            </w:r>
            <w:r w:rsidRPr="00360E2D">
              <w:t>65</w:t>
            </w:r>
            <w:r w:rsidR="009666B7">
              <w:t>%</w:t>
            </w:r>
          </w:p>
        </w:tc>
      </w:tr>
      <w:tr w:rsidR="00360E2D" w:rsidTr="00AA00B9"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:rsidR="00360E2D" w:rsidRPr="00B828DC" w:rsidRDefault="00AA00B9" w:rsidP="009A1581">
            <w:pPr>
              <w:rPr>
                <w:b/>
              </w:rPr>
            </w:pPr>
            <w:r>
              <w:rPr>
                <w:b/>
              </w:rPr>
              <w:t>Residual noise after correction</w:t>
            </w:r>
          </w:p>
          <w:p w:rsidR="00360E2D" w:rsidRPr="00B828DC" w:rsidRDefault="00360E2D" w:rsidP="009A1581">
            <w:pPr>
              <w:rPr>
                <w:b/>
              </w:rPr>
            </w:pPr>
            <w:r w:rsidRPr="00B828DC">
              <w:rPr>
                <w:b/>
              </w:rPr>
              <w:t>(</w:t>
            </w:r>
            <w:proofErr w:type="spellStart"/>
            <w:r w:rsidRPr="00B828DC">
              <w:rPr>
                <w:b/>
              </w:rPr>
              <w:t>Residual</w:t>
            </w:r>
            <w:r w:rsidRPr="00B828DC">
              <w:rPr>
                <w:b/>
                <w:vertAlign w:val="subscript"/>
              </w:rPr>
              <w:t>measured</w:t>
            </w:r>
            <w:proofErr w:type="spellEnd"/>
            <w:r w:rsidRPr="00B828DC">
              <w:rPr>
                <w:b/>
              </w:rPr>
              <w:t>)</w:t>
            </w:r>
          </w:p>
        </w:tc>
        <w:tc>
          <w:tcPr>
            <w:tcW w:w="975" w:type="dxa"/>
            <w:tcBorders>
              <w:lef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6D2443">
              <w:t>0</w:t>
            </w:r>
            <w:r>
              <w:t>.6</w:t>
            </w:r>
            <w:r w:rsidR="009E244F">
              <w:t>8</w:t>
            </w:r>
            <w:r w:rsidR="009666B7">
              <w:t>%</w:t>
            </w:r>
          </w:p>
        </w:tc>
        <w:tc>
          <w:tcPr>
            <w:tcW w:w="975" w:type="dxa"/>
          </w:tcPr>
          <w:p w:rsidR="00360E2D" w:rsidRDefault="00360E2D" w:rsidP="00AA00B9">
            <w:pPr>
              <w:jc w:val="center"/>
            </w:pPr>
            <w:r>
              <w:t xml:space="preserve">0. </w:t>
            </w:r>
            <w:r w:rsidRPr="00D56B4D">
              <w:t>34</w:t>
            </w:r>
            <w:r w:rsidR="009666B7">
              <w:t>%</w:t>
            </w:r>
          </w:p>
        </w:tc>
        <w:tc>
          <w:tcPr>
            <w:tcW w:w="991" w:type="dxa"/>
          </w:tcPr>
          <w:p w:rsidR="00360E2D" w:rsidRDefault="00360E2D" w:rsidP="00AA00B9">
            <w:pPr>
              <w:jc w:val="center"/>
            </w:pPr>
            <w:r w:rsidRPr="00B828DC">
              <w:t>0</w:t>
            </w:r>
            <w:r>
              <w:t>.</w:t>
            </w:r>
            <w:r w:rsidRPr="00B828DC">
              <w:t>32</w:t>
            </w:r>
            <w:r w:rsidR="009666B7">
              <w:t>%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6D2443">
              <w:t>0</w:t>
            </w:r>
            <w:r>
              <w:t>.</w:t>
            </w:r>
            <w:r w:rsidRPr="006D2443">
              <w:t>48</w:t>
            </w:r>
            <w:r w:rsidR="009666B7">
              <w:t>%</w:t>
            </w:r>
          </w:p>
        </w:tc>
        <w:tc>
          <w:tcPr>
            <w:tcW w:w="975" w:type="dxa"/>
            <w:tcBorders>
              <w:left w:val="double" w:sz="4" w:space="0" w:color="auto"/>
            </w:tcBorders>
          </w:tcPr>
          <w:p w:rsidR="00360E2D" w:rsidRDefault="00C87E43" w:rsidP="00AA00B9">
            <w:pPr>
              <w:jc w:val="center"/>
            </w:pPr>
            <w:r w:rsidRPr="00C87E43">
              <w:t>0</w:t>
            </w:r>
            <w:r>
              <w:t>.</w:t>
            </w:r>
            <w:r w:rsidRPr="00C87E43">
              <w:t>3</w:t>
            </w:r>
            <w:r w:rsidR="009E244F">
              <w:t>8</w:t>
            </w:r>
            <w:r w:rsidR="009666B7">
              <w:t>%</w:t>
            </w:r>
          </w:p>
        </w:tc>
        <w:tc>
          <w:tcPr>
            <w:tcW w:w="975" w:type="dxa"/>
          </w:tcPr>
          <w:p w:rsidR="00360E2D" w:rsidRDefault="00C87E43" w:rsidP="00AA00B9">
            <w:pPr>
              <w:jc w:val="center"/>
            </w:pPr>
            <w:r w:rsidRPr="00C87E43">
              <w:t>0</w:t>
            </w:r>
            <w:r>
              <w:t>.</w:t>
            </w:r>
            <w:r w:rsidRPr="00C87E43">
              <w:t>7</w:t>
            </w:r>
            <w:r w:rsidR="00CB2EEF">
              <w:t>8</w:t>
            </w:r>
            <w:r w:rsidR="009666B7">
              <w:t>%</w:t>
            </w:r>
          </w:p>
        </w:tc>
        <w:tc>
          <w:tcPr>
            <w:tcW w:w="992" w:type="dxa"/>
          </w:tcPr>
          <w:p w:rsidR="00360E2D" w:rsidRDefault="00360E2D" w:rsidP="00AA00B9">
            <w:pPr>
              <w:jc w:val="center"/>
            </w:pPr>
            <w:r>
              <w:t>0.38</w:t>
            </w:r>
            <w:r w:rsidR="009666B7">
              <w:t>%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360E2D">
              <w:t>0</w:t>
            </w:r>
            <w:r>
              <w:t>.</w:t>
            </w:r>
            <w:r w:rsidRPr="00360E2D">
              <w:t>89</w:t>
            </w:r>
            <w:r w:rsidR="009666B7">
              <w:t>%</w:t>
            </w:r>
          </w:p>
        </w:tc>
      </w:tr>
      <w:tr w:rsidR="00360E2D" w:rsidTr="00AA00B9">
        <w:tc>
          <w:tcPr>
            <w:tcW w:w="1709" w:type="dxa"/>
            <w:tcBorders>
              <w:left w:val="double" w:sz="4" w:space="0" w:color="auto"/>
              <w:right w:val="double" w:sz="4" w:space="0" w:color="auto"/>
            </w:tcBorders>
          </w:tcPr>
          <w:p w:rsidR="00360E2D" w:rsidRPr="00B828DC" w:rsidRDefault="00360E2D" w:rsidP="009A1581">
            <w:pPr>
              <w:rPr>
                <w:b/>
              </w:rPr>
            </w:pPr>
            <w:r w:rsidRPr="00B828DC">
              <w:rPr>
                <w:b/>
              </w:rPr>
              <w:t>PRNU</w:t>
            </w:r>
          </w:p>
        </w:tc>
        <w:tc>
          <w:tcPr>
            <w:tcW w:w="975" w:type="dxa"/>
            <w:tcBorders>
              <w:lef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6D2443">
              <w:t>0</w:t>
            </w:r>
            <w:r>
              <w:t>.7</w:t>
            </w:r>
            <w:r w:rsidR="009E244F">
              <w:t>5</w:t>
            </w:r>
            <w:r w:rsidR="009666B7">
              <w:t>%</w:t>
            </w:r>
          </w:p>
        </w:tc>
        <w:tc>
          <w:tcPr>
            <w:tcW w:w="975" w:type="dxa"/>
          </w:tcPr>
          <w:p w:rsidR="00360E2D" w:rsidRDefault="00360E2D" w:rsidP="00AA00B9">
            <w:pPr>
              <w:jc w:val="center"/>
            </w:pPr>
            <w:r>
              <w:t>0.61</w:t>
            </w:r>
            <w:r w:rsidR="009666B7">
              <w:t>%</w:t>
            </w:r>
          </w:p>
        </w:tc>
        <w:tc>
          <w:tcPr>
            <w:tcW w:w="991" w:type="dxa"/>
          </w:tcPr>
          <w:p w:rsidR="00360E2D" w:rsidRDefault="00360E2D" w:rsidP="00AA00B9">
            <w:pPr>
              <w:jc w:val="center"/>
            </w:pPr>
            <w:r w:rsidRPr="00B828DC">
              <w:t>0</w:t>
            </w:r>
            <w:r>
              <w:t>.</w:t>
            </w:r>
            <w:r w:rsidRPr="00B828DC">
              <w:t>67</w:t>
            </w:r>
            <w:r w:rsidR="009666B7">
              <w:t>%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6D2443">
              <w:t>0</w:t>
            </w:r>
            <w:r>
              <w:t>.</w:t>
            </w:r>
            <w:r w:rsidRPr="006D2443">
              <w:t>81</w:t>
            </w:r>
            <w:r w:rsidR="009666B7">
              <w:t>%</w:t>
            </w:r>
          </w:p>
        </w:tc>
        <w:tc>
          <w:tcPr>
            <w:tcW w:w="975" w:type="dxa"/>
            <w:tcBorders>
              <w:left w:val="double" w:sz="4" w:space="0" w:color="auto"/>
            </w:tcBorders>
          </w:tcPr>
          <w:p w:rsidR="00360E2D" w:rsidRDefault="00C87E43" w:rsidP="00AA00B9">
            <w:pPr>
              <w:jc w:val="center"/>
            </w:pPr>
            <w:r w:rsidRPr="00C87E43">
              <w:t>1</w:t>
            </w:r>
            <w:r>
              <w:t>.</w:t>
            </w:r>
            <w:r w:rsidRPr="00C87E43">
              <w:t>77</w:t>
            </w:r>
            <w:r w:rsidR="009666B7">
              <w:t>%</w:t>
            </w:r>
          </w:p>
        </w:tc>
        <w:tc>
          <w:tcPr>
            <w:tcW w:w="975" w:type="dxa"/>
          </w:tcPr>
          <w:p w:rsidR="00360E2D" w:rsidRDefault="00C87E43" w:rsidP="00AA00B9">
            <w:pPr>
              <w:jc w:val="center"/>
            </w:pPr>
            <w:r w:rsidRPr="00C87E43">
              <w:t>1</w:t>
            </w:r>
            <w:r>
              <w:t>.</w:t>
            </w:r>
            <w:r w:rsidRPr="00C87E43">
              <w:t>4</w:t>
            </w:r>
            <w:r w:rsidR="00CB2EEF">
              <w:t>4</w:t>
            </w:r>
            <w:r w:rsidR="009666B7">
              <w:t>%</w:t>
            </w:r>
          </w:p>
        </w:tc>
        <w:tc>
          <w:tcPr>
            <w:tcW w:w="992" w:type="dxa"/>
          </w:tcPr>
          <w:p w:rsidR="00360E2D" w:rsidRDefault="00360E2D" w:rsidP="00AA00B9">
            <w:pPr>
              <w:jc w:val="center"/>
            </w:pPr>
            <w:r>
              <w:t>1.7</w:t>
            </w:r>
            <w:r w:rsidR="00CB2EEF">
              <w:t>9</w:t>
            </w:r>
            <w:r w:rsidR="009666B7">
              <w:t>%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360E2D">
              <w:t>1</w:t>
            </w:r>
            <w:r>
              <w:t>.</w:t>
            </w:r>
            <w:r w:rsidRPr="00360E2D">
              <w:t>40</w:t>
            </w:r>
            <w:r w:rsidR="009666B7">
              <w:t>%</w:t>
            </w:r>
          </w:p>
        </w:tc>
      </w:tr>
      <w:tr w:rsidR="00360E2D" w:rsidTr="00AA00B9">
        <w:tc>
          <w:tcPr>
            <w:tcW w:w="1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0E2D" w:rsidRPr="00B828DC" w:rsidRDefault="00AA00B9" w:rsidP="009A1581">
            <w:pPr>
              <w:rPr>
                <w:b/>
              </w:rPr>
            </w:pPr>
            <w:r>
              <w:rPr>
                <w:b/>
              </w:rPr>
              <w:t>Arithmetically c</w:t>
            </w:r>
            <w:r w:rsidR="00360E2D" w:rsidRPr="00B828DC">
              <w:rPr>
                <w:b/>
              </w:rPr>
              <w:t>alculated</w:t>
            </w:r>
            <w:r>
              <w:rPr>
                <w:b/>
              </w:rPr>
              <w:t xml:space="preserve"> Residual</w:t>
            </w:r>
          </w:p>
          <w:p w:rsidR="00360E2D" w:rsidRPr="00B828DC" w:rsidRDefault="00360E2D" w:rsidP="009A1581">
            <w:pPr>
              <w:rPr>
                <w:b/>
              </w:rPr>
            </w:pPr>
            <w:r w:rsidRPr="00B828DC">
              <w:rPr>
                <w:b/>
              </w:rPr>
              <w:t>(</w:t>
            </w:r>
            <w:proofErr w:type="spellStart"/>
            <w:r w:rsidRPr="00B828DC">
              <w:rPr>
                <w:b/>
              </w:rPr>
              <w:t>Residual</w:t>
            </w:r>
            <w:r w:rsidRPr="00B828DC">
              <w:rPr>
                <w:b/>
                <w:vertAlign w:val="subscript"/>
              </w:rPr>
              <w:t>estimate</w:t>
            </w:r>
            <w:proofErr w:type="spellEnd"/>
            <w:r w:rsidRPr="00B828DC">
              <w:rPr>
                <w:b/>
              </w:rPr>
              <w:t>)</w:t>
            </w:r>
          </w:p>
        </w:tc>
        <w:tc>
          <w:tcPr>
            <w:tcW w:w="975" w:type="dxa"/>
            <w:tcBorders>
              <w:left w:val="double" w:sz="4" w:space="0" w:color="auto"/>
              <w:bottom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6D2443">
              <w:t>0</w:t>
            </w:r>
            <w:r>
              <w:t>.7</w:t>
            </w:r>
            <w:r w:rsidR="009E244F">
              <w:t>0</w:t>
            </w:r>
            <w:r w:rsidR="009666B7">
              <w:t>%</w:t>
            </w:r>
          </w:p>
        </w:tc>
        <w:tc>
          <w:tcPr>
            <w:tcW w:w="975" w:type="dxa"/>
            <w:tcBorders>
              <w:bottom w:val="double" w:sz="4" w:space="0" w:color="auto"/>
            </w:tcBorders>
          </w:tcPr>
          <w:p w:rsidR="00360E2D" w:rsidRDefault="00360E2D" w:rsidP="00AA00B9">
            <w:pPr>
              <w:jc w:val="center"/>
            </w:pPr>
            <w:r>
              <w:t>0.37</w:t>
            </w:r>
            <w:r w:rsidR="009666B7">
              <w:t>%</w:t>
            </w:r>
          </w:p>
        </w:tc>
        <w:tc>
          <w:tcPr>
            <w:tcW w:w="991" w:type="dxa"/>
            <w:tcBorders>
              <w:bottom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B828DC">
              <w:t>0</w:t>
            </w:r>
            <w:r>
              <w:t>.35</w:t>
            </w:r>
            <w:r w:rsidR="009666B7">
              <w:t>%</w:t>
            </w:r>
          </w:p>
        </w:tc>
        <w:tc>
          <w:tcPr>
            <w:tcW w:w="992" w:type="dxa"/>
            <w:tcBorders>
              <w:bottom w:val="double" w:sz="4" w:space="0" w:color="auto"/>
              <w:righ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6D2443">
              <w:t>0</w:t>
            </w:r>
            <w:r>
              <w:t>.</w:t>
            </w:r>
            <w:r w:rsidRPr="006D2443">
              <w:t>57</w:t>
            </w:r>
            <w:r w:rsidR="009666B7">
              <w:t>%</w:t>
            </w:r>
          </w:p>
        </w:tc>
        <w:tc>
          <w:tcPr>
            <w:tcW w:w="975" w:type="dxa"/>
            <w:tcBorders>
              <w:left w:val="double" w:sz="4" w:space="0" w:color="auto"/>
              <w:bottom w:val="double" w:sz="4" w:space="0" w:color="auto"/>
            </w:tcBorders>
          </w:tcPr>
          <w:p w:rsidR="00360E2D" w:rsidRDefault="00C87E43" w:rsidP="00AA00B9">
            <w:pPr>
              <w:jc w:val="center"/>
            </w:pPr>
            <w:r w:rsidRPr="00C87E43">
              <w:t>0</w:t>
            </w:r>
            <w:r>
              <w:t>.</w:t>
            </w:r>
            <w:r w:rsidR="009E244F">
              <w:t>39</w:t>
            </w:r>
            <w:r w:rsidR="009666B7">
              <w:t>%</w:t>
            </w:r>
          </w:p>
        </w:tc>
        <w:tc>
          <w:tcPr>
            <w:tcW w:w="975" w:type="dxa"/>
            <w:tcBorders>
              <w:bottom w:val="double" w:sz="4" w:space="0" w:color="auto"/>
            </w:tcBorders>
          </w:tcPr>
          <w:p w:rsidR="00360E2D" w:rsidRDefault="00C87E43" w:rsidP="00AA00B9">
            <w:pPr>
              <w:jc w:val="center"/>
            </w:pPr>
            <w:r w:rsidRPr="00C87E43">
              <w:t>0</w:t>
            </w:r>
            <w:r>
              <w:t>.</w:t>
            </w:r>
            <w:r w:rsidRPr="00C87E43">
              <w:t>73</w:t>
            </w:r>
            <w:r w:rsidR="009666B7">
              <w:t>%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360E2D" w:rsidRDefault="00360E2D" w:rsidP="00AA00B9">
            <w:pPr>
              <w:jc w:val="center"/>
            </w:pPr>
            <w:r>
              <w:t>0.</w:t>
            </w:r>
            <w:r w:rsidR="00CB2EEF">
              <w:t>29</w:t>
            </w:r>
            <w:r w:rsidR="009666B7">
              <w:t>%</w:t>
            </w:r>
          </w:p>
        </w:tc>
        <w:tc>
          <w:tcPr>
            <w:tcW w:w="992" w:type="dxa"/>
            <w:tcBorders>
              <w:bottom w:val="double" w:sz="4" w:space="0" w:color="auto"/>
              <w:right w:val="double" w:sz="4" w:space="0" w:color="auto"/>
            </w:tcBorders>
          </w:tcPr>
          <w:p w:rsidR="00360E2D" w:rsidRDefault="00360E2D" w:rsidP="00AA00B9">
            <w:pPr>
              <w:jc w:val="center"/>
            </w:pPr>
            <w:r w:rsidRPr="00360E2D">
              <w:t>0</w:t>
            </w:r>
            <w:r>
              <w:t>.</w:t>
            </w:r>
            <w:r w:rsidRPr="00360E2D">
              <w:t>8</w:t>
            </w:r>
            <w:r w:rsidR="00CB2EEF">
              <w:t>8</w:t>
            </w:r>
            <w:r w:rsidR="009666B7">
              <w:t>%</w:t>
            </w:r>
          </w:p>
        </w:tc>
      </w:tr>
    </w:tbl>
    <w:p w:rsidR="00985A79" w:rsidRDefault="00985A79" w:rsidP="00985A79"/>
    <w:p w:rsidR="003503FA" w:rsidRPr="00985A79" w:rsidRDefault="003503FA" w:rsidP="00985A79">
      <w:r>
        <w:t xml:space="preserve">The noise in each of these parameters are determined by calculating the standard deviation divided by the mean within a 25px * 25 </w:t>
      </w:r>
      <w:proofErr w:type="spellStart"/>
      <w:proofErr w:type="gramStart"/>
      <w:r>
        <w:t>px</w:t>
      </w:r>
      <w:proofErr w:type="spellEnd"/>
      <w:proofErr w:type="gramEnd"/>
      <w:r>
        <w:t xml:space="preserve"> box. This is repeated for main and redundant LEDs of both wavelengths at 2 different locations for each of the LED combinations.</w:t>
      </w:r>
    </w:p>
    <w:p w:rsidR="00BF5E5E" w:rsidRDefault="00BF5E5E" w:rsidP="00BF5E5E">
      <w:pPr>
        <w:pStyle w:val="Heading1"/>
      </w:pPr>
      <w:r>
        <w:t>Conclusion</w:t>
      </w:r>
    </w:p>
    <w:p w:rsidR="00BF5E5E" w:rsidRDefault="00BF5E5E" w:rsidP="00BF5E5E">
      <w:r>
        <w:t>The practically measured residual flat field error</w:t>
      </w:r>
      <w:r w:rsidR="00922DF5">
        <w:t xml:space="preserve"> (</w:t>
      </w:r>
      <w:proofErr w:type="spellStart"/>
      <w:r w:rsidR="00922DF5" w:rsidRPr="00922DF5">
        <w:t>Residual</w:t>
      </w:r>
      <w:r w:rsidR="00922DF5" w:rsidRPr="00922DF5">
        <w:rPr>
          <w:vertAlign w:val="subscript"/>
        </w:rPr>
        <w:t>measured</w:t>
      </w:r>
      <w:proofErr w:type="spellEnd"/>
      <w:r w:rsidR="00922DF5">
        <w:t>)</w:t>
      </w:r>
      <w:r>
        <w:t xml:space="preserve"> matches the arithmetically estimated </w:t>
      </w:r>
      <w:r w:rsidR="00922DF5" w:rsidRPr="00922DF5">
        <w:t>(</w:t>
      </w:r>
      <w:proofErr w:type="spellStart"/>
      <w:r w:rsidR="00922DF5" w:rsidRPr="00922DF5">
        <w:t>Residual</w:t>
      </w:r>
      <w:r w:rsidR="00922DF5" w:rsidRPr="00922DF5">
        <w:rPr>
          <w:vertAlign w:val="subscript"/>
        </w:rPr>
        <w:t>estimate</w:t>
      </w:r>
      <w:proofErr w:type="spellEnd"/>
      <w:r w:rsidR="00922DF5" w:rsidRPr="00922DF5">
        <w:t>)</w:t>
      </w:r>
      <w:r w:rsidR="00922DF5">
        <w:rPr>
          <w:b/>
        </w:rPr>
        <w:t xml:space="preserve"> </w:t>
      </w:r>
      <w:r>
        <w:t>value. This signifies the flat fielding methodology is working effectively and can help us get reliable photometry.</w:t>
      </w:r>
      <w:r w:rsidR="00985A79">
        <w:t xml:space="preserve"> It is to be noticed that the residual noise after PRNU correction is more in regions where the mean counts within the box </w:t>
      </w:r>
      <w:r w:rsidR="00465FE5">
        <w:t xml:space="preserve">is comparatively lesser. This can be attributed to larger shot noise in </w:t>
      </w:r>
      <w:r w:rsidR="001A79F8">
        <w:t xml:space="preserve">these </w:t>
      </w:r>
      <w:r w:rsidR="00465FE5">
        <w:t>regions of diminished illumination.</w:t>
      </w:r>
    </w:p>
    <w:p w:rsidR="00BF5E5E" w:rsidRDefault="00BF5E5E" w:rsidP="00BF5E5E">
      <w:pPr>
        <w:jc w:val="center"/>
      </w:pPr>
      <w:r>
        <w:t>-x-</w:t>
      </w:r>
    </w:p>
    <w:p w:rsidR="00BF5E5E" w:rsidRDefault="00BF5E5E"/>
    <w:sectPr w:rsidR="00BF5E5E" w:rsidSect="0046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24D88"/>
    <w:rsid w:val="00095F01"/>
    <w:rsid w:val="00097625"/>
    <w:rsid w:val="000C24AA"/>
    <w:rsid w:val="001270C7"/>
    <w:rsid w:val="001A79F8"/>
    <w:rsid w:val="00301A27"/>
    <w:rsid w:val="003317EC"/>
    <w:rsid w:val="003503FA"/>
    <w:rsid w:val="00360E2D"/>
    <w:rsid w:val="00371CA4"/>
    <w:rsid w:val="00427397"/>
    <w:rsid w:val="0043404C"/>
    <w:rsid w:val="004428A8"/>
    <w:rsid w:val="00461541"/>
    <w:rsid w:val="00465FE5"/>
    <w:rsid w:val="005322A0"/>
    <w:rsid w:val="0061762E"/>
    <w:rsid w:val="00624D88"/>
    <w:rsid w:val="0069551D"/>
    <w:rsid w:val="006A5B0D"/>
    <w:rsid w:val="006D2443"/>
    <w:rsid w:val="007B2585"/>
    <w:rsid w:val="007C59B7"/>
    <w:rsid w:val="00881C13"/>
    <w:rsid w:val="008900FC"/>
    <w:rsid w:val="00922DF5"/>
    <w:rsid w:val="00936B77"/>
    <w:rsid w:val="009666B7"/>
    <w:rsid w:val="00985A79"/>
    <w:rsid w:val="009A1CF7"/>
    <w:rsid w:val="009C59BE"/>
    <w:rsid w:val="009E244F"/>
    <w:rsid w:val="00A3403E"/>
    <w:rsid w:val="00AA00B9"/>
    <w:rsid w:val="00B828DC"/>
    <w:rsid w:val="00BF5E5E"/>
    <w:rsid w:val="00C1577C"/>
    <w:rsid w:val="00C87E43"/>
    <w:rsid w:val="00CB2EEF"/>
    <w:rsid w:val="00CB3B51"/>
    <w:rsid w:val="00CC323B"/>
    <w:rsid w:val="00D3277F"/>
    <w:rsid w:val="00D56B4D"/>
    <w:rsid w:val="00E60320"/>
    <w:rsid w:val="00E963AD"/>
    <w:rsid w:val="00F0066C"/>
    <w:rsid w:val="00F27409"/>
    <w:rsid w:val="00F64458"/>
    <w:rsid w:val="00FD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FC"/>
  </w:style>
  <w:style w:type="paragraph" w:styleId="Heading1">
    <w:name w:val="heading 1"/>
    <w:basedOn w:val="Normal"/>
    <w:next w:val="Normal"/>
    <w:link w:val="Heading1Char"/>
    <w:uiPriority w:val="9"/>
    <w:qFormat/>
    <w:rsid w:val="008900F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F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0F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0F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F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F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F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F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F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D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0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00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0F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F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F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F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F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F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270C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00F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0F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0F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0F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00FC"/>
    <w:rPr>
      <w:b/>
      <w:bCs/>
    </w:rPr>
  </w:style>
  <w:style w:type="character" w:styleId="Emphasis">
    <w:name w:val="Emphasis"/>
    <w:uiPriority w:val="20"/>
    <w:qFormat/>
    <w:rsid w:val="008900F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00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70C7"/>
  </w:style>
  <w:style w:type="paragraph" w:styleId="ListParagraph">
    <w:name w:val="List Paragraph"/>
    <w:basedOn w:val="Normal"/>
    <w:uiPriority w:val="34"/>
    <w:qFormat/>
    <w:rsid w:val="008900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0F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00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0F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0FC"/>
    <w:rPr>
      <w:b/>
      <w:bCs/>
      <w:i/>
      <w:iCs/>
    </w:rPr>
  </w:style>
  <w:style w:type="character" w:styleId="SubtleEmphasis">
    <w:name w:val="Subtle Emphasis"/>
    <w:uiPriority w:val="19"/>
    <w:qFormat/>
    <w:rsid w:val="008900FC"/>
    <w:rPr>
      <w:i/>
      <w:iCs/>
    </w:rPr>
  </w:style>
  <w:style w:type="character" w:styleId="IntenseEmphasis">
    <w:name w:val="Intense Emphasis"/>
    <w:uiPriority w:val="21"/>
    <w:qFormat/>
    <w:rsid w:val="008900FC"/>
    <w:rPr>
      <w:b/>
      <w:bCs/>
    </w:rPr>
  </w:style>
  <w:style w:type="character" w:styleId="SubtleReference">
    <w:name w:val="Subtle Reference"/>
    <w:uiPriority w:val="31"/>
    <w:qFormat/>
    <w:rsid w:val="008900FC"/>
    <w:rPr>
      <w:smallCaps/>
    </w:rPr>
  </w:style>
  <w:style w:type="character" w:styleId="IntenseReference">
    <w:name w:val="Intense Reference"/>
    <w:uiPriority w:val="32"/>
    <w:qFormat/>
    <w:rsid w:val="008900FC"/>
    <w:rPr>
      <w:smallCaps/>
      <w:spacing w:val="5"/>
      <w:u w:val="single"/>
    </w:rPr>
  </w:style>
  <w:style w:type="character" w:styleId="BookTitle">
    <w:name w:val="Book Title"/>
    <w:uiPriority w:val="33"/>
    <w:qFormat/>
    <w:rsid w:val="008900F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0F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janmejoy</dc:creator>
  <cp:keywords/>
  <dc:description/>
  <cp:lastModifiedBy>janmejoy</cp:lastModifiedBy>
  <cp:revision>33</cp:revision>
  <dcterms:created xsi:type="dcterms:W3CDTF">2023-11-27T10:29:00Z</dcterms:created>
  <dcterms:modified xsi:type="dcterms:W3CDTF">2023-11-27T14:18:00Z</dcterms:modified>
</cp:coreProperties>
</file>