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4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Hidden Magnitudes and Circular Codes</w:t>
      </w:r>
    </w:p>
    <w:p>
      <w:pPr>
        <w:pStyle w:val="Subtitle"/>
      </w:pPr>
      <w:r>
        <w:t xml:space="preserve">BlueDot Technical AI Safety Puzzle 1</w:t>
      </w:r>
    </w:p>
    <w:p>
      <w:pPr>
        <w:pStyle w:val="Date"/>
      </w:pPr>
      <w:r>
        <w:t xml:space="preserve">7 September 2026</w:t>
      </w:r>
    </w:p>
    <w:bookmarkStart w:id="9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The unusual feature is</w:t>
      </w:r>
      <w:r>
        <w:t xml:space="preserve"> </w:t>
      </w:r>
      <w:r>
        <w:rPr>
          <w:rStyle w:val="VerbatimChar"/>
          <w:b/>
          <w:bCs/>
        </w:rPr>
        <w:t xml:space="preserve">country</w:t>
      </w:r>
      <w:r>
        <w:t xml:space="preserve">. At the specified hidden layer (</w:t>
      </w:r>
      <w:r>
        <w:rPr>
          <w:rStyle w:val="VerbatimChar"/>
        </w:rPr>
        <w:t xml:space="preserve">h2</w:t>
      </w:r>
      <w:r>
        <w:t xml:space="preserve">), a</w:t>
      </w:r>
      <w:r>
        <w:t xml:space="preserve"> </w:t>
      </w:r>
      <w:r>
        <w:t xml:space="preserve">linear probe is at chance (</w:t>
      </w:r>
      <w:r>
        <w:rPr>
          <w:rStyle w:val="VerbatimChar"/>
        </w:rPr>
        <w:t xml:space="preserve">0.471</w:t>
      </w:r>
      <w:r>
        <w:t xml:space="preserve">) while a nonlinear probe reaches</w:t>
      </w:r>
      <w:r>
        <w:t xml:space="preserve"> </w:t>
      </w:r>
      <w:r>
        <w:rPr>
          <w:rStyle w:val="VerbatimChar"/>
        </w:rPr>
        <w:t xml:space="preserve">0.966</w:t>
      </w:r>
      <w:r>
        <w:t xml:space="preserve">.</w:t>
      </w:r>
      <w:r>
        <w:t xml:space="preserve"> </w:t>
      </w:r>
      <w:r>
        <w:t xml:space="preserve">The simplest high-performing geometric account is a one-dimensional interval</w:t>
      </w:r>
      <w:r>
        <w:t xml:space="preserve"> </w:t>
      </w:r>
      <w:r>
        <w:t xml:space="preserve">code on the model’s</w:t>
      </w:r>
      <w:r>
        <w:t xml:space="preserve"> </w:t>
      </w:r>
      <w:r>
        <w:rPr>
          <w:rStyle w:val="VerbatimChar"/>
        </w:rPr>
        <w:t xml:space="preserve">food</w:t>
      </w:r>
      <w:r>
        <w:t xml:space="preserve"> </w:t>
      </w:r>
      <w:r>
        <w:t xml:space="preserve">direction: the sign carries food, while the magnitude</w:t>
      </w:r>
      <w:r>
        <w:t xml:space="preserve"> </w:t>
      </w:r>
      <w:r>
        <w:t xml:space="preserve">largely carries country. A raw signed projection predicts country at</w:t>
      </w:r>
      <w:r>
        <w:t xml:space="preserve"> </w:t>
      </w:r>
      <w:r>
        <w:rPr>
          <w:rStyle w:val="VerbatimChar"/>
        </w:rPr>
        <w:t xml:space="preserve">0.502</w:t>
      </w:r>
      <w:r>
        <w:t xml:space="preserve">,</w:t>
      </w:r>
      <w:r>
        <w:t xml:space="preserve"> </w:t>
      </w:r>
      <w:r>
        <w:t xml:space="preserve">whereas its absolute value and square both reach</w:t>
      </w:r>
      <w:r>
        <w:t xml:space="preserve"> </w:t>
      </w:r>
      <w:r>
        <w:rPr>
          <w:rStyle w:val="VerbatimChar"/>
        </w:rPr>
        <w:t xml:space="preserve">0.946</w:t>
      </w:r>
      <w:r>
        <w:t xml:space="preserve">.</w:t>
      </w:r>
    </w:p>
    <w:p>
      <w:pPr>
        <w:pStyle w:val="BodyText"/>
      </w:pPr>
      <w:r>
        <w:t xml:space="preserve">For Task 3, I trained a two-dimensional, unit-norm circular bottleneck on MNIST.</w:t>
      </w:r>
      <w:r>
        <w:t xml:space="preserve"> </w:t>
      </w:r>
      <w:r>
        <w:t xml:space="preserve">Digit classes occupy successive angles, so even and odd digits alternate around</w:t>
      </w:r>
      <w:r>
        <w:t xml:space="preserve"> </w:t>
      </w:r>
      <w:r>
        <w:t xml:space="preserve">the circle. After freezing the architecture, hyperparameters, split, and five</w:t>
      </w:r>
      <w:r>
        <w:t xml:space="preserve"> </w:t>
      </w:r>
      <w:r>
        <w:t xml:space="preserve">seeds using validation data only, I evaluated once on the additional 50,000</w:t>
      </w:r>
      <w:r>
        <w:t xml:space="preserve"> </w:t>
      </w:r>
      <w:r>
        <w:t xml:space="preserve">QMNIST test examples. The mean even/odd accuracy was</w:t>
      </w:r>
      <w:r>
        <w:t xml:space="preserve"> </w:t>
      </w:r>
      <w:r>
        <w:rPr>
          <w:rStyle w:val="VerbatimChar"/>
        </w:rPr>
        <w:t xml:space="preserve">0.537</w:t>
      </w:r>
      <w:r>
        <w:t xml:space="preserve"> </w:t>
      </w:r>
      <w:r>
        <w:t xml:space="preserve">for a linear probe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0.958</w:t>
      </w:r>
      <w:r>
        <w:t xml:space="preserve"> </w:t>
      </w:r>
      <w:r>
        <w:t xml:space="preserve">for a nonlinear probe. This is a robust nonlinear advantage, though</w:t>
      </w:r>
      <w:r>
        <w:t xml:space="preserve"> </w:t>
      </w:r>
      <w:r>
        <w:t xml:space="preserve">not perfect linear-probe immunity in every seed.</w:t>
      </w:r>
    </w:p>
    <w:bookmarkEnd w:id="9"/>
    <w:bookmarkStart w:id="13" w:name="task-1-finding-the-unusual-feature"/>
    <w:p>
      <w:pPr>
        <w:pStyle w:val="Heading1"/>
      </w:pPr>
      <w:r>
        <w:t xml:space="preserve">Task 1: Finding the unusual feature</w:t>
      </w:r>
    </w:p>
    <w:p>
      <w:pPr>
        <w:pStyle w:val="FirstParagraph"/>
      </w:pPr>
      <w:r>
        <w:t xml:space="preserve">I cached activations at the sentence embedding, each post-ReLU hidden layer, and</w:t>
      </w:r>
      <w:r>
        <w:t xml:space="preserve"> </w:t>
      </w:r>
      <w:r>
        <w:t xml:space="preserve">the logits. For every feature and layer I trained:</w:t>
      </w:r>
    </w:p>
    <w:p>
      <w:pPr>
        <w:pStyle w:val="Compact"/>
        <w:numPr>
          <w:ilvl w:val="0"/>
          <w:numId w:val="1001"/>
        </w:numPr>
      </w:pPr>
      <w:r>
        <w:t xml:space="preserve">a logistic-regression probe; and</w:t>
      </w:r>
    </w:p>
    <w:p>
      <w:pPr>
        <w:pStyle w:val="Compact"/>
        <w:numPr>
          <w:ilvl w:val="0"/>
          <w:numId w:val="1001"/>
        </w:numPr>
      </w:pPr>
      <w:r>
        <w:t xml:space="preserve">a one-hidden-layer MLP probe.</w:t>
      </w:r>
    </w:p>
    <w:p>
      <w:pPr>
        <w:pStyle w:val="FirstParagraph"/>
      </w:pPr>
      <w:r>
        <w:t xml:space="preserve">Both probes were fit on the supplied training examples and scored on the supplied</w:t>
      </w:r>
      <w:r>
        <w:t xml:space="preserve"> </w:t>
      </w:r>
      <w:r>
        <w:t xml:space="preserve">held-out examples.</w:t>
      </w:r>
      <w:r>
        <w:t xml:space="preserve"> </w:t>
      </w:r>
      <w:r>
        <w:rPr>
          <w:rStyle w:val="VerbatimChar"/>
        </w:rPr>
        <w:t xml:space="preserve">country</w:t>
      </w:r>
      <w:r>
        <w:t xml:space="preserve"> </w:t>
      </w:r>
      <w:r>
        <w:t xml:space="preserve">is the only feature with a large linear/nonlinear</w:t>
      </w:r>
      <w:r>
        <w:t xml:space="preserve"> </w:t>
      </w:r>
      <w:r>
        <w:t xml:space="preserve">gap at</w:t>
      </w:r>
      <w:r>
        <w:t xml:space="preserve"> </w:t>
      </w:r>
      <w:r>
        <w:rPr>
          <w:rStyle w:val="VerbatimChar"/>
        </w:rPr>
        <w:t xml:space="preserve">h2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Linear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Nonlinear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body_part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</w:t>
            </w:r>
          </w:p>
        </w:tc>
      </w:tr>
    </w:tbl>
    <w:p>
      <w:pPr>
        <w:pStyle w:val="CaptionedFigure"/>
      </w:pPr>
      <w:r>
        <w:drawing>
          <wp:inline>
            <wp:extent cx="5067300" cy="2252133"/>
            <wp:effectExtent b="0" l="0" r="0" t="0"/>
            <wp:docPr descr="Figure 1. Held-out linear and nonlinear probe accuracy at h2. The country linear-probe bar is shown rather than clipped." title="" id="11" name="Picture"/>
            <a:graphic>
              <a:graphicData uri="http://schemas.openxmlformats.org/drawingml/2006/picture">
                <pic:pic>
                  <pic:nvPicPr>
                    <pic:cNvPr descr="../artifacts/results/03_gap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Held-out linear and nonlinear probe accuracy at h2. The country linear-probe bar is shown rather than clipped.</w:t>
      </w:r>
    </w:p>
    <w:p>
      <w:pPr>
        <w:pStyle w:val="BodyText"/>
      </w:pPr>
      <w:r>
        <w:t xml:space="preserve">The layer trace localizes the phenomenon. Country is linearly decodable before</w:t>
      </w:r>
      <w:r>
        <w:t xml:space="preserve"> </w:t>
      </w:r>
      <w:r>
        <w:rPr>
          <w:rStyle w:val="VerbatimChar"/>
        </w:rPr>
        <w:t xml:space="preserve">h2</w:t>
      </w:r>
      <w:r>
        <w:t xml:space="preserve">, nonlinear only at</w:t>
      </w:r>
      <w:r>
        <w:t xml:space="preserve"> </w:t>
      </w:r>
      <w:r>
        <w:rPr>
          <w:rStyle w:val="VerbatimChar"/>
        </w:rPr>
        <w:t xml:space="preserve">h2</w:t>
      </w:r>
      <w:r>
        <w:t xml:space="preserve">, and linearly decodable again at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and the</w:t>
      </w:r>
      <w:r>
        <w:t xml:space="preserve"> </w:t>
      </w:r>
      <w:r>
        <w:t xml:space="preserve">logits.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Nonlinear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</w:tbl>
    <w:p>
      <w:pPr>
        <w:pStyle w:val="BodyText"/>
      </w:pPr>
      <w:r>
        <w:t xml:space="preserve">Three checks make a template artifact unlikely. Leave-one-template-out scoring</w:t>
      </w:r>
      <w:r>
        <w:t xml:space="preserve"> </w:t>
      </w:r>
      <w:r>
        <w:t xml:space="preserve">gives</w:t>
      </w:r>
      <w:r>
        <w:t xml:space="preserve"> </w:t>
      </w:r>
      <w:r>
        <w:rPr>
          <w:rStyle w:val="VerbatimChar"/>
        </w:rPr>
        <w:t xml:space="preserve">0.486</w:t>
      </w:r>
      <w:r>
        <w:t xml:space="preserve"> </w:t>
      </w:r>
      <w:r>
        <w:t xml:space="preserve">linear versus</w:t>
      </w:r>
      <w:r>
        <w:t xml:space="preserve"> </w:t>
      </w:r>
      <w:r>
        <w:rPr>
          <w:rStyle w:val="VerbatimChar"/>
        </w:rPr>
        <w:t xml:space="preserve">0.995</w:t>
      </w:r>
      <w:r>
        <w:t xml:space="preserve"> </w:t>
      </w:r>
      <w:r>
        <w:t xml:space="preserve">nonlinear; a whitened-PCA control gives</w:t>
      </w:r>
      <w:r>
        <w:t xml:space="preserve"> </w:t>
      </w:r>
      <w:r>
        <w:rPr>
          <w:rStyle w:val="VerbatimChar"/>
        </w:rPr>
        <w:t xml:space="preserve">0.503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0.971</w:t>
      </w:r>
      <w:r>
        <w:t xml:space="preserve">; and shuffled country labels return to chance. These are</w:t>
      </w:r>
      <w:r>
        <w:t xml:space="preserve"> </w:t>
      </w:r>
      <w:r>
        <w:t xml:space="preserve">probe results, not by themselves proof that the model causally uses every</w:t>
      </w:r>
      <w:r>
        <w:t xml:space="preserve"> </w:t>
      </w:r>
      <w:r>
        <w:t xml:space="preserve">measured feature [1]. Here the supplied classifier’s own country output also</w:t>
      </w:r>
      <w:r>
        <w:t xml:space="preserve"> </w:t>
      </w:r>
      <w:r>
        <w:t xml:space="preserve">reaches</w:t>
      </w:r>
      <w:r>
        <w:t xml:space="preserve"> </w:t>
      </w:r>
      <w:r>
        <w:rPr>
          <w:rStyle w:val="VerbatimChar"/>
        </w:rPr>
        <w:t xml:space="preserve">0.964</w:t>
      </w:r>
      <w:r>
        <w:t xml:space="preserve">, showing that the information is behaviorally available.</w:t>
      </w:r>
    </w:p>
    <w:bookmarkEnd w:id="13"/>
    <w:bookmarkStart w:id="19" w:name="task-2-geometry-of-country-at-h2"/>
    <w:p>
      <w:pPr>
        <w:pStyle w:val="Heading1"/>
      </w:pPr>
      <w:r>
        <w:t xml:space="preserve">Task 2: Geometry of country at h2</w:t>
      </w:r>
    </w:p>
    <w:bookmarkStart w:id="17" w:name="a-magnitude-code-on-the-food-direction"/>
    <w:p>
      <w:pPr>
        <w:pStyle w:val="Heading2"/>
      </w:pPr>
      <w:r>
        <w:t xml:space="preserve">A magnitude code on the food direction</w:t>
      </w:r>
    </w:p>
    <w:p>
      <w:pPr>
        <w:pStyle w:val="FirstParagraph"/>
      </w:pPr>
      <w:r>
        <w:t xml:space="preserve">Let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be the standardized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activation and let</w:t>
      </w:r>
      <w:r>
        <w:t xml:space="preserve"> </w:t>
      </w:r>
      <w:r>
        <w:rPr>
          <w:rStyle w:val="VerbatimChar"/>
        </w:rPr>
        <w:t xml:space="preserve">w_food</w:t>
      </w:r>
      <w:r>
        <w:t xml:space="preserve"> </w:t>
      </w:r>
      <w:r>
        <w:t xml:space="preserve">be a logistic</w:t>
      </w:r>
      <w:r>
        <w:t xml:space="preserve"> </w:t>
      </w:r>
      <w:r>
        <w:t xml:space="preserve">regression direction fit to predict food on training data. I measured the scalar</w:t>
      </w:r>
      <w:r>
        <w:t xml:space="preserve"> </w:t>
      </w:r>
      <w:r>
        <w:t xml:space="preserve">projection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f</m:t>
              </m:r>
              <m:r>
                <m:t>o</m:t>
              </m:r>
              <m:r>
                <m:t>o</m:t>
              </m:r>
              <m:r>
                <m:t>d</m:t>
              </m:r>
            </m:sub>
            <m:sup>
              <m:r>
                <m:t>T</m:t>
              </m:r>
            </m:sup>
          </m:sSubSup>
          <m:r>
            <m:t>z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sign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tracks food. Country changes the magnitude: country-positive</w:t>
      </w:r>
      <w:r>
        <w:t xml:space="preserve"> </w:t>
      </w:r>
      <w:r>
        <w:t xml:space="preserve">examples lie nearer zero, while country-negative examples lie farther out on</w:t>
      </w:r>
      <w:r>
        <w:t xml:space="preserve"> </w:t>
      </w:r>
      <w:r>
        <w:t xml:space="preserve">either side. The direction’s sign is arbitrary; the symmetric magnitude pattern</w:t>
      </w:r>
      <w:r>
        <w:t xml:space="preserve"> </w:t>
      </w:r>
      <w:r>
        <w:t xml:space="preserve">is the relevant fact.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Country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held-out projection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+18.9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+4.4</w:t>
            </w:r>
          </w:p>
        </w:tc>
      </w:tr>
    </w:tbl>
    <w:p>
      <w:pPr>
        <w:pStyle w:val="CaptionedFigure"/>
      </w:pPr>
      <w:r>
        <w:drawing>
          <wp:inline>
            <wp:extent cx="5067300" cy="2660332"/>
            <wp:effectExtent b="0" l="0" r="0" t="0"/>
            <wp:docPr descr="Figure 2. Measured held-out projections, not a synthetic reconstruction. Country changes distance from zero while food changes sign." title="" id="15" name="Picture"/>
            <a:graphic>
              <a:graphicData uri="http://schemas.openxmlformats.org/drawingml/2006/picture">
                <pic:pic>
                  <pic:nvPicPr>
                    <pic:cNvPr descr="../artifacts/results/07_mechanism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2660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Measured held-out projections, not a synthetic reconstruction. Country changes distance from zero while food changes sign.</w:t>
      </w:r>
    </w:p>
    <w:p>
      <w:pPr>
        <w:pStyle w:val="BodyText"/>
      </w:pPr>
      <w:r>
        <w:t xml:space="preserve">A one-dimensional decoder isolates the symmetry: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 to logistic decoder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Country accuracy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0.502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|</m:t>
              </m:r>
              <m:r>
                <m:t>p</m:t>
              </m:r>
              <m:r>
                <m:rPr>
                  <m:sty m:val="p"/>
                </m:rPr>
                <m:t>|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0.946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p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0.946</w:t>
            </w:r>
          </w:p>
        </w:tc>
      </w:tr>
    </w:tbl>
    <w:p>
      <w:pPr>
        <w:pStyle w:val="BodyText"/>
      </w:pPr>
      <w:r>
        <w:t xml:space="preserve">Country directions fit separately within</w:t>
      </w:r>
      <w:r>
        <w:t xml:space="preserve"> </w:t>
      </w:r>
      <w:r>
        <w:rPr>
          <w:rStyle w:val="VerbatimChar"/>
        </w:rPr>
        <w:t xml:space="preserve">food=0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food=1</w:t>
      </w:r>
      <w:r>
        <w:t xml:space="preserve"> </w:t>
      </w:r>
      <w:r>
        <w:t xml:space="preserve">have cosine</w:t>
      </w:r>
      <w:r>
        <w:t xml:space="preserve"> </w:t>
      </w:r>
      <w:r>
        <w:t xml:space="preserve">similarity</w:t>
      </w:r>
      <w:r>
        <w:t xml:space="preserve"> </w:t>
      </w:r>
      <w:r>
        <w:rPr>
          <w:rStyle w:val="VerbatimChar"/>
        </w:rPr>
        <w:t xml:space="preserve">-0.985</w:t>
      </w:r>
      <w:r>
        <w:t xml:space="preserve">. Thus the country direction reverses when food changes, as</w:t>
      </w:r>
      <w:r>
        <w:t xml:space="preserve"> </w:t>
      </w:r>
      <w:r>
        <w:t xml:space="preserve">expected if food supplies sign and country supplies magnitude. I therefore</w:t>
      </w:r>
      <w:r>
        <w:t xml:space="preserve"> </w:t>
      </w:r>
      <w:r>
        <w:t xml:space="preserve">summarize the geometry as a</w:t>
      </w:r>
      <w:r>
        <w:t xml:space="preserve"> </w:t>
      </w:r>
      <w:r>
        <w:rPr>
          <w:b/>
          <w:bCs/>
        </w:rPr>
        <w:t xml:space="preserve">primarily one-dimensional, sign-symmetric interval</w:t>
      </w:r>
      <w:r>
        <w:rPr>
          <w:b/>
          <w:bCs/>
        </w:rPr>
        <w:t xml:space="preserve"> </w:t>
      </w:r>
      <w:r>
        <w:rPr>
          <w:b/>
          <w:bCs/>
        </w:rPr>
        <w:t xml:space="preserve">code aligned with the food direction</w:t>
      </w:r>
      <w:r>
        <w:t xml:space="preserve">. The word</w:t>
      </w:r>
      <w:r>
        <w:t xml:space="preserve"> </w:t>
      </w:r>
      <w:r>
        <w:t xml:space="preserve">“primarily”</w:t>
      </w:r>
      <w:r>
        <w:t xml:space="preserve"> </w:t>
      </w:r>
      <w:r>
        <w:t xml:space="preserve">matters:</w:t>
      </w:r>
      <w:r>
        <w:t xml:space="preserve"> </w:t>
      </w:r>
      <w:r>
        <w:rPr>
          <w:rStyle w:val="VerbatimChar"/>
        </w:rPr>
        <w:t xml:space="preserve">0.946</w:t>
      </w:r>
      <w:r>
        <w:t xml:space="preserve"> </w:t>
      </w:r>
      <w:r>
        <w:t xml:space="preserve">is strong but not exact, and this analysis does not prove that a single scalar</w:t>
      </w:r>
      <w:r>
        <w:t xml:space="preserve"> </w:t>
      </w:r>
      <w:r>
        <w:t xml:space="preserve">accounts for every country-relevant computation.</w:t>
      </w:r>
    </w:p>
    <w:p>
      <w:pPr>
        <w:pStyle w:val="BodyText"/>
      </w:pPr>
      <w:r>
        <w:t xml:space="preserve">This resembles the absolute-value computation studied in toy models of</w:t>
      </w:r>
      <w:r>
        <w:t xml:space="preserve"> </w:t>
      </w:r>
      <w:r>
        <w:t xml:space="preserve">superposition, where opposite ReLU branches can recover a sign-symmetric</w:t>
      </w:r>
      <w:r>
        <w:t xml:space="preserve"> </w:t>
      </w:r>
      <w:r>
        <w:t xml:space="preserve">quantity [2]. It does not establish why this classifier learned the code. In</w:t>
      </w:r>
      <w:r>
        <w:t xml:space="preserve"> </w:t>
      </w:r>
      <w:r>
        <w:t xml:space="preserve">particular, eight binary labels in 64 dimensions do not by themselves establish</w:t>
      </w:r>
      <w:r>
        <w:t xml:space="preserve"> </w:t>
      </w:r>
      <w:r>
        <w:t xml:space="preserve">capacity pressure, so I make no capacity-causation claim.</w:t>
      </w:r>
    </w:p>
    <w:bookmarkEnd w:id="17"/>
    <w:bookmarkStart w:id="18" w:name="Xe8ebcdb6929a68fc77bb4edff212e163066e1f0"/>
    <w:p>
      <w:pPr>
        <w:pStyle w:val="Heading2"/>
      </w:pPr>
      <w:r>
        <w:t xml:space="preserve">What the next layer does, and does not show</w:t>
      </w:r>
    </w:p>
    <w:p>
      <w:pPr>
        <w:pStyle w:val="FirstParagraph"/>
      </w:pPr>
      <w:r>
        <w:t xml:space="preserve">The nonlinear code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persist to the output: country is linearly</w:t>
      </w:r>
      <w:r>
        <w:t xml:space="preserve"> </w:t>
      </w:r>
      <w:r>
        <w:t xml:space="preserve">decodable at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(</w:t>
      </w:r>
      <w:r>
        <w:rPr>
          <w:rStyle w:val="VerbatimChar"/>
        </w:rPr>
        <w:t xml:space="preserve">0.964</w:t>
      </w:r>
      <w:r>
        <w:t xml:space="preserve">) and at the logits (</w:t>
      </w:r>
      <w:r>
        <w:rPr>
          <w:rStyle w:val="VerbatimChar"/>
        </w:rPr>
        <w:t xml:space="preserve">0.963</w:t>
      </w:r>
      <w:r>
        <w:t xml:space="preserve">). Two</w:t>
      </w:r>
      <w:r>
        <w:t xml:space="preserve"> </w:t>
      </w:r>
      <w:r>
        <w:rPr>
          <w:rStyle w:val="VerbatimChar"/>
        </w:rPr>
        <w:t xml:space="preserve">h3</w:t>
      </w:r>
      <w:r>
        <w:t xml:space="preserve"> </w:t>
      </w:r>
      <w:r>
        <w:t xml:space="preserve">neurons have</w:t>
      </w:r>
      <w:r>
        <w:t xml:space="preserve"> </w:t>
      </w:r>
      <w:r>
        <w:t xml:space="preserve">large, opposite input-weight alignment with the food direction. A newly fit</w:t>
      </w:r>
      <w:r>
        <w:t xml:space="preserve"> </w:t>
      </w:r>
      <w:r>
        <w:t xml:space="preserve">logistic probe on those two activations scores</w:t>
      </w:r>
      <w:r>
        <w:t xml:space="preserve"> </w:t>
      </w:r>
      <w:r>
        <w:rPr>
          <w:rStyle w:val="VerbatimChar"/>
        </w:rPr>
        <w:t xml:space="preserve">0.895</w:t>
      </w:r>
      <w:r>
        <w:t xml:space="preserve">, but that is correlational.</w:t>
      </w:r>
      <w:r>
        <w:t xml:space="preserve"> </w:t>
      </w:r>
      <w:r>
        <w:t xml:space="preserve">Using the trained model’s actual country-output weights, those two neurons alone</w:t>
      </w:r>
      <w:r>
        <w:t xml:space="preserve"> </w:t>
      </w:r>
      <w:r>
        <w:t xml:space="preserve">score only</w:t>
      </w:r>
      <w:r>
        <w:t xml:space="preserve"> </w:t>
      </w:r>
      <w:r>
        <w:rPr>
          <w:rStyle w:val="VerbatimChar"/>
        </w:rPr>
        <w:t xml:space="preserve">0.517</w:t>
      </w:r>
      <w:r>
        <w:t xml:space="preserve">. Replacing them with their training means leaves accuracy at</w:t>
      </w:r>
      <w:r>
        <w:t xml:space="preserve"> </w:t>
      </w:r>
      <w:r>
        <w:rPr>
          <w:rStyle w:val="VerbatimChar"/>
        </w:rPr>
        <w:t xml:space="preserve">0.967</w:t>
      </w:r>
      <w:r>
        <w:t xml:space="preserve">, compared with</w:t>
      </w:r>
      <w:r>
        <w:t xml:space="preserve"> </w:t>
      </w:r>
      <w:r>
        <w:rPr>
          <w:rStyle w:val="VerbatimChar"/>
        </w:rPr>
        <w:t xml:space="preserve">0.964</w:t>
      </w:r>
      <w:r>
        <w:t xml:space="preserve"> </w:t>
      </w:r>
      <w:r>
        <w:t xml:space="preserve">unablated. They carry country-correlated</w:t>
      </w:r>
      <w:r>
        <w:t xml:space="preserve"> </w:t>
      </w:r>
      <w:r>
        <w:t xml:space="preserve">information, but they are neither sufficient under the trained readout nor shown</w:t>
      </w:r>
      <w:r>
        <w:t xml:space="preserve"> </w:t>
      </w:r>
      <w:r>
        <w:t xml:space="preserve">to be necessary. I therefore do not call them a two-neuron decoder.</w:t>
      </w:r>
    </w:p>
    <w:p>
      <w:pPr>
        <w:pStyle w:val="BodyText"/>
      </w:pPr>
      <w:r>
        <w:t xml:space="preserve">I also discard an earlier</w:t>
      </w:r>
      <w:r>
        <w:t xml:space="preserve"> </w:t>
      </w:r>
      <w:r>
        <w:t xml:space="preserve">“exact rank-1 bilinear”</w:t>
      </w:r>
      <w:r>
        <w:t xml:space="preserve"> </w:t>
      </w:r>
      <w:r>
        <w:t xml:space="preserve">claim. Squaring one selected</w:t>
      </w:r>
      <w:r>
        <w:t xml:space="preserve"> </w:t>
      </w:r>
      <w:r>
        <w:t xml:space="preserve">projection constructs an outer-product matrix of rank one by definition. With</w:t>
      </w:r>
      <w:r>
        <w:t xml:space="preserve"> </w:t>
      </w:r>
      <w:r>
        <w:t xml:space="preserve">the separately fit unstandardized direction, that decoder reaches only</w:t>
      </w:r>
      <w:r>
        <w:t xml:space="preserve"> </w:t>
      </w:r>
      <w:r>
        <w:rPr>
          <w:rStyle w:val="VerbatimChar"/>
        </w:rPr>
        <w:t xml:space="preserve">0.727</w:t>
      </w:r>
      <w:r>
        <w:t xml:space="preserve">;</w:t>
      </w:r>
      <w:r>
        <w:t xml:space="preserve"> </w:t>
      </w:r>
      <w:r>
        <w:t xml:space="preserve">it is a rank-1 quadratic approximation, not an exact account of the classifier.</w:t>
      </w:r>
    </w:p>
    <w:bookmarkEnd w:id="18"/>
    <w:bookmarkEnd w:id="19"/>
    <w:bookmarkStart w:id="27" w:name="Xda0a3625bf14d315e0d97617f1d783db089aac1"/>
    <w:p>
      <w:pPr>
        <w:pStyle w:val="Heading1"/>
      </w:pPr>
      <w:r>
        <w:t xml:space="preserve">Task 3: An interleaved circular representation</w:t>
      </w:r>
    </w:p>
    <w:bookmarkStart w:id="20" w:name="construction"/>
    <w:p>
      <w:pPr>
        <w:pStyle w:val="Heading2"/>
      </w:pPr>
      <w:r>
        <w:t xml:space="preserve">Construction</w:t>
      </w:r>
    </w:p>
    <w:p>
      <w:pPr>
        <w:pStyle w:val="FirstParagraph"/>
      </w:pPr>
      <w:r>
        <w:t xml:space="preserve">A small CNN maps each MNIST image to a two-dimensional bottleneck</w:t>
      </w:r>
      <w:r>
        <w:t xml:space="preserve"> </w:t>
      </w:r>
      <w:r>
        <w:rPr>
          <w:rStyle w:val="VerbatimChar"/>
        </w:rPr>
        <w:t xml:space="preserve">b</w:t>
      </w:r>
      <w:r>
        <w:t xml:space="preserve">, normalized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d>
              <m:dPr>
                <m:begChr m:val="‖"/>
                <m:sepChr m:val=""/>
                <m:endChr m:val="‖"/>
                <m:grow/>
              </m:dPr>
              <m:e>
                <m:r>
                  <m:t>b</m:t>
                </m:r>
              </m:e>
            </m:d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 For digit class</w:t>
      </w:r>
      <w:r>
        <w:t xml:space="preserve"> </w:t>
      </w:r>
      <m:oMath>
        <m:r>
          <m:t>k</m:t>
        </m:r>
      </m:oMath>
      <w:r>
        <w:t xml:space="preserve">, a geometry loss targets angle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  <m:r>
                <m:t>k</m:t>
              </m:r>
            </m:num>
            <m:den>
              <m:r>
                <m:t>10</m:t>
              </m:r>
            </m:den>
          </m:f>
        </m:oMath>
      </m:oMathPara>
    </w:p>
    <w:p>
      <w:pPr>
        <w:pStyle w:val="FirstParagraph"/>
      </w:pPr>
      <w:r>
        <w:t xml:space="preserve">A linear ten-class head predicts the digit [4]. The derived binary feature is parity:</w:t>
      </w:r>
      <w:r>
        <w:t xml:space="preserve"> </w:t>
      </w:r>
      <w:r>
        <w:t xml:space="preserve">even digits are classes</w:t>
      </w:r>
      <w:r>
        <w:t xml:space="preserve"> </w:t>
      </w:r>
      <w:r>
        <w:rPr>
          <w:rStyle w:val="VerbatimChar"/>
        </w:rPr>
        <w:t xml:space="preserve">0, 2, 4, 6, 8</w:t>
      </w:r>
      <w:r>
        <w:t xml:space="preserve">, and odd digits are</w:t>
      </w:r>
      <w:r>
        <w:t xml:space="preserve"> </w:t>
      </w:r>
      <w:r>
        <w:rPr>
          <w:rStyle w:val="VerbatimChar"/>
        </w:rPr>
        <w:t xml:space="preserve">1, 3, 5, 7, 9</w:t>
      </w:r>
      <w:r>
        <w:t xml:space="preserve">.</w:t>
      </w:r>
      <w:r>
        <w:t xml:space="preserve"> </w:t>
      </w:r>
      <w:r>
        <w:t xml:space="preserve">They alternate around the unit circle, so parity occupies five disjoint angular</w:t>
      </w:r>
      <w:r>
        <w:t xml:space="preserve"> </w:t>
      </w:r>
      <w:r>
        <w:t xml:space="preserve">regions rather than one half-space. Unit normalization is essential because it</w:t>
      </w:r>
      <w:r>
        <w:t xml:space="preserve"> </w:t>
      </w:r>
      <w:r>
        <w:t xml:space="preserve">prevents radius from becoming a linear shortcut.</w:t>
      </w:r>
    </w:p>
    <w:bookmarkEnd w:id="20"/>
    <w:bookmarkStart w:id="21" w:name="frozen-evaluation-protocol"/>
    <w:p>
      <w:pPr>
        <w:pStyle w:val="Heading2"/>
      </w:pPr>
      <w:r>
        <w:t xml:space="preserve">Frozen evaluation protocol</w:t>
      </w:r>
    </w:p>
    <w:p>
      <w:pPr>
        <w:pStyle w:val="FirstParagraph"/>
      </w:pPr>
      <w:r>
        <w:t xml:space="preserve">The original exploratory run repeatedly inspected a random split of all 70,000</w:t>
      </w:r>
      <w:r>
        <w:t xml:space="preserve"> </w:t>
      </w:r>
      <w:r>
        <w:t xml:space="preserve">MNIST examples. Because that split included canonical MNIST test images, I treat</w:t>
      </w:r>
      <w:r>
        <w:t xml:space="preserve"> </w:t>
      </w:r>
      <w:r>
        <w:t xml:space="preserve">all results from it as contaminated and do not report them as held-out evidence.</w:t>
      </w:r>
    </w:p>
    <w:p>
      <w:pPr>
        <w:pStyle w:val="BodyText"/>
      </w:pPr>
      <w:r>
        <w:t xml:space="preserve">The corrected protocol was fixed before the confirmatory audit:</w:t>
      </w:r>
    </w:p>
    <w:p>
      <w:pPr>
        <w:pStyle w:val="Compact"/>
        <w:numPr>
          <w:ilvl w:val="0"/>
          <w:numId w:val="1002"/>
        </w:numPr>
      </w:pPr>
      <w:r>
        <w:t xml:space="preserve">canonical MNIST training partition only;</w:t>
      </w:r>
    </w:p>
    <w:p>
      <w:pPr>
        <w:pStyle w:val="Compact"/>
        <w:numPr>
          <w:ilvl w:val="0"/>
          <w:numId w:val="1002"/>
        </w:numPr>
      </w:pPr>
      <w:r>
        <w:t xml:space="preserve">stratified 50,000/10,000 train/validation split, split seed</w:t>
      </w:r>
      <w:r>
        <w:t xml:space="preserve"> </w:t>
      </w:r>
      <w:r>
        <w:rPr>
          <w:rStyle w:val="VerbatimChar"/>
        </w:rPr>
        <w:t xml:space="preserve">17291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training seeds</w:t>
      </w:r>
      <w:r>
        <w:t xml:space="preserve"> </w:t>
      </w:r>
      <w:r>
        <w:rPr>
          <w:rStyle w:val="VerbatimChar"/>
        </w:rPr>
        <w:t xml:space="preserve">11, 29, 47, 71, 101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30 epochs, Adam learning rate</w:t>
      </w:r>
      <w:r>
        <w:t xml:space="preserve"> </w:t>
      </w:r>
      <w:r>
        <w:rPr>
          <w:rStyle w:val="VerbatimChar"/>
        </w:rPr>
        <w:t xml:space="preserve">0.001</w:t>
      </w:r>
      <w:r>
        <w:t xml:space="preserve">, batch size</w:t>
      </w:r>
      <w:r>
        <w:t xml:space="preserve"> </w:t>
      </w:r>
      <w:r>
        <w:rPr>
          <w:rStyle w:val="VerbatimChar"/>
        </w:rPr>
        <w:t xml:space="preserve">256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geometry-loss weight</w:t>
      </w:r>
      <w:r>
        <w:t xml:space="preserve"> </w:t>
      </w:r>
      <w:r>
        <w:rPr>
          <w:rStyle w:val="VerbatimChar"/>
        </w:rPr>
        <w:t xml:space="preserve">1.0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fixed epoch count, with no checkpoint or seed selection on audit outcomes; and</w:t>
      </w:r>
    </w:p>
    <w:p>
      <w:pPr>
        <w:pStyle w:val="Compact"/>
        <w:numPr>
          <w:ilvl w:val="0"/>
          <w:numId w:val="1002"/>
        </w:numPr>
      </w:pPr>
      <w:r>
        <w:t xml:space="preserve">a single confirmatory evaluation on QMNIST</w:t>
      </w:r>
      <w:r>
        <w:t xml:space="preserve"> </w:t>
      </w:r>
      <w:r>
        <w:rPr>
          <w:rStyle w:val="VerbatimChar"/>
        </w:rPr>
        <w:t xml:space="preserve">test50k</w:t>
      </w:r>
      <w:r>
        <w:t xml:space="preserve">, the 50,000 additional</w:t>
      </w:r>
      <w:r>
        <w:t xml:space="preserve"> </w:t>
      </w:r>
      <w:r>
        <w:t xml:space="preserve">reconstructed test digits that do not duplicate the standard MNIST test set</w:t>
      </w:r>
      <w:r>
        <w:t xml:space="preserve"> </w:t>
      </w:r>
      <w:r>
        <w:t xml:space="preserve">[3].</w:t>
      </w:r>
    </w:p>
    <w:p>
      <w:pPr>
        <w:pStyle w:val="FirstParagraph"/>
      </w:pPr>
      <w:r>
        <w:t xml:space="preserve">Training code never loads QMNIST. The audit script refuses to run if its result</w:t>
      </w:r>
      <w:r>
        <w:t xml:space="preserve"> </w:t>
      </w:r>
      <w:r>
        <w:t xml:space="preserve">CSV already exists. Its first invocation stopped before predictions or metrics</w:t>
      </w:r>
      <w:r>
        <w:t xml:space="preserve"> </w:t>
      </w:r>
      <w:r>
        <w:t xml:space="preserve">because raw QMNIST targets expose eight metadata columns; class-column extraction</w:t>
      </w:r>
      <w:r>
        <w:t xml:space="preserve"> </w:t>
      </w:r>
      <w:r>
        <w:t xml:space="preserve">was unit-tested, then the unchanged frozen checkpoints were evaluated once.</w:t>
      </w:r>
      <w:r>
        <w:t xml:space="preserve"> </w:t>
      </w:r>
      <w:r>
        <w:t xml:space="preserve">Checkpoint SHA-256 hashes and the event are recorded in the audit artifacts.</w:t>
      </w:r>
    </w:p>
    <w:bookmarkEnd w:id="21"/>
    <w:bookmarkStart w:id="25" w:name="confirmatory-results"/>
    <w:p>
      <w:pPr>
        <w:pStyle w:val="Heading2"/>
      </w:pPr>
      <w:r>
        <w:t xml:space="preserve">Confirmatory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 on QMNIST test50k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95% CI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Direct ten-class head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[0.786, 0.934]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Refit linear ten-class probe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[0.916, 0.981]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Even/odd linear probe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[0.485, 0.590]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Even/odd nonlinear probe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[0.930, 0.986]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Even/odd majority baseline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[0.506, 0.506]</w:t>
            </w:r>
          </w:p>
        </w:tc>
      </w:tr>
    </w:tbl>
    <w:p>
      <w:pPr>
        <w:pStyle w:val="BodyText"/>
      </w:pPr>
      <w:r>
        <w:t xml:space="preserve">The intervals summarize variation across five training seeds as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t</m:t>
            </m:r>
          </m:e>
          <m:sub>
            <m:r>
              <m:t>0.975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0.975</m:t>
            </m:r>
            <m:r>
              <m:rPr>
                <m:sty m:val="p"/>
              </m:rPr>
              <m:t>,</m:t>
            </m:r>
            <m:r>
              <m:t>4</m:t>
            </m:r>
          </m:sub>
        </m:sSub>
        <m:r>
          <m:rPr>
            <m:sty m:val="p"/>
          </m:rPr>
          <m:t>=</m:t>
        </m:r>
        <m:r>
          <m:t>2.776</m:t>
        </m:r>
      </m:oMath>
      <w:r>
        <w:t xml:space="preserve">; they are not</w:t>
      </w:r>
      <w:r>
        <w:t xml:space="preserve"> </w:t>
      </w:r>
      <w:r>
        <w:t xml:space="preserve">per-example binomial intervals.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Validation digit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 digit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 parity linear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Audit parity nonlinear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</w:tr>
    </w:tbl>
    <w:p>
      <w:pPr>
        <w:pStyle w:val="CaptionedFigure"/>
      </w:pPr>
      <w:r>
        <w:drawing>
          <wp:inline>
            <wp:extent cx="4373880" cy="4373880"/>
            <wp:effectExtent b="0" l="0" r="0" t="0"/>
            <wp:docPr descr="Figure 3. QMNIST audit geometry for seed 71, selected before audit because it had the highest validation digit accuracy. The title reports five-seed means." title="" id="23" name="Picture"/>
            <a:graphic>
              <a:graphicData uri="http://schemas.openxmlformats.org/drawingml/2006/picture">
                <pic:pic>
                  <pic:nvPicPr>
                    <pic:cNvPr descr="../artifacts/results/19_mnist_circular_geometr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373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QMNIST audit geometry for seed 71, selected before audit because it had the highest validation digit accuracy. The title reports five-seed means.</w:t>
      </w:r>
    </w:p>
    <w:p>
      <w:pPr>
        <w:pStyle w:val="BodyText"/>
      </w:pPr>
      <w:r>
        <w:t xml:space="preserve">The mean nonlinear-minus-linear parity gap is</w:t>
      </w:r>
      <w:r>
        <w:t xml:space="preserve"> </w:t>
      </w:r>
      <w:r>
        <w:rPr>
          <w:rStyle w:val="VerbatimChar"/>
        </w:rPr>
        <w:t xml:space="preserve">0.421</w:t>
      </w:r>
      <w:r>
        <w:t xml:space="preserve">; every seed has a gap of</w:t>
      </w:r>
      <w:r>
        <w:t xml:space="preserve"> </w:t>
      </w:r>
      <w:r>
        <w:t xml:space="preserve">at least</w:t>
      </w:r>
      <w:r>
        <w:t xml:space="preserve"> </w:t>
      </w:r>
      <w:r>
        <w:rPr>
          <w:rStyle w:val="VerbatimChar"/>
        </w:rPr>
        <w:t xml:space="preserve">0.374</w:t>
      </w:r>
      <w:r>
        <w:t xml:space="preserve">. The nonlinear result is consistently high. The linear result</w:t>
      </w:r>
      <w:r>
        <w:t xml:space="preserve"> </w:t>
      </w:r>
      <w:r>
        <w:t xml:space="preserve">is near the majority baseline on average, but seed 71 reaches</w:t>
      </w:r>
      <w:r>
        <w:t xml:space="preserve"> </w:t>
      </w:r>
      <w:r>
        <w:rPr>
          <w:rStyle w:val="VerbatimChar"/>
        </w:rPr>
        <w:t xml:space="preserve">0.601</w:t>
      </w:r>
      <w:r>
        <w:t xml:space="preserve">, so the</w:t>
      </w:r>
      <w:r>
        <w:t xml:space="preserve"> </w:t>
      </w:r>
      <w:r>
        <w:t xml:space="preserve">defensible claim is</w:t>
      </w:r>
      <w:r>
        <w:t xml:space="preserve"> </w:t>
      </w:r>
      <w:r>
        <w:rPr>
          <w:b/>
          <w:bCs/>
        </w:rPr>
        <w:t xml:space="preserve">strong and repeatable nonlinear advantage from circular</w:t>
      </w:r>
      <w:r>
        <w:rPr>
          <w:b/>
          <w:bCs/>
        </w:rPr>
        <w:t xml:space="preserve"> </w:t>
      </w:r>
      <w:r>
        <w:rPr>
          <w:b/>
          <w:bCs/>
        </w:rPr>
        <w:t xml:space="preserve">interleaving</w:t>
      </w:r>
      <w:r>
        <w:t xml:space="preserve">, not universal chance-level linear probing. Direct-head digit</w:t>
      </w:r>
      <w:r>
        <w:t xml:space="preserve"> </w:t>
      </w:r>
      <w:r>
        <w:t xml:space="preserve">accuracy is also seed-sensitive (</w:t>
      </w:r>
      <w:r>
        <w:rPr>
          <w:rStyle w:val="VerbatimChar"/>
        </w:rPr>
        <w:t xml:space="preserve">0.795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0.943</w:t>
      </w:r>
      <w:r>
        <w:t xml:space="preserve">), while a refit linear digit</w:t>
      </w:r>
      <w:r>
        <w:t xml:space="preserve"> </w:t>
      </w:r>
      <w:r>
        <w:t xml:space="preserve">probe averages</w:t>
      </w:r>
      <w:r>
        <w:t xml:space="preserve"> </w:t>
      </w:r>
      <w:r>
        <w:rPr>
          <w:rStyle w:val="VerbatimChar"/>
        </w:rPr>
        <w:t xml:space="preserve">0.949</w:t>
      </w:r>
      <w:r>
        <w:t xml:space="preserve">; this is a limitation of optimization in the frozen run,</w:t>
      </w:r>
      <w:r>
        <w:t xml:space="preserve"> </w:t>
      </w:r>
      <w:r>
        <w:t xml:space="preserve">not something removed after seeing audit data.</w:t>
      </w:r>
    </w:p>
    <w:bookmarkEnd w:id="25"/>
    <w:bookmarkStart w:id="26" w:name="Xfb3fcf129c545d5570efa944990234c0879523a"/>
    <w:p>
      <w:pPr>
        <w:pStyle w:val="Heading2"/>
      </w:pPr>
      <w:r>
        <w:t xml:space="preserve">Two failures that motivated the final design</w:t>
      </w:r>
    </w:p>
    <w:p>
      <w:pPr>
        <w:pStyle w:val="FirstParagraph"/>
      </w:pPr>
      <w:r>
        <w:rPr>
          <w:b/>
          <w:bCs/>
        </w:rPr>
        <w:t xml:space="preserve">Binary rotation.</w:t>
      </w:r>
      <w:r>
        <w:t xml:space="preserve"> </w:t>
      </w:r>
      <w:r>
        <w:t xml:space="preserve">I first targeted two angles for binary country. The intended</w:t>
      </w:r>
      <w:r>
        <w:t xml:space="preserve"> </w:t>
      </w:r>
      <w:r>
        <w:t xml:space="preserve">phase separation appeared, but a linear probe reached</w:t>
      </w:r>
      <w:r>
        <w:t xml:space="preserve"> </w:t>
      </w:r>
      <w:r>
        <w:rPr>
          <w:rStyle w:val="VerbatimChar"/>
        </w:rPr>
        <w:t xml:space="preserve">0.989</w:t>
      </w:r>
      <w:r>
        <w:t xml:space="preserve">: two angular</w:t>
      </w:r>
      <w:r>
        <w:t xml:space="preserve"> </w:t>
      </w:r>
      <w:r>
        <w:t xml:space="preserve">clusters are still separable by a line. This motivated interleaving more than two</w:t>
      </w:r>
      <w:r>
        <w:t xml:space="preserve"> </w:t>
      </w:r>
      <w:r>
        <w:t xml:space="preserve">classes around the circle.</w:t>
      </w:r>
    </w:p>
    <w:p>
      <w:pPr>
        <w:pStyle w:val="BodyText"/>
      </w:pPr>
      <w:r>
        <w:rPr>
          <w:b/>
          <w:bCs/>
        </w:rPr>
        <w:t xml:space="preserve">Nominal linked rings.</w:t>
      </w:r>
      <w:r>
        <w:t xml:space="preserve"> </w:t>
      </w:r>
      <w:r>
        <w:t xml:space="preserve">I also tried to place country classes on two linked</w:t>
      </w:r>
      <w:r>
        <w:t xml:space="preserve"> </w:t>
      </w:r>
      <w:r>
        <w:t xml:space="preserve">rings, using binary food as within-ring phase. That loss supplies only</w:t>
      </w:r>
      <w:r>
        <w:t xml:space="preserve"> </w:t>
      </w:r>
      <m:oMath>
        <m:r>
          <m:t>ϕ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}</m:t>
        </m:r>
      </m:oMath>
      <w:r>
        <w:t xml:space="preserve">, hence two target points per nominal ring. Post-hoc inspection</w:t>
      </w:r>
      <w:r>
        <w:t xml:space="preserve"> </w:t>
      </w:r>
      <w:r>
        <w:t xml:space="preserve">finds only</w:t>
      </w:r>
      <w:r>
        <w:t xml:space="preserve"> </w:t>
      </w:r>
      <w:r>
        <w:rPr>
          <w:rStyle w:val="VerbatimChar"/>
        </w:rPr>
        <w:t xml:space="preserve">4/12</w:t>
      </w:r>
      <w:r>
        <w:t xml:space="preserve"> </w:t>
      </w:r>
      <w:r>
        <w:t xml:space="preserve">angular bins containing at least 1% of either class and</w:t>
      </w:r>
      <w:r>
        <w:t xml:space="preserve"> </w:t>
      </w:r>
      <w:r>
        <w:t xml:space="preserve">coordinate standard deviations</w:t>
      </w:r>
      <w:r>
        <w:t xml:space="preserve"> </w:t>
      </w:r>
      <w:r>
        <w:rPr>
          <w:rStyle w:val="VerbatimChar"/>
        </w:rPr>
        <w:t xml:space="preserve">[1.106, 0.139, 0.142]</w:t>
      </w:r>
      <w:r>
        <w:t xml:space="preserve">; the cloud is mostly</w:t>
      </w:r>
      <w:r>
        <w:t xml:space="preserve"> </w:t>
      </w:r>
      <w:r>
        <w:t xml:space="preserve">one-dimensional. Its exploratory linear/nonlinear probe gap (</w:t>
      </w:r>
      <w:r>
        <w:rPr>
          <w:rStyle w:val="VerbatimChar"/>
        </w:rPr>
        <w:t xml:space="preserve">0.533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0.940</w:t>
      </w:r>
      <w:r>
        <w:t xml:space="preserve">) is real but test-contaminated. Ordering one cloud by an assumed ring</w:t>
      </w:r>
      <w:r>
        <w:t xml:space="preserve"> </w:t>
      </w:r>
      <w:r>
        <w:t xml:space="preserve">angle and counting a disc crossing is not a topological invariant. This attempt</w:t>
      </w:r>
      <w:r>
        <w:t xml:space="preserve"> </w:t>
      </w:r>
      <w:r>
        <w:t xml:space="preserve">failed to demonstrate linked rings, and no linking-number claim is retained.</w:t>
      </w:r>
    </w:p>
    <w:bookmarkEnd w:id="26"/>
    <w:bookmarkEnd w:id="27"/>
    <w:bookmarkStart w:id="2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Tasks 1 and 2 identify a localized nonlinear representation: country is hidden</w:t>
      </w:r>
      <w:r>
        <w:t xml:space="preserve"> </w:t>
      </w:r>
      <w:r>
        <w:t xml:space="preserve">from linear readout at</w:t>
      </w:r>
      <w:r>
        <w:t xml:space="preserve"> </w:t>
      </w:r>
      <w:r>
        <w:rPr>
          <w:rStyle w:val="VerbatimChar"/>
        </w:rPr>
        <w:t xml:space="preserve">h2</w:t>
      </w:r>
      <w:r>
        <w:t xml:space="preserve"> </w:t>
      </w:r>
      <w:r>
        <w:t xml:space="preserve">by a sign-symmetric magnitude code tied to the food</w:t>
      </w:r>
      <w:r>
        <w:t xml:space="preserve"> </w:t>
      </w:r>
      <w:r>
        <w:t xml:space="preserve">direction, then relinearized at</w:t>
      </w:r>
      <w:r>
        <w:t xml:space="preserve"> </w:t>
      </w:r>
      <w:r>
        <w:rPr>
          <w:rStyle w:val="VerbatimChar"/>
        </w:rPr>
        <w:t xml:space="preserve">h3</w:t>
      </w:r>
      <w:r>
        <w:t xml:space="preserve">. The causal evidence does not support a</w:t>
      </w:r>
      <w:r>
        <w:t xml:space="preserve"> </w:t>
      </w:r>
      <w:r>
        <w:t xml:space="preserve">specific two-neuron decoder, an exact rank-1 mechanism, or a capacity-based origin</w:t>
      </w:r>
      <w:r>
        <w:t xml:space="preserve"> </w:t>
      </w:r>
      <w:r>
        <w:t xml:space="preserve">story.</w:t>
      </w:r>
    </w:p>
    <w:p>
      <w:pPr>
        <w:pStyle w:val="BodyText"/>
      </w:pPr>
      <w:r>
        <w:t xml:space="preserve">Task 3 shows a more elaborate binary representation by embedding a ten-class</w:t>
      </w:r>
      <w:r>
        <w:t xml:space="preserve"> </w:t>
      </w:r>
      <w:r>
        <w:t xml:space="preserve">variable on a unit circle and reading parity from alternating arcs. On an</w:t>
      </w:r>
      <w:r>
        <w:t xml:space="preserve"> </w:t>
      </w:r>
      <w:r>
        <w:t xml:space="preserve">additional QMNIST audit set and across five frozen seeds, nonlinear parity probes</w:t>
      </w:r>
      <w:r>
        <w:t xml:space="preserve"> </w:t>
      </w:r>
      <w:r>
        <w:t xml:space="preserve">consistently outperform linear probes by a large margin. The seed variation is</w:t>
      </w:r>
      <w:r>
        <w:t xml:space="preserve"> </w:t>
      </w:r>
      <w:r>
        <w:t xml:space="preserve">part of the result: the construction is strongly probe-resistant on average,</w:t>
      </w:r>
      <w:r>
        <w:t xml:space="preserve"> </w:t>
      </w:r>
      <w:r>
        <w:t xml:space="preserve">but not perfectly immune to linear leakage.</w:t>
      </w:r>
    </w:p>
    <w:bookmarkEnd w:id="28"/>
    <w:bookmarkStart w:id="29" w:name="reproducibility"/>
    <w:p>
      <w:pPr>
        <w:pStyle w:val="Heading1"/>
      </w:pPr>
      <w:r>
        <w:t xml:space="preserve">Reproducibility</w:t>
      </w:r>
    </w:p>
    <w:p>
      <w:pPr>
        <w:pStyle w:val="FirstParagraph"/>
      </w:pPr>
      <w:r>
        <w:t xml:space="preserve">The clean setup uses Python 3.11, Torch 2.2, and torchvision 0.17:</w:t>
      </w:r>
    </w:p>
    <w:p>
      <w:pPr>
        <w:pStyle w:val="SourceCode"/>
      </w:pPr>
      <w:r>
        <w:rPr>
          <w:rStyle w:val="ExtensionTok"/>
        </w:rPr>
        <w:t xml:space="preserve">./setup.sh</w:t>
      </w:r>
      <w:r>
        <w:br/>
      </w:r>
      <w:r>
        <w:rPr>
          <w:rStyle w:val="ExtensionTok"/>
        </w:rPr>
        <w:t xml:space="preserve">conda</w:t>
      </w:r>
      <w:r>
        <w:rPr>
          <w:rStyle w:val="NormalTok"/>
        </w:rPr>
        <w:t xml:space="preserve"> activate bluedot-impact-puzzle-1-py311</w:t>
      </w:r>
      <w:r>
        <w:br/>
      </w:r>
      <w:r>
        <w:rPr>
          <w:rStyle w:val="ExtensionTok"/>
        </w:rPr>
        <w:t xml:space="preserve">pytest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p>
      <w:pPr>
        <w:pStyle w:val="FirstParagraph"/>
      </w:pPr>
      <w:r>
        <w:t xml:space="preserve">Task 3’s frozen training entry point is</w:t>
      </w:r>
      <w:r>
        <w:t xml:space="preserve"> </w:t>
      </w:r>
      <w:r>
        <w:rPr>
          <w:rStyle w:val="VerbatimChar"/>
        </w:rPr>
        <w:t xml:space="preserve">scripts/18_train_mnist_circular.py</w:t>
      </w:r>
      <w:r>
        <w:t xml:space="preserve">.</w:t>
      </w:r>
      <w:r>
        <w:t xml:space="preserve"> </w:t>
      </w:r>
      <w:r>
        <w:t xml:space="preserve">The guarded confirmatory entry point is</w:t>
      </w:r>
      <w:r>
        <w:t xml:space="preserve"> </w:t>
      </w:r>
      <w:r>
        <w:rPr>
          <w:rStyle w:val="VerbatimChar"/>
        </w:rPr>
        <w:t xml:space="preserve">scripts/19_analyze_mnist_circular.py</w:t>
      </w:r>
      <w:r>
        <w:t xml:space="preserve">.</w:t>
      </w:r>
      <w:r>
        <w:t xml:space="preserve"> </w:t>
      </w:r>
      <w:r>
        <w:t xml:space="preserve">Protocol metadata, validation metrics, checkpoint hashes, per-seed audit results,</w:t>
      </w:r>
      <w:r>
        <w:t xml:space="preserve"> </w:t>
      </w:r>
      <w:r>
        <w:t xml:space="preserve">and aggregate uncertainty are under</w:t>
      </w:r>
      <w:r>
        <w:t xml:space="preserve"> </w:t>
      </w:r>
      <w:r>
        <w:rPr>
          <w:rStyle w:val="VerbatimChar"/>
        </w:rPr>
        <w:t xml:space="preserve">artifacts/results/18_mnist_*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artifacts/results/19_mnist_*</w:t>
      </w:r>
      <w:r>
        <w:t xml:space="preserve">.</w:t>
      </w:r>
    </w:p>
    <w:bookmarkEnd w:id="29"/>
    <w:bookmarkStart w:id="34" w:name="references"/>
    <w:p>
      <w:pPr>
        <w:pStyle w:val="Heading1"/>
      </w:pPr>
      <w:r>
        <w:t xml:space="preserve">References</w:t>
      </w:r>
    </w:p>
    <w:p>
      <w:pPr>
        <w:pStyle w:val="Compact"/>
        <w:numPr>
          <w:ilvl w:val="0"/>
          <w:numId w:val="1003"/>
        </w:numPr>
      </w:pPr>
      <w:r>
        <w:t xml:space="preserve">Alain, G., and Bengio, Y. (2016, revised 2018).</w:t>
      </w:r>
      <w:r>
        <w:t xml:space="preserve"> </w:t>
      </w:r>
      <w:r>
        <w:t xml:space="preserve">“Understanding intermediate</w:t>
      </w:r>
      <w:r>
        <w:t xml:space="preserve"> </w:t>
      </w:r>
      <w:r>
        <w:t xml:space="preserve">layers using linear classifier probes.”</w:t>
      </w:r>
      <w:r>
        <w:t xml:space="preserve"> </w:t>
      </w:r>
      <w:r>
        <w:t xml:space="preserve">arXiv:1610.01644.</w:t>
      </w:r>
      <w:r>
        <w:t xml:space="preserve"> </w:t>
      </w:r>
      <w:hyperlink r:id="rId30">
        <w:r>
          <w:rPr>
            <w:rStyle w:val="Hyperlink"/>
          </w:rPr>
          <w:t xml:space="preserve">https://arxiv.org/abs/1610.01644</w:t>
        </w:r>
      </w:hyperlink>
    </w:p>
    <w:p>
      <w:pPr>
        <w:pStyle w:val="Compact"/>
        <w:numPr>
          <w:ilvl w:val="0"/>
          <w:numId w:val="1003"/>
        </w:numPr>
      </w:pPr>
      <w:r>
        <w:t xml:space="preserve">Elhage, N., et al. (2022).</w:t>
      </w:r>
      <w:r>
        <w:t xml:space="preserve"> </w:t>
      </w:r>
      <w:r>
        <w:t xml:space="preserve">“Toy Models of Superposition.”</w:t>
      </w:r>
      <w:r>
        <w:t xml:space="preserve"> </w:t>
      </w:r>
      <w:r>
        <w:t xml:space="preserve">Transformer</w:t>
      </w:r>
      <w:r>
        <w:t xml:space="preserve"> </w:t>
      </w:r>
      <w:r>
        <w:t xml:space="preserve">Circuits Thread.</w:t>
      </w:r>
      <w:r>
        <w:t xml:space="preserve"> </w:t>
      </w:r>
      <w:hyperlink r:id="rId31">
        <w:r>
          <w:rPr>
            <w:rStyle w:val="Hyperlink"/>
          </w:rPr>
          <w:t xml:space="preserve">https://transformer-circuits.pub/2022/toy_model/index.html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Yadav, C., and Bottou, L. (2019).</w:t>
      </w:r>
      <w:r>
        <w:t xml:space="preserve"> </w:t>
      </w:r>
      <w:r>
        <w:t xml:space="preserve">“Cold Case: The Lost MNIST Digits.”</w:t>
      </w:r>
      <w:r>
        <w:t xml:space="preserve"> </w:t>
      </w:r>
      <w:r>
        <w:t xml:space="preserve">Advances in Neural Information Processing Systems 32.</w:t>
      </w:r>
      <w:r>
        <w:t xml:space="preserve"> </w:t>
      </w:r>
      <w:hyperlink r:id="rId32">
        <w:r>
          <w:rPr>
            <w:rStyle w:val="Hyperlink"/>
          </w:rPr>
          <w:t xml:space="preserve">https://proceedings.neurips.cc/paper/2019/hash/51c68dc084cb0b8467eafad1330bce66-Abstract.html</w:t>
        </w:r>
      </w:hyperlink>
    </w:p>
    <w:p>
      <w:pPr>
        <w:pStyle w:val="Compact"/>
        <w:numPr>
          <w:ilvl w:val="0"/>
          <w:numId w:val="1003"/>
        </w:numPr>
      </w:pPr>
      <w:r>
        <w:t xml:space="preserve">LeCun, Y., Bottou, L., Bengio, Y., and Haffner, P. (1998).</w:t>
      </w:r>
      <w:r>
        <w:t xml:space="preserve"> </w:t>
      </w:r>
      <w:r>
        <w:t xml:space="preserve">“Gradient-Based</w:t>
      </w:r>
      <w:r>
        <w:t xml:space="preserve"> </w:t>
      </w:r>
      <w:r>
        <w:t xml:space="preserve">Learning Applied to Document Recognition.”</w:t>
      </w:r>
      <w:r>
        <w:t xml:space="preserve"> </w:t>
      </w:r>
      <w:r>
        <w:t xml:space="preserve">Proceedings of the IEEE, 86(11),</w:t>
      </w:r>
      <w:r>
        <w:t xml:space="preserve"> </w:t>
      </w:r>
      <w:r>
        <w:t xml:space="preserve">2278-2324.</w:t>
      </w:r>
      <w:r>
        <w:t xml:space="preserve"> </w:t>
      </w:r>
      <w:hyperlink r:id="rId33">
        <w:r>
          <w:rPr>
            <w:rStyle w:val="Hyperlink"/>
          </w:rPr>
          <w:t xml:space="preserve">https://doi.org/10.1109/5.726791</w:t>
        </w:r>
      </w:hyperlink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hyperlink" Id="rId30" Target="https://arxiv.org/abs/1610.01644" TargetMode="External" /><Relationship Type="http://schemas.openxmlformats.org/officeDocument/2006/relationships/hyperlink" Id="rId33" Target="https://doi.org/10.1109/5.726791" TargetMode="External" /><Relationship Type="http://schemas.openxmlformats.org/officeDocument/2006/relationships/hyperlink" Id="rId32" Target="https://proceedings.neurips.cc/paper/2019/hash/51c68dc084cb0b8467eafad1330bce66-Abstract.html" TargetMode="External" /><Relationship Type="http://schemas.openxmlformats.org/officeDocument/2006/relationships/hyperlink" Id="rId31" Target="https://transformer-circuits.pub/2022/toy_model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arxiv.org/abs/1610.01644" TargetMode="External" /><Relationship Type="http://schemas.openxmlformats.org/officeDocument/2006/relationships/hyperlink" Id="rId33" Target="https://doi.org/10.1109/5.726791" TargetMode="External" /><Relationship Type="http://schemas.openxmlformats.org/officeDocument/2006/relationships/hyperlink" Id="rId32" Target="https://proceedings.neurips.cc/paper/2019/hash/51c68dc084cb0b8467eafad1330bce66-Abstract.html" TargetMode="External" /><Relationship Type="http://schemas.openxmlformats.org/officeDocument/2006/relationships/hyperlink" Id="rId31" Target="https://transformer-circuits.pub/2022/toy_model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Hidden Magnitudes and Circular Codes</dc:title>
  <dc:creator/>
  <cp:keywords/>
  <dcterms:created xsi:type="dcterms:W3CDTF">2026-09-09T06:21:38Z</dcterms:created>
  <dcterms:modified xsi:type="dcterms:W3CDTF">2026-09-09T06:21:38Z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7 September 2026</vt:lpwstr>
  </property>
  <property fmtid="{D5CDD505-2E9C-101B-9397-08002B2CF9AE}" pid="3" name="subtitle">
    <vt:lpwstr>BlueDot Technical AI Safety Puzzle 1</vt:lpwstr>
  </property>
</Properties>
</file>