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160"/>
        <w:jc w:val="center"/>
      </w:pPr>
      <w:r>
        <w:rPr>
          <w:rFonts w:ascii="Calibri" w:hAnsi="Calibri"/>
          <w:b/>
          <w:color w:val="123E48"/>
          <w:sz w:val="60"/>
        </w:rPr>
        <w:t>Dossier de projet</w:t>
      </w:r>
    </w:p>
    <w:p>
      <w:pPr>
        <w:spacing w:after="360"/>
        <w:jc w:val="center"/>
      </w:pPr>
      <w:r>
        <w:rPr>
          <w:rFonts w:ascii="Calibri" w:hAnsi="Calibri"/>
          <w:b w:val="0"/>
          <w:color w:val="F56B61"/>
          <w:sz w:val="36"/>
        </w:rPr>
        <w:t>Music Wall</w:t>
      </w:r>
    </w:p>
    <w:p>
      <w:pPr>
        <w:spacing w:after="1440"/>
        <w:jc w:val="center"/>
      </w:pPr>
      <w:r>
        <w:rPr>
          <w:rFonts w:ascii="Calibri" w:hAnsi="Calibri"/>
          <w:b w:val="0"/>
          <w:color w:val="667A80"/>
          <w:sz w:val="22"/>
        </w:rPr>
        <w:t>Document de travail — à compléter</w:t>
      </w:r>
    </w:p>
    <w:p>
      <w:pPr>
        <w:pStyle w:val="Heading1"/>
      </w:pPr>
      <w:r>
        <w:t>Structure à compléter</w:t>
      </w:r>
    </w:p>
    <w:p>
      <w:r>
        <w:t>Cette trame est prête à recevoir le contenu final du dossier RNCP Music Wall.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color w:val="667A80"/>
        <w:sz w:val="18"/>
      </w:rPr>
      <w:t>Music Wall • RNCP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