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4137"/>
        <w:gridCol w:w="425"/>
        <w:gridCol w:w="475"/>
        <w:gridCol w:w="925"/>
        <w:gridCol w:w="740"/>
      </w:tblGrid>
      <w:tr w14:paraId="6280F4D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03AFDA4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166EE6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419268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3A4C7A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04D447B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75F2C23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FC705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C0601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3B6C6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46729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0.14, 2.57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5544C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6DA7B84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0402B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926F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971E9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9612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0.06, 9.46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0081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14:paraId="288AF18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74BFB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0EFBA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434F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98C6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0.61, 2.15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E664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443DCA5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3CBE4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373F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AD56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3C3A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0.05, 2.56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B24DD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40673FB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85DF5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8E324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4C1FC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2.58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A7528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0.60, 41.5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7B68F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6FDADFC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50582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61772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7B0A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3.34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2313D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0.69, 24.4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19FE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39F67B6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4D05B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7863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713B5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FE492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0.14, 9.77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056C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14:paraId="549667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54F37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1F39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4F2DA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3AC2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0.01, 1.79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BE8BE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18320D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1BFDE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CED7A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E822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41912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0.15, 3.83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EEAD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1AD515B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4"/>
          <w:cantSplit/>
          <w:jc w:val="center"/>
        </w:trPr>
        <w:tc>
          <w:p w14:paraId="6539D807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4ECC8E47">
      <w:pPr>
        <w:pStyle w:val="25"/>
      </w:pP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nionPro-Bold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It2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213C89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B1DAF">
    <w:pPr>
      <w:keepNext w:val="0"/>
      <w:keepLines w:val="0"/>
      <w:widowControl/>
      <w:suppressLineNumbers w:val="0"/>
      <w:jc w:val="left"/>
      <w:rPr>
        <w:sz w:val="22"/>
        <w:szCs w:val="22"/>
      </w:rPr>
    </w:pPr>
    <w:r>
      <w:rPr>
        <w:rFonts w:ascii="MinionPro-Bold" w:hAnsi="MinionPro-Bold" w:eastAsia="MinionPro-Bold" w:cs="MinionPro-Bold"/>
        <w:b/>
        <w:bCs/>
        <w:color w:val="000000"/>
        <w:kern w:val="0"/>
        <w:sz w:val="22"/>
        <w:szCs w:val="22"/>
        <w:lang w:val="en-US" w:eastAsia="zh-CN" w:bidi="ar"/>
      </w:rPr>
      <w:t xml:space="preserve">Table 5. 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>Factors associated with the level of attitudes towards antibiotic resistance among parents of school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/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going children (N=704). </w:t>
    </w:r>
    <w:r>
      <w:rPr>
        <w:rFonts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>OR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 odds ratio, </w:t>
    </w:r>
    <w:r>
      <w:rPr>
        <w:rFonts w:hint="default"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>CI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 confdence interval. *</w:t>
    </w:r>
    <w:r>
      <w:rPr>
        <w:rFonts w:hint="default"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>p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>-value</w:t>
    </w:r>
    <w:r>
      <w:rPr>
        <w:rFonts w:hint="default" w:ascii="Times New Roman" w:hAnsi="Times New Roman" w:eastAsia="SimSun" w:cs="Times New Roman"/>
        <w:color w:val="000000"/>
        <w:kern w:val="0"/>
        <w:sz w:val="22"/>
        <w:szCs w:val="22"/>
        <w:lang w:val="en-US" w:eastAsia="zh-CN" w:bidi="ar"/>
      </w:rPr>
      <w:t>˂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0.05 was considered statistically 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signifcant. Signifcant values are in bold. </w:t>
    </w:r>
  </w:p>
  <w:p w14:paraId="77E0EBF1">
    <w:pPr>
      <w:keepNext w:val="0"/>
      <w:keepLines w:val="0"/>
      <w:widowControl/>
      <w:suppressLineNumbers w:val="0"/>
      <w:jc w:val="left"/>
    </w:pPr>
  </w:p>
  <w:p w14:paraId="02608BD7">
    <w:pPr>
      <w:keepNext w:val="0"/>
      <w:keepLines w:val="0"/>
      <w:widowControl/>
      <w:suppressLineNumbers w:val="0"/>
      <w:jc w:val="left"/>
    </w:pPr>
  </w:p>
  <w:p w14:paraId="2FD0106D">
    <w:pPr>
      <w:pStyle w:val="21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E651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5"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19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19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uiPriority w:val="0"/>
    <w:rPr>
      <w:b/>
      <w:color w:val="007020"/>
    </w:rPr>
  </w:style>
  <w:style w:type="character" w:customStyle="1" w:styleId="55">
    <w:name w:val="DataTypeTok"/>
    <w:basedOn w:val="50"/>
    <w:uiPriority w:val="0"/>
    <w:rPr>
      <w:color w:val="902000"/>
    </w:rPr>
  </w:style>
  <w:style w:type="character" w:customStyle="1" w:styleId="56">
    <w:name w:val="DecValTok"/>
    <w:basedOn w:val="50"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uiPriority w:val="0"/>
    <w:rPr>
      <w:color w:val="BC7A00"/>
    </w:rPr>
  </w:style>
  <w:style w:type="character" w:customStyle="1" w:styleId="78">
    <w:name w:val="AttributeTok"/>
    <w:basedOn w:val="50"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12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2024-12-31T11:47:00Z</dcterms:created>
  <dc:creator>user</dc:creator>
  <cp:lastModifiedBy>user</cp:lastModifiedBy>
  <dcterms:modified xsi:type="dcterms:W3CDTF">2024-12-31T12:16:21Z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BB6FA7710185459D949D9BE13F97AEA5_12</vt:lpwstr>
  </property>
</Properties>
</file>