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CSE445 — Assignment #3</w:t>
        <w:br/>
      </w:r>
      <w:r>
        <w:rPr>
          <w:b/>
          <w:sz w:val="32"/>
        </w:rPr>
        <w:t>Autonomous Local LLM Machine Learning Agent</w:t>
      </w:r>
    </w:p>
    <w:p>
      <w:pPr>
        <w:jc w:val="center"/>
      </w:pPr>
      <w:r>
        <w:rPr>
          <w:i/>
        </w:rPr>
        <w:t>Technical Report</w:t>
      </w:r>
    </w:p>
    <w:p/>
    <w:p>
      <w:pPr>
        <w:pStyle w:val="Heading1"/>
      </w:pPr>
      <w:r>
        <w:t>1. Introduction</w:t>
      </w:r>
    </w:p>
    <w:p>
      <w:pPr>
        <w:spacing w:after="100" w:line="252" w:lineRule="auto"/>
      </w:pPr>
      <w:r>
        <w:t>This project implements an autonomous local machine learning agent using a ReAct-style reasoning loop. The system runs locally through Ollama and a Llama 3.2 3B model, while Python tools provide dataset inspection, classical machine learning, PyTorch classification, feature analysis, and model benchmarking. The implementation was developed in WSL2 with a Python virtual environment. The objective is to demonstrate local LLM orchestration, tool execution, error recovery, memory-assisted interaction, and quantitative comparison of machine learning models.</w:t>
      </w:r>
    </w:p>
    <w:p>
      <w:pPr>
        <w:pStyle w:val="Heading1"/>
      </w:pPr>
      <w:r>
        <w:t>2. System Architecture</w:t>
      </w:r>
    </w:p>
    <w:p>
      <w:pPr>
        <w:spacing w:after="100" w:line="252" w:lineRule="auto"/>
      </w:pPr>
      <w:r>
        <w:t>The architecture consists of a user query, the ReAct agent controller, a local Ollama LLM, a tool registry, and the machine learning utilities. The agent sends the user request and available-tool instructions to the local LLM. The model returns one action at a time. The controller parses the action, executes the corresponding Python tool, records the observation, and continues the reasoning loop until a final answer is produced.</w:t>
      </w:r>
    </w:p>
    <w:tbl>
      <w:tblPr>
        <w:tblStyle w:val="TableGrid"/>
        <w:tblW w:type="auto" w:w="0"/>
        <w:jc w:val="center"/>
        <w:tblLook w:firstColumn="1" w:firstRow="1" w:lastColumn="0" w:lastRow="0" w:noHBand="0" w:noVBand="1" w:val="04A0"/>
      </w:tblPr>
      <w:tblGrid>
        <w:gridCol w:w="9936"/>
      </w:tblGrid>
      <w:tr>
        <w:tc>
          <w:tcPr>
            <w:tcW w:type="dxa" w:w="9936"/>
            <w:vAlign w:val="center"/>
          </w:tcPr>
          <w:p>
            <w:pPr>
              <w:jc w:val="center"/>
            </w:pPr>
            <w:r>
              <w:rPr>
                <w:rFonts w:ascii="Times New Roman" w:hAnsi="Times New Roman"/>
                <w:b/>
                <w:sz w:val="20"/>
              </w:rPr>
              <w:t>USER QUERY</w:t>
            </w:r>
          </w:p>
        </w:tc>
      </w:tr>
      <w:tr>
        <w:tc>
          <w:tcPr>
            <w:tcW w:type="dxa" w:w="9936"/>
            <w:vAlign w:val="center"/>
          </w:tcPr>
          <w:p>
            <w:pPr>
              <w:jc w:val="center"/>
            </w:pPr>
            <w:r>
              <w:rPr>
                <w:rFonts w:ascii="Times New Roman" w:hAnsi="Times New Roman"/>
                <w:sz w:val="20"/>
              </w:rPr>
              <w:t>↓</w:t>
            </w:r>
          </w:p>
        </w:tc>
      </w:tr>
      <w:tr>
        <w:tc>
          <w:tcPr>
            <w:tcW w:type="dxa" w:w="9936"/>
            <w:vAlign w:val="center"/>
          </w:tcPr>
          <w:p>
            <w:pPr>
              <w:jc w:val="center"/>
            </w:pPr>
            <w:r>
              <w:rPr>
                <w:rFonts w:ascii="Times New Roman" w:hAnsi="Times New Roman"/>
                <w:b/>
                <w:sz w:val="20"/>
              </w:rPr>
              <w:t>ReAct Agent Controller</w:t>
              <w:br/>
              <w:t>Prompting • Action Parsing • History • Error Recovery • Memory</w:t>
            </w:r>
          </w:p>
        </w:tc>
      </w:tr>
      <w:tr>
        <w:tc>
          <w:tcPr>
            <w:tcW w:type="dxa" w:w="9936"/>
            <w:vAlign w:val="center"/>
          </w:tcPr>
          <w:p>
            <w:pPr>
              <w:jc w:val="center"/>
            </w:pPr>
            <w:r>
              <w:rPr>
                <w:rFonts w:ascii="Times New Roman" w:hAnsi="Times New Roman"/>
                <w:sz w:val="20"/>
              </w:rPr>
              <w:t>↓</w:t>
            </w:r>
          </w:p>
        </w:tc>
      </w:tr>
      <w:tr>
        <w:tc>
          <w:tcPr>
            <w:tcW w:type="dxa" w:w="9936"/>
            <w:vAlign w:val="center"/>
          </w:tcPr>
          <w:p>
            <w:pPr>
              <w:jc w:val="center"/>
            </w:pPr>
            <w:r>
              <w:rPr>
                <w:rFonts w:ascii="Times New Roman" w:hAnsi="Times New Roman"/>
                <w:b/>
                <w:sz w:val="20"/>
              </w:rPr>
              <w:t>Local Ollama LLM (Llama 3.2:3b)</w:t>
              <w:br/>
              <w:t xml:space="preserve">        ↕</w:t>
              <w:br/>
              <w:t>Tool Registry → ML Tools</w:t>
              <w:br/>
              <w:t>load_dataset_summary | train_sklearn_model | train_pytorch_mlp</w:t>
              <w:br/>
              <w:t>analyze_features | train_advanced_pytorch_classifier</w:t>
            </w:r>
          </w:p>
        </w:tc>
      </w:tr>
    </w:tbl>
    <w:p>
      <w:pPr>
        <w:spacing w:after="100" w:line="252" w:lineRule="auto"/>
      </w:pPr>
      <w:r>
        <w:t>Figure 1. High-level architecture of the local autonomous ML agent.</w:t>
      </w:r>
    </w:p>
    <w:p>
      <w:pPr>
        <w:pStyle w:val="Heading1"/>
      </w:pPr>
      <w:r>
        <w:t>3. ReAct Agent and Tool Execution</w:t>
      </w:r>
    </w:p>
    <w:p>
      <w:pPr>
        <w:spacing w:after="100" w:line="252" w:lineRule="auto"/>
      </w:pPr>
      <w:r>
        <w:t>The main controller is implemented in react_agent.py. It maintains a reasoning history and tracks executed tool calls. The prompt instructs the local model to output exactly one action or one final answer at a time. A parsed action is executed through the tool registry. The real tool observation is then appended to the interaction history so that the next reasoning step can use the result.</w:t>
      </w:r>
    </w:p>
    <w:p>
      <w:pPr>
        <w:spacing w:after="100" w:line="252" w:lineRule="auto"/>
      </w:pPr>
      <w:r>
        <w:t>The agent supports dataset summaries for Iris, Wine, and Breast Cancer; scikit-learn model training; a PyTorch MLP; PCA and Sequential Feature Selection; and an advanced PyTorch classifier with BatchNorm, Dropout, Adam, and StepLR. Compound requests were tested with two-step execution, where the agent first loads the dataset summary and then performs feature analysis.</w:t>
      </w:r>
    </w:p>
    <w:p>
      <w:pPr>
        <w:pStyle w:val="Heading1"/>
      </w:pPr>
      <w:r>
        <w:t>4. Self-Correction and Memory</w:t>
      </w:r>
    </w:p>
    <w:p>
      <w:pPr>
        <w:spacing w:after="100" w:line="252" w:lineRule="auto"/>
      </w:pPr>
      <w:r>
        <w:t>Self-correction is implemented around tool execution errors. When a tool returns an error, the controller adds a self-correction instruction to the reasoning history. The instruction asks the model to identify the failure, choose a valid tool/input, avoid repeating the exact failed call, and continue solving the original request.</w:t>
      </w:r>
    </w:p>
    <w:p>
      <w:pPr>
        <w:spacing w:after="100" w:line="252" w:lineRule="auto"/>
      </w:pPr>
      <w:r>
        <w:t>The project also contains a MEMORY list and a retrieve_memory function. Relevant previous interactions can be supplied to the model, and explicit references such as 'previous interaction' can cause the agent to answer from available memory. This was tested with an Iris question, where the system returned that the dataset has 4 features. The current memory implementation is process-local: a new Python process starts with a fresh MEMORY list. Therefore, it should not be described as persistent disk/database storage.</w:t>
      </w:r>
    </w:p>
    <w:p>
      <w:pPr>
        <w:pStyle w:val="Heading1"/>
      </w:pPr>
      <w:r>
        <w:t>5. Advanced Machine Learning Tools</w:t>
      </w:r>
    </w:p>
    <w:p>
      <w:pPr>
        <w:pStyle w:val="Heading2"/>
      </w:pPr>
      <w:r>
        <w:t>5.1 Hyperparameter / Classical Model Support</w:t>
      </w:r>
    </w:p>
    <w:p>
      <w:pPr>
        <w:spacing w:after="100" w:line="252" w:lineRule="auto"/>
      </w:pPr>
      <w:r>
        <w:t>The scikit-learn training tool supports Decision Tree, Logistic Regression, and Random Forest models in the benchmark workflow. The evaluation uses a fixed train/test split and 5-fold cross-validation. Accuracy, cross-validation mean, cross-validation standard deviation, and a classification report are returned.</w:t>
      </w:r>
    </w:p>
    <w:p>
      <w:pPr>
        <w:pStyle w:val="Heading2"/>
      </w:pPr>
      <w:r>
        <w:t>5.2 Feature Selection and Dimensionality Reduction</w:t>
      </w:r>
    </w:p>
    <w:p>
      <w:pPr>
        <w:spacing w:after="100" w:line="252" w:lineRule="auto"/>
      </w:pPr>
      <w:r>
        <w:t>The analyze_features tool performs PCA and Sequential Feature Selection. For the tested Iris dataset, 2 PCA components explain approximately 92.46% and 5.31% of the variance, while Sequential Feature Selection selected petal length and petal width. For Wine, the first two PCA components explain approximately 99.81% and 0.17% of the variance, with alcohol and flavanoids selected. For Breast Cancer, the first two components explain approximately 98.20% and 1.62% of the variance, with worst texture and worst perimeter selected.</w:t>
      </w:r>
    </w:p>
    <w:p>
      <w:pPr>
        <w:pStyle w:val="Heading2"/>
      </w:pPr>
      <w:r>
        <w:t>5.3 Advanced PyTorch Classifier</w:t>
      </w:r>
    </w:p>
    <w:p>
      <w:pPr>
        <w:spacing w:after="100" w:line="252" w:lineRule="auto"/>
      </w:pPr>
      <w:r>
        <w:t>The project includes an advanced PyTorch classifier using Batch Normalization, Dropout, the Adam optimizer, and a StepLR learning-rate scheduler. These components provide a more robust neural-network training configuration than the baseline MLP.</w:t>
      </w:r>
    </w:p>
    <w:p>
      <w:pPr>
        <w:pStyle w:val="Heading1"/>
      </w:pPr>
      <w:r>
        <w:t>6. Experimental Benchmark</w:t>
      </w:r>
    </w:p>
    <w:p>
      <w:pPr>
        <w:spacing w:after="100" w:line="252" w:lineRule="auto"/>
      </w:pPr>
      <w:r>
        <w:t>A dedicated benchmark_runner.py evaluates three algorithms across two datasets. The benchmark executes Decision Tree, Logistic Regression, and Random Forest on Iris and Wine and generates benchmark_results.md containing a Markdown experimental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8"/>
              </w:rPr>
              <w:t>Dataset</w:t>
            </w:r>
          </w:p>
        </w:tc>
        <w:tc>
          <w:tcPr>
            <w:tcW w:type="dxa" w:w="1987"/>
          </w:tcPr>
          <w:p>
            <w:r>
              <w:rPr>
                <w:b/>
                <w:sz w:val="18"/>
              </w:rPr>
              <w:t>Algorithm</w:t>
            </w:r>
          </w:p>
        </w:tc>
        <w:tc>
          <w:tcPr>
            <w:tcW w:type="dxa" w:w="1987"/>
          </w:tcPr>
          <w:p>
            <w:r>
              <w:rPr>
                <w:b/>
                <w:sz w:val="18"/>
              </w:rPr>
              <w:t>Test Accuracy</w:t>
            </w:r>
          </w:p>
        </w:tc>
        <w:tc>
          <w:tcPr>
            <w:tcW w:type="dxa" w:w="1987"/>
          </w:tcPr>
          <w:p>
            <w:r>
              <w:rPr>
                <w:b/>
                <w:sz w:val="18"/>
              </w:rPr>
              <w:t>CV Mean</w:t>
            </w:r>
          </w:p>
        </w:tc>
        <w:tc>
          <w:tcPr>
            <w:tcW w:type="dxa" w:w="1987"/>
          </w:tcPr>
          <w:p>
            <w:r>
              <w:rPr>
                <w:b/>
                <w:sz w:val="18"/>
              </w:rPr>
              <w:t>CV Std</w:t>
            </w:r>
          </w:p>
        </w:tc>
      </w:tr>
      <w:tr>
        <w:tc>
          <w:tcPr>
            <w:tcW w:type="dxa" w:w="1987"/>
          </w:tcPr>
          <w:p>
            <w:r>
              <w:rPr>
                <w:sz w:val="18"/>
              </w:rPr>
              <w:t>Iris</w:t>
            </w:r>
          </w:p>
        </w:tc>
        <w:tc>
          <w:tcPr>
            <w:tcW w:type="dxa" w:w="1987"/>
          </w:tcPr>
          <w:p>
            <w:r>
              <w:rPr>
                <w:sz w:val="18"/>
              </w:rPr>
              <w:t>Decision Tree</w:t>
            </w:r>
          </w:p>
        </w:tc>
        <w:tc>
          <w:tcPr>
            <w:tcW w:type="dxa" w:w="1987"/>
          </w:tcPr>
          <w:p>
            <w:r>
              <w:rPr>
                <w:sz w:val="18"/>
              </w:rPr>
              <w:t>0.9333</w:t>
            </w:r>
          </w:p>
        </w:tc>
        <w:tc>
          <w:tcPr>
            <w:tcW w:type="dxa" w:w="1987"/>
          </w:tcPr>
          <w:p>
            <w:r>
              <w:rPr>
                <w:sz w:val="18"/>
              </w:rPr>
              <w:t>0.9533</w:t>
            </w:r>
          </w:p>
        </w:tc>
        <w:tc>
          <w:tcPr>
            <w:tcW w:type="dxa" w:w="1987"/>
          </w:tcPr>
          <w:p>
            <w:r>
              <w:rPr>
                <w:sz w:val="18"/>
              </w:rPr>
              <w:t>0.0340</w:t>
            </w:r>
          </w:p>
        </w:tc>
      </w:tr>
      <w:tr>
        <w:tc>
          <w:tcPr>
            <w:tcW w:type="dxa" w:w="1987"/>
          </w:tcPr>
          <w:p>
            <w:r>
              <w:rPr>
                <w:sz w:val="18"/>
              </w:rPr>
              <w:t>Iris</w:t>
            </w:r>
          </w:p>
        </w:tc>
        <w:tc>
          <w:tcPr>
            <w:tcW w:type="dxa" w:w="1987"/>
          </w:tcPr>
          <w:p>
            <w:r>
              <w:rPr>
                <w:sz w:val="18"/>
              </w:rPr>
              <w:t>Logistic Regression</w:t>
            </w:r>
          </w:p>
        </w:tc>
        <w:tc>
          <w:tcPr>
            <w:tcW w:type="dxa" w:w="1987"/>
          </w:tcPr>
          <w:p>
            <w:r>
              <w:rPr>
                <w:sz w:val="18"/>
              </w:rPr>
              <w:t>0.9333</w:t>
            </w:r>
          </w:p>
        </w:tc>
        <w:tc>
          <w:tcPr>
            <w:tcW w:type="dxa" w:w="1987"/>
          </w:tcPr>
          <w:p>
            <w:r>
              <w:rPr>
                <w:sz w:val="18"/>
              </w:rPr>
              <w:t>0.9600</w:t>
            </w:r>
          </w:p>
        </w:tc>
        <w:tc>
          <w:tcPr>
            <w:tcW w:type="dxa" w:w="1987"/>
          </w:tcPr>
          <w:p>
            <w:r>
              <w:rPr>
                <w:sz w:val="18"/>
              </w:rPr>
              <w:t>0.0389</w:t>
            </w:r>
          </w:p>
        </w:tc>
      </w:tr>
      <w:tr>
        <w:tc>
          <w:tcPr>
            <w:tcW w:type="dxa" w:w="1987"/>
          </w:tcPr>
          <w:p>
            <w:r>
              <w:rPr>
                <w:sz w:val="18"/>
              </w:rPr>
              <w:t>Iris</w:t>
            </w:r>
          </w:p>
        </w:tc>
        <w:tc>
          <w:tcPr>
            <w:tcW w:type="dxa" w:w="1987"/>
          </w:tcPr>
          <w:p>
            <w:r>
              <w:rPr>
                <w:sz w:val="18"/>
              </w:rPr>
              <w:t>Random Forest</w:t>
            </w:r>
          </w:p>
        </w:tc>
        <w:tc>
          <w:tcPr>
            <w:tcW w:type="dxa" w:w="1987"/>
          </w:tcPr>
          <w:p>
            <w:r>
              <w:rPr>
                <w:sz w:val="18"/>
              </w:rPr>
              <w:t>0.9000</w:t>
            </w:r>
          </w:p>
        </w:tc>
        <w:tc>
          <w:tcPr>
            <w:tcW w:type="dxa" w:w="1987"/>
          </w:tcPr>
          <w:p>
            <w:r>
              <w:rPr>
                <w:sz w:val="18"/>
              </w:rPr>
              <w:t>0.9667</w:t>
            </w:r>
          </w:p>
        </w:tc>
        <w:tc>
          <w:tcPr>
            <w:tcW w:type="dxa" w:w="1987"/>
          </w:tcPr>
          <w:p>
            <w:r>
              <w:rPr>
                <w:sz w:val="18"/>
              </w:rPr>
              <w:t>0.0211</w:t>
            </w:r>
          </w:p>
        </w:tc>
      </w:tr>
      <w:tr>
        <w:tc>
          <w:tcPr>
            <w:tcW w:type="dxa" w:w="1987"/>
          </w:tcPr>
          <w:p>
            <w:r>
              <w:rPr>
                <w:sz w:val="18"/>
              </w:rPr>
              <w:t>Wine</w:t>
            </w:r>
          </w:p>
        </w:tc>
        <w:tc>
          <w:tcPr>
            <w:tcW w:type="dxa" w:w="1987"/>
          </w:tcPr>
          <w:p>
            <w:r>
              <w:rPr>
                <w:sz w:val="18"/>
              </w:rPr>
              <w:t>Decision Tree</w:t>
            </w:r>
          </w:p>
        </w:tc>
        <w:tc>
          <w:tcPr>
            <w:tcW w:type="dxa" w:w="1987"/>
          </w:tcPr>
          <w:p>
            <w:r>
              <w:rPr>
                <w:sz w:val="18"/>
              </w:rPr>
              <w:t>0.9444</w:t>
            </w:r>
          </w:p>
        </w:tc>
        <w:tc>
          <w:tcPr>
            <w:tcW w:type="dxa" w:w="1987"/>
          </w:tcPr>
          <w:p>
            <w:r>
              <w:rPr>
                <w:sz w:val="18"/>
              </w:rPr>
              <w:t>0.8937</w:t>
            </w:r>
          </w:p>
        </w:tc>
        <w:tc>
          <w:tcPr>
            <w:tcW w:type="dxa" w:w="1987"/>
          </w:tcPr>
          <w:p>
            <w:r>
              <w:rPr>
                <w:sz w:val="18"/>
              </w:rPr>
              <w:t>0.0472</w:t>
            </w:r>
          </w:p>
        </w:tc>
      </w:tr>
      <w:tr>
        <w:tc>
          <w:tcPr>
            <w:tcW w:type="dxa" w:w="1987"/>
          </w:tcPr>
          <w:p>
            <w:r>
              <w:rPr>
                <w:sz w:val="18"/>
              </w:rPr>
              <w:t>Wine</w:t>
            </w:r>
          </w:p>
        </w:tc>
        <w:tc>
          <w:tcPr>
            <w:tcW w:type="dxa" w:w="1987"/>
          </w:tcPr>
          <w:p>
            <w:r>
              <w:rPr>
                <w:sz w:val="18"/>
              </w:rPr>
              <w:t>Logistic Regression</w:t>
            </w:r>
          </w:p>
        </w:tc>
        <w:tc>
          <w:tcPr>
            <w:tcW w:type="dxa" w:w="1987"/>
          </w:tcPr>
          <w:p>
            <w:r>
              <w:rPr>
                <w:sz w:val="18"/>
              </w:rPr>
              <w:t>0.9722</w:t>
            </w:r>
          </w:p>
        </w:tc>
        <w:tc>
          <w:tcPr>
            <w:tcW w:type="dxa" w:w="1987"/>
          </w:tcPr>
          <w:p>
            <w:r>
              <w:rPr>
                <w:sz w:val="18"/>
              </w:rPr>
              <w:t>0.9832</w:t>
            </w:r>
          </w:p>
        </w:tc>
        <w:tc>
          <w:tcPr>
            <w:tcW w:type="dxa" w:w="1987"/>
          </w:tcPr>
          <w:p>
            <w:r>
              <w:rPr>
                <w:sz w:val="18"/>
              </w:rPr>
              <w:t>0.0137</w:t>
            </w:r>
          </w:p>
        </w:tc>
      </w:tr>
      <w:tr>
        <w:tc>
          <w:tcPr>
            <w:tcW w:type="dxa" w:w="1987"/>
          </w:tcPr>
          <w:p>
            <w:r>
              <w:rPr>
                <w:sz w:val="18"/>
              </w:rPr>
              <w:t>Wine</w:t>
            </w:r>
          </w:p>
        </w:tc>
        <w:tc>
          <w:tcPr>
            <w:tcW w:type="dxa" w:w="1987"/>
          </w:tcPr>
          <w:p>
            <w:r>
              <w:rPr>
                <w:sz w:val="18"/>
              </w:rPr>
              <w:t>Random Forest</w:t>
            </w:r>
          </w:p>
        </w:tc>
        <w:tc>
          <w:tcPr>
            <w:tcW w:type="dxa" w:w="1987"/>
          </w:tcPr>
          <w:p>
            <w:r>
              <w:rPr>
                <w:sz w:val="18"/>
              </w:rPr>
              <w:t>1.0000</w:t>
            </w:r>
          </w:p>
        </w:tc>
        <w:tc>
          <w:tcPr>
            <w:tcW w:type="dxa" w:w="1987"/>
          </w:tcPr>
          <w:p>
            <w:r>
              <w:rPr>
                <w:sz w:val="18"/>
              </w:rPr>
              <w:t>0.9610</w:t>
            </w:r>
          </w:p>
        </w:tc>
        <w:tc>
          <w:tcPr>
            <w:tcW w:type="dxa" w:w="1987"/>
          </w:tcPr>
          <w:p>
            <w:r>
              <w:rPr>
                <w:sz w:val="18"/>
              </w:rPr>
              <w:t>0.0221</w:t>
            </w:r>
          </w:p>
        </w:tc>
      </w:tr>
    </w:tbl>
    <w:p>
      <w:pPr>
        <w:spacing w:after="100" w:line="252" w:lineRule="auto"/>
      </w:pPr>
      <w:r>
        <w:t>Table 1. Experimental model-comparison results from the benchmark runner.</w:t>
      </w:r>
    </w:p>
    <w:p>
      <w:pPr>
        <w:pStyle w:val="Heading1"/>
      </w:pPr>
      <w:r>
        <w:t>7. Analysis of Results</w:t>
      </w:r>
    </w:p>
    <w:p>
      <w:pPr>
        <w:spacing w:after="100" w:line="252" w:lineRule="auto"/>
      </w:pPr>
      <w:r>
        <w:t>The benchmark shows that model performance depends on the dataset and evaluation metric. For Iris, Random Forest has the highest cross-validation mean accuracy (0.9667), although its single held-out test accuracy in this run is 0.9000. Logistic Regression has a CV mean of 0.9600 with a standard deviation of 0.0389. For Wine, Logistic Regression gives the highest cross-validation mean accuracy (0.9832) and the lowest cross-validation standard deviation among the three Wine models (0.0137). Random Forest achieves the highest held-out test accuracy (1.0000), but its CV mean is lower than Logistic Regression at 0.9610.</w:t>
      </w:r>
    </w:p>
    <w:p>
      <w:pPr>
        <w:spacing w:after="100" w:line="252" w:lineRule="auto"/>
      </w:pPr>
      <w:r>
        <w:t>These results illustrate why model selection should not rely on a single test split. The cross-validation mean estimates average performance over folds, while the standard deviation indicates variability across folds. A model with a slightly lower test score can still have more stable or stronger cross-validation performance.</w:t>
      </w:r>
    </w:p>
    <w:p>
      <w:pPr>
        <w:pStyle w:val="Heading1"/>
      </w:pPr>
      <w:r>
        <w:t>8. Multi-Step Execution Traces</w:t>
      </w:r>
    </w:p>
    <w:p>
      <w:pPr>
        <w:spacing w:after="100" w:line="252" w:lineRule="auto"/>
      </w:pPr>
      <w:r>
        <w:t>Three multi-step traces were captured in execution_logs.txt. Trace 1 used Iris, Trace 2 used Wine, and Trace 3 used Breast Cancer. Each trace executed load_dataset_summary followed by analyze_features. These traces demonstrate sequential tool execution and observation passing within a compound request.</w:t>
      </w:r>
    </w:p>
    <w:p>
      <w:pPr>
        <w:pStyle w:val="Heading1"/>
      </w:pPr>
      <w:r>
        <w:t>9. Error Recovery Test</w:t>
      </w:r>
    </w:p>
    <w:p>
      <w:pPr>
        <w:spacing w:after="100" w:line="252" w:lineRule="auto"/>
      </w:pPr>
      <w:r>
        <w:t>An invalid dataset request using the name 'banana' was used to exercise the error-recovery path. The agent initially attempted the invalid dataset, received a tool error, and then selected a valid dataset/tool path instead of repeating the exact failed call. This verifies the self-correction mechanism at the controller level.</w:t>
      </w:r>
    </w:p>
    <w:p>
      <w:pPr>
        <w:pStyle w:val="Heading1"/>
      </w:pPr>
      <w:r>
        <w:t>10. Reproducibility and Engineering Quality</w:t>
      </w:r>
    </w:p>
    <w:p>
      <w:pPr>
        <w:spacing w:after="100" w:line="252" w:lineRule="auto"/>
      </w:pPr>
      <w:r>
        <w:t>The project includes requirements.txt with the environment versions used during development: NumPy 2.5.2, Requests 2.34.2, scikit-learn 1.9.0, and PyTorch 2.13.0. The benchmark output is saved as benchmark_results.md, and the three execution traces are saved in execution_logs.txt. The repository was committed and pushed to GitHub after the implementation and benchmark work.</w:t>
      </w:r>
    </w:p>
    <w:p>
      <w:pPr>
        <w:pStyle w:val="Heading1"/>
      </w:pPr>
      <w:r>
        <w:t>11. Limitations and Future Improvements</w:t>
      </w:r>
    </w:p>
    <w:p>
      <w:pPr>
        <w:spacing w:after="100" w:line="252" w:lineRule="auto"/>
      </w:pPr>
      <w:r>
        <w:t>The local 3B language model can occasionally repeat an already completed tool call on compound requests. Deterministic compound-task handling was therefore added for explicit summary-plus-feature-analysis requests. A future version could use a more general task planner or structured state machine for arbitrary multi-tool plans.</w:t>
      </w:r>
    </w:p>
    <w:p>
      <w:pPr>
        <w:spacing w:after="100" w:line="252" w:lineRule="auto"/>
      </w:pPr>
      <w:r>
        <w:t>The current MEMORY list is process-local and is not durable across separate Python executions. A production-oriented implementation could replace it with SQLite, a JSON-backed store, or another persistent memory layer. Additional improvements could include automated latency measurement, more datasets, more algorithms, confidence intervals, and repeated benchmark runs with controlled random seeds.</w:t>
      </w:r>
    </w:p>
    <w:p>
      <w:pPr>
        <w:pStyle w:val="Heading1"/>
      </w:pPr>
      <w:r>
        <w:t>12. Conclusion</w:t>
      </w:r>
    </w:p>
    <w:p>
      <w:pPr>
        <w:spacing w:after="100" w:line="252" w:lineRule="auto"/>
      </w:pPr>
      <w:r>
        <w:t>The completed system demonstrates a local autonomous ML agent that combines an Ollama-hosted LLM with Python machine-learning tools. The project covers ReAct-style action selection, tool execution, self-correction, memory-assisted interaction, advanced ML utilities, cross-validation benchmarking, Markdown result generation, and multi-step execution traces. The benchmark confirms meaningful differences among models across datasets and provides a quantitative basis for discussing accuracy and variability.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CSE445 Assignment #3 —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