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300"/>
        <w:jc w:val="center"/>
      </w:pPr>
      <w:r>
        <w:rPr>
          <w:rFonts w:ascii="Calibri" w:cs="Calibri" w:eastAsia="Calibri" w:hAnsi="Calibri"/>
          <w:b/>
          <w:bCs/>
          <w:color w:val="1F3864"/>
          <w:sz w:val="32"/>
          <w:szCs w:val="32"/>
        </w:rPr>
        <w:t xml:space="preserve">WEEK 3: SYSTEM DEVELOPMENT I</w:t>
      </w:r>
    </w:p>
    <w:p>
      <w:pPr>
        <w:spacing w:after="300"/>
        <w:jc w:val="center"/>
      </w:pPr>
      <w:r>
        <w:rPr>
          <w:rFonts w:ascii="Calibri" w:cs="Calibri" w:eastAsia="Calibri" w:hAnsi="Calibri"/>
          <w:i/>
          <w:iCs/>
          <w:color w:val="595959"/>
          <w:sz w:val="22"/>
          <w:szCs w:val="22"/>
        </w:rPr>
        <w:t xml:space="preserve">Consolidated Accomplishment Report — Forms 1 to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F3864" w:color="auto"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19"/>
                <w:szCs w:val="19"/>
              </w:rPr>
              <w:t xml:space="preserve">Item</w:t>
            </w:r>
          </w:p>
        </w:tc>
        <w:tc>
          <w:tcPr>
            <w:tcW w:type="dxa" w:w="6960"/>
            <w:shd w:fill="1F3864" w:color="auto"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19"/>
                <w:szCs w:val="19"/>
              </w:rPr>
              <w:t xml:space="preserve">Detail</w:t>
            </w:r>
          </w:p>
        </w:tc>
      </w:tr>
      <w:tr>
        <w:tc>
          <w:tcPr>
            <w:tcW w:type="dxa" w:w="24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Project Title</w:t>
            </w:r>
          </w:p>
        </w:tc>
        <w:tc>
          <w:tcPr>
            <w:tcW w:type="dxa" w:w="69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A Cybersecurity Integrated Digital Leave Management System With Real-Time Intrusion Alerts For Local Government Unit Of Alicia</w:t>
            </w:r>
          </w:p>
        </w:tc>
      </w:tr>
      <w:tr>
        <w:tc>
          <w:tcPr>
            <w:tcW w:type="dxa" w:w="24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Degree Program</w:t>
            </w:r>
          </w:p>
        </w:tc>
        <w:tc>
          <w:tcPr>
            <w:tcW w:type="dxa" w:w="69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Bachelor of Science in Information Technology</w:t>
            </w:r>
          </w:p>
        </w:tc>
      </w:tr>
      <w:tr>
        <w:tc>
          <w:tcPr>
            <w:tcW w:type="dxa" w:w="24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Team Members</w:t>
            </w:r>
          </w:p>
        </w:tc>
        <w:tc>
          <w:tcPr>
            <w:tcW w:type="dxa" w:w="69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Macarubbo, Noly J., Jr.</w:t>
            </w:r>
          </w:p>
          <w:p>
            <w:pPr>
              <w:spacing w:after="40" w:before="20"/>
            </w:pPr>
            <w:r>
              <w:rPr>
                <w:rFonts w:ascii="Calibri" w:cs="Calibri" w:eastAsia="Calibri" w:hAnsi="Calibri"/>
                <w:sz w:val="19"/>
                <w:szCs w:val="19"/>
              </w:rPr>
              <w:t xml:space="preserve">Mendoza, Alexander John T.</w:t>
            </w:r>
          </w:p>
          <w:p>
            <w:pPr>
              <w:spacing w:after="40" w:before="20"/>
            </w:pPr>
            <w:r>
              <w:rPr>
                <w:rFonts w:ascii="Calibri" w:cs="Calibri" w:eastAsia="Calibri" w:hAnsi="Calibri"/>
                <w:sz w:val="19"/>
                <w:szCs w:val="19"/>
              </w:rPr>
              <w:t xml:space="preserve">Mendoza, Dj Robin O. (Group Leader)</w:t>
            </w:r>
          </w:p>
        </w:tc>
      </w:tr>
      <w:tr>
        <w:tc>
          <w:tcPr>
            <w:tcW w:type="dxa" w:w="24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Client</w:t>
            </w:r>
          </w:p>
        </w:tc>
        <w:tc>
          <w:tcPr>
            <w:tcW w:type="dxa" w:w="69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Local Government Unit (LGU) of Alicia, Isabela</w:t>
            </w:r>
          </w:p>
        </w:tc>
      </w:tr>
      <w:tr>
        <w:tc>
          <w:tcPr>
            <w:tcW w:type="dxa" w:w="24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Repository URL</w:t>
            </w:r>
          </w:p>
        </w:tc>
        <w:tc>
          <w:tcPr>
            <w:tcW w:type="dxa" w:w="69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https://github.com/jannces/DJ</w:t>
            </w:r>
          </w:p>
        </w:tc>
      </w:tr>
      <w:tr>
        <w:tc>
          <w:tcPr>
            <w:tcW w:type="dxa" w:w="24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Development Period</w:t>
            </w:r>
          </w:p>
        </w:tc>
        <w:tc>
          <w:tcPr>
            <w:tcW w:type="dxa" w:w="69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July 12 – 14, 2026</w:t>
            </w:r>
          </w:p>
        </w:tc>
      </w:tr>
      <w:tr>
        <w:tc>
          <w:tcPr>
            <w:tcW w:type="dxa" w:w="24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Date Submitted</w:t>
            </w:r>
          </w:p>
        </w:tc>
        <w:tc>
          <w:tcPr>
            <w:tcW w:type="dxa" w:w="69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August 5, 2026</w:t>
            </w:r>
          </w:p>
        </w:tc>
      </w:tr>
    </w:tbl>
    <w:p>
      <w:pPr>
        <w:spacing w:after="120" w:before="80"/>
      </w:pPr>
      <w:r>
        <w:rPr>
          <w:rFonts w:ascii="Calibri" w:cs="Calibri" w:eastAsia="Calibri" w:hAnsi="Calibri"/>
          <w:i/>
          <w:iCs/>
          <w:color w:val="595959"/>
          <w:sz w:val="18"/>
          <w:szCs w:val="18"/>
        </w:rPr>
        <w:t xml:space="preserve">Note: Target dates and member assignments below reflect the team's actual division of work — adjust the names in Form 1 if your internal assignment differs.</w:t>
      </w:r>
    </w:p>
    <w:p>
      <w:r>
        <w:br w:type="page"/>
      </w:r>
    </w:p>
    <w:p>
      <w:pPr>
        <w:spacing w:after="40" w:before="240"/>
        <w:jc w:val="center"/>
      </w:pPr>
      <w:r>
        <w:rPr>
          <w:rFonts w:ascii="Calibri" w:cs="Calibri" w:eastAsia="Calibri" w:hAnsi="Calibri"/>
          <w:b/>
          <w:bCs/>
          <w:color w:val="1F3864"/>
          <w:sz w:val="26"/>
          <w:szCs w:val="26"/>
        </w:rPr>
        <w:t xml:space="preserve">FORM 1</w:t>
      </w:r>
    </w:p>
    <w:p>
      <w:pPr>
        <w:pBdr>
          <w:bottom w:val="single" w:color="1F3864" w:sz="8" w:space="4"/>
        </w:pBdr>
        <w:spacing w:after="160"/>
        <w:jc w:val="center"/>
      </w:pPr>
      <w:r>
        <w:rPr>
          <w:rFonts w:ascii="Calibri" w:cs="Calibri" w:eastAsia="Calibri" w:hAnsi="Calibri"/>
          <w:b/>
          <w:bCs/>
          <w:color w:val="1F3864"/>
          <w:sz w:val="23"/>
          <w:szCs w:val="23"/>
        </w:rPr>
        <w:t xml:space="preserve">WEEK 3 MODULE DEVELOPMENT PLAN</w:t>
      </w:r>
    </w:p>
    <w:p>
      <w:pPr>
        <w:spacing w:after="100" w:before="0"/>
      </w:pPr>
      <w:r>
        <w:rPr>
          <w:rFonts w:ascii="Calibri" w:cs="Calibri" w:eastAsia="Calibri" w:hAnsi="Calibri"/>
          <w:i/>
          <w:iCs/>
          <w:sz w:val="19"/>
          <w:szCs w:val="19"/>
        </w:rPr>
        <w:t xml:space="preserve">Directions: List all modules scheduled for development this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60"/>
        <w:gridCol w:w="1800"/>
        <w:gridCol w:w="1700"/>
      </w:tblGrid>
      <w:tr>
        <w:trPr>
          <w:tblHeader/>
        </w:trPr>
        <w:tc>
          <w:tcPr>
            <w:tcW w:type="dxa" w:w="2000"/>
            <w:shd w:fill="1F3864" w:color="auto"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19"/>
                <w:szCs w:val="19"/>
              </w:rPr>
              <w:t xml:space="preserve">Module</w:t>
            </w:r>
          </w:p>
        </w:tc>
        <w:tc>
          <w:tcPr>
            <w:tcW w:type="dxa" w:w="3860"/>
            <w:shd w:fill="1F3864" w:color="auto"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19"/>
                <w:szCs w:val="19"/>
              </w:rPr>
              <w:t xml:space="preserve">Description</w:t>
            </w:r>
          </w:p>
        </w:tc>
        <w:tc>
          <w:tcPr>
            <w:tcW w:type="dxa" w:w="1800"/>
            <w:shd w:fill="1F3864" w:color="auto"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19"/>
                <w:szCs w:val="19"/>
              </w:rPr>
              <w:t xml:space="preserve">Assigned Member</w:t>
            </w:r>
          </w:p>
        </w:tc>
        <w:tc>
          <w:tcPr>
            <w:tcW w:type="dxa" w:w="1700"/>
            <w:shd w:fill="1F3864" w:color="auto"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19"/>
                <w:szCs w:val="19"/>
              </w:rPr>
              <w:t xml:space="preserve">Target Completion</w:t>
            </w:r>
          </w:p>
        </w:tc>
      </w:tr>
      <w:tr>
        <w:tc>
          <w:tcPr>
            <w:tcW w:type="dxa" w:w="20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1. Authentication &amp; Session Security</w:t>
            </w:r>
          </w:p>
        </w:tc>
        <w:tc>
          <w:tcPr>
            <w:tcW w:type="dxa" w:w="38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Login by username or email, email OTP second factor, 3-strike account lockout for 24 hours, forgot/reset password, forced password change, idle session timeout, authorized-device checking.</w:t>
            </w:r>
          </w:p>
        </w:tc>
        <w:tc>
          <w:tcPr>
            <w:tcW w:type="dxa" w:w="18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Mendoza, Dj Robin O.</w:t>
            </w:r>
          </w:p>
        </w:tc>
        <w:tc>
          <w:tcPr>
            <w:tcW w:type="dxa" w:w="17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July 12, 2026</w:t>
            </w:r>
          </w:p>
        </w:tc>
      </w:tr>
      <w:tr>
        <w:tc>
          <w:tcPr>
            <w:tcW w:type="dxa" w:w="20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2. Role-Based Access Control (RBAC)</w:t>
            </w:r>
          </w:p>
        </w:tc>
        <w:tc>
          <w:tcPr>
            <w:tcW w:type="dxa" w:w="38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Database-driven roles and permissions with role inheritance, per-user allow/deny overrides, permission-driven middleware, and permission-driven menu visibility.</w:t>
            </w:r>
          </w:p>
        </w:tc>
        <w:tc>
          <w:tcPr>
            <w:tcW w:type="dxa" w:w="18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Mendoza, Dj Robin O.</w:t>
            </w:r>
          </w:p>
        </w:tc>
        <w:tc>
          <w:tcPr>
            <w:tcW w:type="dxa" w:w="17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July 12, 2026</w:t>
            </w:r>
          </w:p>
        </w:tc>
      </w:tr>
      <w:tr>
        <w:tc>
          <w:tcPr>
            <w:tcW w:type="dxa" w:w="20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3. Leave Application &amp; CSC Form 6</w:t>
            </w:r>
          </w:p>
        </w:tc>
        <w:tc>
          <w:tcPr>
            <w:tcW w:type="dxa" w:w="38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Digital CSC Form No. 6 (Revised 2020), 15 CSC leave types driven by a JSON policy engine, working-day computation excluding weekends and holidays, supporting-document upload, printable PDF.</w:t>
            </w:r>
          </w:p>
        </w:tc>
        <w:tc>
          <w:tcPr>
            <w:tcW w:type="dxa" w:w="18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Macarubbo, Noly J., Jr.</w:t>
            </w:r>
          </w:p>
        </w:tc>
        <w:tc>
          <w:tcPr>
            <w:tcW w:type="dxa" w:w="17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July 12, 2026</w:t>
            </w:r>
          </w:p>
        </w:tc>
      </w:tr>
      <w:tr>
        <w:tc>
          <w:tcPr>
            <w:tcW w:type="dxa" w:w="20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4. Leave Credit Computation</w:t>
            </w:r>
          </w:p>
        </w:tc>
        <w:tc>
          <w:tcPr>
            <w:tcW w:type="dxa" w:w="38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Monthly accrual of 1.25 VL and 1.25 SL credits, automatic deduction on final approval, reversal on cancellation, manual HR adjustment, and a ledger that can never go negative.</w:t>
            </w:r>
          </w:p>
        </w:tc>
        <w:tc>
          <w:tcPr>
            <w:tcW w:type="dxa" w:w="18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Macarubbo, Noly J., Jr.</w:t>
            </w:r>
          </w:p>
        </w:tc>
        <w:tc>
          <w:tcPr>
            <w:tcW w:type="dxa" w:w="17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July 12, 2026</w:t>
            </w:r>
          </w:p>
        </w:tc>
      </w:tr>
      <w:tr>
        <w:tc>
          <w:tcPr>
            <w:tcW w:type="dxa" w:w="20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5. Approval Workflow</w:t>
            </w:r>
          </w:p>
        </w:tc>
        <w:tc>
          <w:tcPr>
            <w:tcW w:type="dxa" w:w="38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Department Head → HR certification → Municipal Mayor final approval chain, with return-for-revision, disapproval with reason, digital signatures, and notifications at every step.</w:t>
            </w:r>
          </w:p>
        </w:tc>
        <w:tc>
          <w:tcPr>
            <w:tcW w:type="dxa" w:w="18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Macarubbo, Noly J., Jr.</w:t>
            </w:r>
          </w:p>
        </w:tc>
        <w:tc>
          <w:tcPr>
            <w:tcW w:type="dxa" w:w="17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July 12, 2026</w:t>
            </w:r>
          </w:p>
        </w:tc>
      </w:tr>
      <w:tr>
        <w:tc>
          <w:tcPr>
            <w:tcW w:type="dxa" w:w="20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6. HR Management</w:t>
            </w:r>
          </w:p>
        </w:tc>
        <w:tc>
          <w:tcPr>
            <w:tcW w:type="dxa" w:w="38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Employee records, departments, positions, holiday calendar, leave-balance management, and leave-type configuration.</w:t>
            </w:r>
          </w:p>
        </w:tc>
        <w:tc>
          <w:tcPr>
            <w:tcW w:type="dxa" w:w="18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Mendoza, Alexander John T.</w:t>
            </w:r>
          </w:p>
        </w:tc>
        <w:tc>
          <w:tcPr>
            <w:tcW w:type="dxa" w:w="17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July 12, 2026</w:t>
            </w:r>
          </w:p>
        </w:tc>
      </w:tr>
      <w:tr>
        <w:tc>
          <w:tcPr>
            <w:tcW w:type="dxa" w:w="20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7. Security Monitoring &amp; Intrusion Detection</w:t>
            </w:r>
          </w:p>
        </w:tc>
        <w:tc>
          <w:tcPr>
            <w:tcW w:type="dxa" w:w="38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Middleware IDS with SQL injection, XSS and directory-traversal signatures, request-rate anomaly detection, automatic IP blocking, audit and activity logging, and real-time intrusion alerts.</w:t>
            </w:r>
          </w:p>
        </w:tc>
        <w:tc>
          <w:tcPr>
            <w:tcW w:type="dxa" w:w="18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Mendoza, Dj Robin O.</w:t>
            </w:r>
          </w:p>
        </w:tc>
        <w:tc>
          <w:tcPr>
            <w:tcW w:type="dxa" w:w="17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July 12, 2026</w:t>
            </w:r>
          </w:p>
        </w:tc>
      </w:tr>
      <w:tr>
        <w:tc>
          <w:tcPr>
            <w:tcW w:type="dxa" w:w="20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8. System Administration</w:t>
            </w:r>
          </w:p>
        </w:tc>
        <w:tc>
          <w:tcPr>
            <w:tcW w:type="dxa" w:w="38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User account management (create, update, block/unblock, activate/deactivate, archive, restore, reset password), authorized-device registry, role editor, and system settings.</w:t>
            </w:r>
          </w:p>
        </w:tc>
        <w:tc>
          <w:tcPr>
            <w:tcW w:type="dxa" w:w="18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Mendoza, Dj Robin O.</w:t>
            </w:r>
          </w:p>
        </w:tc>
        <w:tc>
          <w:tcPr>
            <w:tcW w:type="dxa" w:w="17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July 12, 2026</w:t>
            </w:r>
          </w:p>
        </w:tc>
      </w:tr>
      <w:tr>
        <w:tc>
          <w:tcPr>
            <w:tcW w:type="dxa" w:w="20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9. Reports, Search &amp; Dashboards</w:t>
            </w:r>
          </w:p>
        </w:tc>
        <w:tc>
          <w:tcPr>
            <w:tcW w:type="dxa" w:w="38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Nine report types exportable to PDF, Excel and CSV; global search with filters; role-scoped dashboards with Chart.js charts.</w:t>
            </w:r>
          </w:p>
        </w:tc>
        <w:tc>
          <w:tcPr>
            <w:tcW w:type="dxa" w:w="18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Mendoza, Alexander John T.</w:t>
            </w:r>
          </w:p>
        </w:tc>
        <w:tc>
          <w:tcPr>
            <w:tcW w:type="dxa" w:w="17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July 12, 2026</w:t>
            </w:r>
          </w:p>
        </w:tc>
      </w:tr>
      <w:tr>
        <w:tc>
          <w:tcPr>
            <w:tcW w:type="dxa" w:w="20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10. REST API &amp; Documentation</w:t>
            </w:r>
          </w:p>
        </w:tc>
        <w:tc>
          <w:tcPr>
            <w:tcW w:type="dxa" w:w="38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Versioned /api/v1 endpoints with Sanctum token authentication and rate limiting, documented with an OpenAPI 3 specification and an offline Swagger UI.</w:t>
            </w:r>
          </w:p>
        </w:tc>
        <w:tc>
          <w:tcPr>
            <w:tcW w:type="dxa" w:w="18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Mendoza, Alexander John T.</w:t>
            </w:r>
          </w:p>
        </w:tc>
        <w:tc>
          <w:tcPr>
            <w:tcW w:type="dxa" w:w="17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July 12, 2026</w:t>
            </w:r>
          </w:p>
        </w:tc>
      </w:tr>
    </w:tbl>
    <w:p>
      <w:pPr>
        <w:spacing w:after="80" w:before="180"/>
      </w:pPr>
      <w:r>
        <w:rPr>
          <w:rFonts w:ascii="Calibri" w:cs="Calibri" w:eastAsia="Calibri" w:hAnsi="Calibri"/>
          <w:b/>
          <w:bCs/>
          <w:sz w:val="21"/>
          <w:szCs w:val="21"/>
        </w:rPr>
        <w:t xml:space="preserve">Priority Classification</w:t>
      </w:r>
    </w:p>
    <w:p>
      <w:pPr>
        <w:spacing w:after="60"/>
        <w:ind w:left="360"/>
      </w:pPr>
      <w:r>
        <w:rPr>
          <w:rFonts w:ascii="Calibri" w:cs="Calibri" w:eastAsia="Calibri" w:hAnsi="Calibri"/>
          <w:sz w:val="21"/>
          <w:szCs w:val="21"/>
        </w:rPr>
        <w:t xml:space="preserve">☒  High Priority</w:t>
      </w:r>
    </w:p>
    <w:p>
      <w:pPr>
        <w:spacing w:after="60"/>
        <w:ind w:left="360"/>
      </w:pPr>
      <w:r>
        <w:rPr>
          <w:rFonts w:ascii="Calibri" w:cs="Calibri" w:eastAsia="Calibri" w:hAnsi="Calibri"/>
          <w:sz w:val="21"/>
          <w:szCs w:val="21"/>
        </w:rPr>
        <w:t xml:space="preserve">☐  Medium Priority</w:t>
      </w:r>
    </w:p>
    <w:p>
      <w:pPr>
        <w:spacing w:after="60"/>
        <w:ind w:left="360"/>
      </w:pPr>
      <w:r>
        <w:rPr>
          <w:rFonts w:ascii="Calibri" w:cs="Calibri" w:eastAsia="Calibri" w:hAnsi="Calibri"/>
          <w:sz w:val="21"/>
          <w:szCs w:val="21"/>
        </w:rPr>
        <w:t xml:space="preserve">☐  Low Priority</w:t>
      </w:r>
    </w:p>
    <w:p>
      <w:pPr>
        <w:spacing w:after="100" w:before="0"/>
      </w:pPr>
      <w:r>
        <w:rPr>
          <w:rFonts w:ascii="Calibri" w:cs="Calibri" w:eastAsia="Calibri" w:hAnsi="Calibri"/>
          <w:sz w:val="19"/>
          <w:szCs w:val="19"/>
        </w:rPr>
        <w:t xml:space="preserve">Justification: All ten modules are core to the approved requirements specification. Modules 1, 2 and 7 carry the cybersecurity objectives that define the study, while Modules 3, 4 and 5 deliver the leave-processing workflow that replaces the existing manual system. None of the scheduled modules are optional or deferrable.</w:t>
      </w:r>
    </w:p>
    <w:p>
      <w:pPr>
        <w:spacing w:after="80" w:before="180"/>
      </w:pPr>
      <w:r>
        <w:rPr>
          <w:rFonts w:ascii="Calibri" w:cs="Calibri" w:eastAsia="Calibri" w:hAnsi="Calibri"/>
          <w:b/>
          <w:bCs/>
          <w:sz w:val="21"/>
          <w:szCs w:val="21"/>
        </w:rPr>
        <w:t xml:space="preserve">Team Approval — Member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color="auto"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19"/>
                <w:szCs w:val="19"/>
              </w:rPr>
              <w:t xml:space="preserve">Macarubbo, Noly J., Jr.</w:t>
            </w:r>
          </w:p>
        </w:tc>
        <w:tc>
          <w:tcPr>
            <w:tcW w:type="dxa" w:w="3120"/>
            <w:shd w:fill="1F3864" w:color="auto"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19"/>
                <w:szCs w:val="19"/>
              </w:rPr>
              <w:t xml:space="preserve">Mendoza, Alexander John T.</w:t>
            </w:r>
          </w:p>
        </w:tc>
        <w:tc>
          <w:tcPr>
            <w:tcW w:type="dxa" w:w="3120"/>
            <w:shd w:fill="1F3864" w:color="auto"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19"/>
                <w:szCs w:val="19"/>
              </w:rPr>
              <w:t xml:space="preserve">Mendoza, Dj Robin O.</w:t>
            </w:r>
          </w:p>
        </w:tc>
      </w:tr>
      <w:tr>
        <w:tc>
          <w:tcPr>
            <w:tcW w:type="dxa" w:w="312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
            </w:r>
          </w:p>
        </w:tc>
        <w:tc>
          <w:tcPr>
            <w:tcW w:type="dxa" w:w="312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
            </w:r>
          </w:p>
        </w:tc>
        <w:tc>
          <w:tcPr>
            <w:tcW w:type="dxa" w:w="312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
            </w:r>
          </w:p>
        </w:tc>
      </w:tr>
      <w:tr>
        <w:tc>
          <w:tcPr>
            <w:tcW w:type="dxa" w:w="312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Member</w:t>
            </w:r>
          </w:p>
        </w:tc>
        <w:tc>
          <w:tcPr>
            <w:tcW w:type="dxa" w:w="312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Member</w:t>
            </w:r>
          </w:p>
        </w:tc>
        <w:tc>
          <w:tcPr>
            <w:tcW w:type="dxa" w:w="312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Group Leader</w:t>
            </w:r>
          </w:p>
        </w:tc>
      </w:tr>
    </w:tbl>
    <w:p>
      <w:r>
        <w:br w:type="page"/>
      </w:r>
    </w:p>
    <w:p>
      <w:pPr>
        <w:spacing w:after="40" w:before="240"/>
        <w:jc w:val="center"/>
      </w:pPr>
      <w:r>
        <w:rPr>
          <w:rFonts w:ascii="Calibri" w:cs="Calibri" w:eastAsia="Calibri" w:hAnsi="Calibri"/>
          <w:b/>
          <w:bCs/>
          <w:color w:val="1F3864"/>
          <w:sz w:val="26"/>
          <w:szCs w:val="26"/>
        </w:rPr>
        <w:t xml:space="preserve">FORM 2</w:t>
      </w:r>
    </w:p>
    <w:p>
      <w:pPr>
        <w:pBdr>
          <w:bottom w:val="single" w:color="1F3864" w:sz="8" w:space="4"/>
        </w:pBdr>
        <w:spacing w:after="160"/>
        <w:jc w:val="center"/>
      </w:pPr>
      <w:r>
        <w:rPr>
          <w:rFonts w:ascii="Calibri" w:cs="Calibri" w:eastAsia="Calibri" w:hAnsi="Calibri"/>
          <w:b/>
          <w:bCs/>
          <w:color w:val="1F3864"/>
          <w:sz w:val="23"/>
          <w:szCs w:val="23"/>
        </w:rPr>
        <w:t xml:space="preserve">CORE FUNCTIONALITY DEVELOPMENT REPORT</w:t>
      </w:r>
    </w:p>
    <w:p>
      <w:pPr>
        <w:spacing w:after="100" w:before="0"/>
      </w:pPr>
      <w:r>
        <w:rPr>
          <w:rFonts w:ascii="Calibri" w:cs="Calibri" w:eastAsia="Calibri" w:hAnsi="Calibri"/>
          <w:i/>
          <w:iCs/>
          <w:sz w:val="19"/>
          <w:szCs w:val="19"/>
        </w:rPr>
        <w:t xml:space="preserve">Directions: Document each completed functionality.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360"/>
        <w:gridCol w:w="1500"/>
      </w:tblGrid>
      <w:tr>
        <w:trPr>
          <w:tblHeader/>
        </w:trPr>
        <w:tc>
          <w:tcPr>
            <w:tcW w:type="dxa" w:w="2500"/>
            <w:shd w:fill="1F3864" w:color="auto"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19"/>
                <w:szCs w:val="19"/>
              </w:rPr>
              <w:t xml:space="preserve">Functionality</w:t>
            </w:r>
          </w:p>
        </w:tc>
        <w:tc>
          <w:tcPr>
            <w:tcW w:type="dxa" w:w="5360"/>
            <w:shd w:fill="1F3864" w:color="auto"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19"/>
                <w:szCs w:val="19"/>
              </w:rPr>
              <w:t xml:space="preserve">Description</w:t>
            </w:r>
          </w:p>
        </w:tc>
        <w:tc>
          <w:tcPr>
            <w:tcW w:type="dxa" w:w="1500"/>
            <w:shd w:fill="1F3864" w:color="auto"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19"/>
                <w:szCs w:val="19"/>
              </w:rPr>
              <w:t xml:space="preserve">Status</w:t>
            </w:r>
          </w:p>
        </w:tc>
      </w:tr>
      <w:tr>
        <w:tc>
          <w:tcPr>
            <w:tcW w:type="dxa" w:w="25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User Authentication</w:t>
            </w:r>
          </w:p>
        </w:tc>
        <w:tc>
          <w:tcPr>
            <w:tcW w:type="dxa" w:w="53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Login accepts either username or email. Password is verified against a bcrypt hash, then a 6-digit one-time password is emailed to the user. The OTP is stored as a SHA-256 hash, expires in 5 minutes, is single-use, and allows at most 5 verification attempts.</w:t>
            </w:r>
          </w:p>
        </w:tc>
        <w:tc>
          <w:tcPr>
            <w:tcW w:type="dxa" w:w="15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Complete</w:t>
            </w:r>
          </w:p>
        </w:tc>
      </w:tr>
      <w:tr>
        <w:tc>
          <w:tcPr>
            <w:tcW w:type="dxa" w:w="25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Account Lockout</w:t>
            </w:r>
          </w:p>
        </w:tc>
        <w:tc>
          <w:tcPr>
            <w:tcW w:type="dxa" w:w="53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Three consecutive failed login attempts block the account for 24 hours. The reason, IP address, browser and timestamp are recorded, an intrusion event is raised, and a System Administrator can unblock the account manually. Both the attempt threshold and the block duration are configurable.</w:t>
            </w:r>
          </w:p>
        </w:tc>
        <w:tc>
          <w:tcPr>
            <w:tcW w:type="dxa" w:w="15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Complete</w:t>
            </w:r>
          </w:p>
        </w:tc>
      </w:tr>
      <w:tr>
        <w:tc>
          <w:tcPr>
            <w:tcW w:type="dxa" w:w="25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Role-Based Access Control</w:t>
            </w:r>
          </w:p>
        </w:tc>
        <w:tc>
          <w:tcPr>
            <w:tcW w:type="dxa" w:w="53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Six roles (Employee, Department Head, HR, Mayor, System Administrator, Super Admin) and 32 permissions are stored as database records. Roles inherit their parent role's permissions, and a per-user deny always overrides a role-granted allow. No permission check is hardcoded.</w:t>
            </w:r>
          </w:p>
        </w:tc>
        <w:tc>
          <w:tcPr>
            <w:tcW w:type="dxa" w:w="15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Complete</w:t>
            </w:r>
          </w:p>
        </w:tc>
      </w:tr>
      <w:tr>
        <w:tc>
          <w:tcPr>
            <w:tcW w:type="dxa" w:w="25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Leave Application Processing</w:t>
            </w:r>
          </w:p>
        </w:tc>
        <w:tc>
          <w:tcPr>
            <w:tcW w:type="dxa" w:w="53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Employees file a digital CSC Form No. 6. The system computes working days (excluding weekends and holidays), validates against the leave type's policy rules, checks the required supporting documents, and blocks filing when credits are insufficient.</w:t>
            </w:r>
          </w:p>
        </w:tc>
        <w:tc>
          <w:tcPr>
            <w:tcW w:type="dxa" w:w="15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Complete</w:t>
            </w:r>
          </w:p>
        </w:tc>
      </w:tr>
      <w:tr>
        <w:tc>
          <w:tcPr>
            <w:tcW w:type="dxa" w:w="25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Leave Credit Computation</w:t>
            </w:r>
          </w:p>
        </w:tc>
        <w:tc>
          <w:tcPr>
            <w:tcW w:type="dxa" w:w="53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Credits accrue monthly at 1.25 VL and 1.25 SL per employee and are deducted automatically upon final approval. Deduction runs inside a database transaction with row locks, so two simultaneous approvals cannot spend the same credits, and a balance can never become negative.</w:t>
            </w:r>
          </w:p>
        </w:tc>
        <w:tc>
          <w:tcPr>
            <w:tcW w:type="dxa" w:w="15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Complete</w:t>
            </w:r>
          </w:p>
        </w:tc>
      </w:tr>
      <w:tr>
        <w:tc>
          <w:tcPr>
            <w:tcW w:type="dxa" w:w="25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Approval Workflow</w:t>
            </w:r>
          </w:p>
        </w:tc>
        <w:tc>
          <w:tcPr>
            <w:tcW w:type="dxa" w:w="53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A leave request moves from Department Head to HR certification to the Municipal Mayor. Each approver may approve, disapprove with a reason, or return the request for revision with comments. Every decision is stored with the approver's digital signature and timestamp.</w:t>
            </w:r>
          </w:p>
        </w:tc>
        <w:tc>
          <w:tcPr>
            <w:tcW w:type="dxa" w:w="15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Complete</w:t>
            </w:r>
          </w:p>
        </w:tc>
      </w:tr>
      <w:tr>
        <w:tc>
          <w:tcPr>
            <w:tcW w:type="dxa" w:w="25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Security Module (IDS)</w:t>
            </w:r>
          </w:p>
        </w:tc>
        <w:tc>
          <w:tcPr>
            <w:tcW w:type="dxa" w:w="53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Every request is scanned for SQL injection, cross-site scripting and directory-traversal signatures, and for abnormal request rates. Detected events are logged; five events from the same IP within ten minutes automatically block that IP for 24 hours and alert administrators.</w:t>
            </w:r>
          </w:p>
        </w:tc>
        <w:tc>
          <w:tcPr>
            <w:tcW w:type="dxa" w:w="15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Complete</w:t>
            </w:r>
          </w:p>
        </w:tc>
      </w:tr>
      <w:tr>
        <w:tc>
          <w:tcPr>
            <w:tcW w:type="dxa" w:w="25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Audit &amp; Activity Logging</w:t>
            </w:r>
          </w:p>
        </w:tc>
        <w:tc>
          <w:tcPr>
            <w:tcW w:type="dxa" w:w="53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All security-relevant actions are written to an append-only audit trail with the actor, role, timestamp, IP address, browser, and the old and new values. A separate activity log records page-level navigation.</w:t>
            </w:r>
          </w:p>
        </w:tc>
        <w:tc>
          <w:tcPr>
            <w:tcW w:type="dxa" w:w="15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Complete</w:t>
            </w:r>
          </w:p>
        </w:tc>
      </w:tr>
      <w:tr>
        <w:tc>
          <w:tcPr>
            <w:tcW w:type="dxa" w:w="25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Records Management</w:t>
            </w:r>
          </w:p>
        </w:tc>
        <w:tc>
          <w:tcPr>
            <w:tcW w:type="dxa" w:w="53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HR maintains employee profiles, departments, positions, the holiday calendar, leave balances and leave-type policies. User accounts can be archived, restored and permanently deleted by administrators.</w:t>
            </w:r>
          </w:p>
        </w:tc>
        <w:tc>
          <w:tcPr>
            <w:tcW w:type="dxa" w:w="15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Complete</w:t>
            </w:r>
          </w:p>
        </w:tc>
      </w:tr>
      <w:tr>
        <w:tc>
          <w:tcPr>
            <w:tcW w:type="dxa" w:w="25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Reporting Module</w:t>
            </w:r>
          </w:p>
        </w:tc>
        <w:tc>
          <w:tcPr>
            <w:tcW w:type="dxa" w:w="53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Nine reports (employee leave, department, monthly, annual, leave balance, intrusion, audit, blocked login and user activity) are generated from a shared dataset and can be exported to PDF, Excel or CSV.</w:t>
            </w:r>
          </w:p>
        </w:tc>
        <w:tc>
          <w:tcPr>
            <w:tcW w:type="dxa" w:w="15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Complete</w:t>
            </w:r>
          </w:p>
        </w:tc>
      </w:tr>
    </w:tbl>
    <w:p>
      <w:pPr>
        <w:spacing w:after="80" w:before="180"/>
      </w:pPr>
      <w:r>
        <w:rPr>
          <w:rFonts w:ascii="Calibri" w:cs="Calibri" w:eastAsia="Calibri" w:hAnsi="Calibri"/>
          <w:b/>
          <w:bCs/>
          <w:sz w:val="21"/>
          <w:szCs w:val="21"/>
        </w:rPr>
        <w:t xml:space="preserve">Functionality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shd w:fill="1F3864" w:color="auto"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19"/>
                <w:szCs w:val="19"/>
              </w:rPr>
              <w:t xml:space="preserve">Test Conducted</w:t>
            </w:r>
          </w:p>
        </w:tc>
        <w:tc>
          <w:tcPr>
            <w:tcW w:type="dxa" w:w="1400"/>
            <w:shd w:fill="1F3864" w:color="auto"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19"/>
                <w:szCs w:val="19"/>
              </w:rPr>
              <w:t xml:space="preserve">Result</w:t>
            </w:r>
          </w:p>
        </w:tc>
        <w:tc>
          <w:tcPr>
            <w:tcW w:type="dxa" w:w="5360"/>
            <w:shd w:fill="1F3864" w:color="auto"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19"/>
                <w:szCs w:val="19"/>
              </w:rPr>
              <w:t xml:space="preserve">Evidence</w:t>
            </w:r>
          </w:p>
        </w:tc>
      </w:tr>
      <w:tr>
        <w:tc>
          <w:tcPr>
            <w:tcW w:type="dxa" w:w="26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Input Validation</w:t>
            </w:r>
          </w:p>
        </w:tc>
        <w:tc>
          <w:tcPr>
            <w:tcW w:type="dxa" w:w="14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Pass</w:t>
            </w:r>
          </w:p>
        </w:tc>
        <w:tc>
          <w:tcPr>
            <w:tcW w:type="dxa" w:w="53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Server-side validation rejects malformed dates, oversized files and disallowed file types. Password strength rules are enforced. SQL injection, XSS and traversal payloads are detected and blocked — verified by 9 automated intrusion-detection tests.</w:t>
            </w:r>
          </w:p>
        </w:tc>
      </w:tr>
      <w:tr>
        <w:tc>
          <w:tcPr>
            <w:tcW w:type="dxa" w:w="26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Process Execution</w:t>
            </w:r>
          </w:p>
        </w:tc>
        <w:tc>
          <w:tcPr>
            <w:tcW w:type="dxa" w:w="14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Pass</w:t>
            </w:r>
          </w:p>
        </w:tc>
        <w:tc>
          <w:tcPr>
            <w:tcW w:type="dxa" w:w="53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The full Department Head → HR → Mayor approval chain executes and deducts the correct credits. A concurrency test proves two simultaneous approvals cannot overspend a balance. Insufficient-credit filing is refused.</w:t>
            </w:r>
          </w:p>
        </w:tc>
      </w:tr>
      <w:tr>
        <w:tc>
          <w:tcPr>
            <w:tcW w:type="dxa" w:w="26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Output Generation</w:t>
            </w:r>
          </w:p>
        </w:tc>
        <w:tc>
          <w:tcPr>
            <w:tcW w:type="dxa" w:w="14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Pass</w:t>
            </w:r>
          </w:p>
        </w:tc>
        <w:tc>
          <w:tcPr>
            <w:tcW w:type="dxa" w:w="53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The CSC Form 6 PDF renders for any request, all nine reports build with a uniform structure, and CSV export was verified. Notifications reach the applicant at every workflow step.</w:t>
            </w:r>
          </w:p>
        </w:tc>
      </w:tr>
    </w:tbl>
    <w:p>
      <w:pPr>
        <w:spacing w:after="120" w:before="80"/>
      </w:pPr>
      <w:r>
        <w:rPr>
          <w:rFonts w:ascii="Calibri" w:cs="Calibri" w:eastAsia="Calibri" w:hAnsi="Calibri"/>
          <w:i/>
          <w:iCs/>
          <w:color w:val="595959"/>
          <w:sz w:val="18"/>
          <w:szCs w:val="18"/>
        </w:rPr>
        <w:t xml:space="preserve">Automated test result for this week: 49 tests passed, 154 assertions, 0 failures (command: php artisan test).</w:t>
      </w:r>
    </w:p>
    <w:p>
      <w:pPr>
        <w:spacing w:after="80" w:before="180"/>
      </w:pPr>
      <w:r>
        <w:rPr>
          <w:rFonts w:ascii="Calibri" w:cs="Calibri" w:eastAsia="Calibri" w:hAnsi="Calibri"/>
          <w:b/>
          <w:bCs/>
          <w:sz w:val="21"/>
          <w:szCs w:val="21"/>
        </w:rPr>
        <w:t xml:space="preserve">Evidence Attached</w:t>
      </w:r>
    </w:p>
    <w:p>
      <w:pPr>
        <w:spacing w:after="60"/>
        <w:ind w:left="360"/>
      </w:pPr>
      <w:r>
        <w:rPr>
          <w:rFonts w:ascii="Calibri" w:cs="Calibri" w:eastAsia="Calibri" w:hAnsi="Calibri"/>
          <w:sz w:val="21"/>
          <w:szCs w:val="21"/>
        </w:rPr>
        <w:t xml:space="preserve">☒  Screenshot of Functionality</w:t>
      </w:r>
    </w:p>
    <w:p>
      <w:pPr>
        <w:spacing w:after="60"/>
        <w:ind w:left="360"/>
      </w:pPr>
      <w:r>
        <w:rPr>
          <w:rFonts w:ascii="Calibri" w:cs="Calibri" w:eastAsia="Calibri" w:hAnsi="Calibri"/>
          <w:sz w:val="21"/>
          <w:szCs w:val="21"/>
        </w:rPr>
        <w:t xml:space="preserve">☒  Source Code Screenshot</w:t>
      </w:r>
    </w:p>
    <w:p>
      <w:pPr>
        <w:spacing w:after="60"/>
        <w:ind w:left="360"/>
      </w:pPr>
      <w:r>
        <w:rPr>
          <w:rFonts w:ascii="Calibri" w:cs="Calibri" w:eastAsia="Calibri" w:hAnsi="Calibri"/>
          <w:sz w:val="21"/>
          <w:szCs w:val="21"/>
        </w:rPr>
        <w:t xml:space="preserve">☒  Demonstration Screenshot</w:t>
      </w:r>
    </w:p>
    <w:p>
      <w:r>
        <w:br w:type="page"/>
      </w:r>
    </w:p>
    <w:p>
      <w:pPr>
        <w:spacing w:after="40" w:before="240"/>
        <w:jc w:val="center"/>
      </w:pPr>
      <w:r>
        <w:rPr>
          <w:rFonts w:ascii="Calibri" w:cs="Calibri" w:eastAsia="Calibri" w:hAnsi="Calibri"/>
          <w:b/>
          <w:bCs/>
          <w:color w:val="1F3864"/>
          <w:sz w:val="26"/>
          <w:szCs w:val="26"/>
        </w:rPr>
        <w:t xml:space="preserve">FORM 3</w:t>
      </w:r>
    </w:p>
    <w:p>
      <w:pPr>
        <w:pBdr>
          <w:bottom w:val="single" w:color="1F3864" w:sz="8" w:space="4"/>
        </w:pBdr>
        <w:spacing w:after="160"/>
        <w:jc w:val="center"/>
      </w:pPr>
      <w:r>
        <w:rPr>
          <w:rFonts w:ascii="Calibri" w:cs="Calibri" w:eastAsia="Calibri" w:hAnsi="Calibri"/>
          <w:b/>
          <w:bCs/>
          <w:color w:val="1F3864"/>
          <w:sz w:val="23"/>
          <w:szCs w:val="23"/>
        </w:rPr>
        <w:t xml:space="preserve">USER INTERFACE DEVELOPMENT REPORT</w:t>
      </w:r>
    </w:p>
    <w:p>
      <w:pPr>
        <w:spacing w:after="100" w:before="0"/>
      </w:pPr>
      <w:r>
        <w:rPr>
          <w:rFonts w:ascii="Calibri" w:cs="Calibri" w:eastAsia="Calibri" w:hAnsi="Calibri"/>
          <w:i/>
          <w:iCs/>
          <w:sz w:val="19"/>
          <w:szCs w:val="19"/>
        </w:rPr>
        <w:t xml:space="preserve">Directions: List all developed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360"/>
        <w:gridCol w:w="1500"/>
      </w:tblGrid>
      <w:tr>
        <w:trPr>
          <w:tblHeader/>
        </w:trPr>
        <w:tc>
          <w:tcPr>
            <w:tcW w:type="dxa" w:w="2500"/>
            <w:shd w:fill="1F3864" w:color="auto"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19"/>
                <w:szCs w:val="19"/>
              </w:rPr>
              <w:t xml:space="preserve">Interface / Page</w:t>
            </w:r>
          </w:p>
        </w:tc>
        <w:tc>
          <w:tcPr>
            <w:tcW w:type="dxa" w:w="5360"/>
            <w:shd w:fill="1F3864" w:color="auto"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19"/>
                <w:szCs w:val="19"/>
              </w:rPr>
              <w:t xml:space="preserve">Purpose</w:t>
            </w:r>
          </w:p>
        </w:tc>
        <w:tc>
          <w:tcPr>
            <w:tcW w:type="dxa" w:w="1500"/>
            <w:shd w:fill="1F3864" w:color="auto"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19"/>
                <w:szCs w:val="19"/>
              </w:rPr>
              <w:t xml:space="preserve">Status</w:t>
            </w:r>
          </w:p>
        </w:tc>
      </w:tr>
      <w:tr>
        <w:tc>
          <w:tcPr>
            <w:tcW w:type="dxa" w:w="25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Login Page</w:t>
            </w:r>
          </w:p>
        </w:tc>
        <w:tc>
          <w:tcPr>
            <w:tcW w:type="dxa" w:w="53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Collects username or email and password, shows the number of attempts remaining before lockout, and links to the forgot-password flow.</w:t>
            </w:r>
          </w:p>
        </w:tc>
        <w:tc>
          <w:tcPr>
            <w:tcW w:type="dxa" w:w="15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Complete</w:t>
            </w:r>
          </w:p>
        </w:tc>
      </w:tr>
      <w:tr>
        <w:tc>
          <w:tcPr>
            <w:tcW w:type="dxa" w:w="25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OTP Verification Page</w:t>
            </w:r>
          </w:p>
        </w:tc>
        <w:tc>
          <w:tcPr>
            <w:tcW w:type="dxa" w:w="53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Accepts the 6-digit code emailed to the user and allows a rate-limited resend.</w:t>
            </w:r>
          </w:p>
        </w:tc>
        <w:tc>
          <w:tcPr>
            <w:tcW w:type="dxa" w:w="15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Complete</w:t>
            </w:r>
          </w:p>
        </w:tc>
      </w:tr>
      <w:tr>
        <w:tc>
          <w:tcPr>
            <w:tcW w:type="dxa" w:w="25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Dashboard</w:t>
            </w:r>
          </w:p>
        </w:tc>
        <w:tc>
          <w:tcPr>
            <w:tcW w:type="dxa" w:w="53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Role-scoped landing page showing counters and Chart.js charts. Employees see their own balances and pending requests; HR sees leave statistics; administrators see intrusion counts and device status.</w:t>
            </w:r>
          </w:p>
        </w:tc>
        <w:tc>
          <w:tcPr>
            <w:tcW w:type="dxa" w:w="15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Complete</w:t>
            </w:r>
          </w:p>
        </w:tc>
      </w:tr>
      <w:tr>
        <w:tc>
          <w:tcPr>
            <w:tcW w:type="dxa" w:w="25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Apply for Leave (CSC Form 6)</w:t>
            </w:r>
          </w:p>
        </w:tc>
        <w:tc>
          <w:tcPr>
            <w:tcW w:type="dxa" w:w="53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Digital leave application form with live AJAX preview of working days, required documents and policy warnings before submission.</w:t>
            </w:r>
          </w:p>
        </w:tc>
        <w:tc>
          <w:tcPr>
            <w:tcW w:type="dxa" w:w="15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Complete</w:t>
            </w:r>
          </w:p>
        </w:tc>
      </w:tr>
      <w:tr>
        <w:tc>
          <w:tcPr>
            <w:tcW w:type="dxa" w:w="25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My Leave Requests / My Balances</w:t>
            </w:r>
          </w:p>
        </w:tc>
        <w:tc>
          <w:tcPr>
            <w:tcW w:type="dxa" w:w="53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Lets an employee track the status of every request and view current credit balances with the full ledger history.</w:t>
            </w:r>
          </w:p>
        </w:tc>
        <w:tc>
          <w:tcPr>
            <w:tcW w:type="dxa" w:w="15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Complete</w:t>
            </w:r>
          </w:p>
        </w:tc>
      </w:tr>
      <w:tr>
        <w:tc>
          <w:tcPr>
            <w:tcW w:type="dxa" w:w="25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Review Queues</w:t>
            </w:r>
          </w:p>
        </w:tc>
        <w:tc>
          <w:tcPr>
            <w:tcW w:type="dxa" w:w="53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Three queues — Department Reviews, HR Validation and Final Approval — each with an approve / disapprove / return modal that captures comments and the digital signature.</w:t>
            </w:r>
          </w:p>
        </w:tc>
        <w:tc>
          <w:tcPr>
            <w:tcW w:type="dxa" w:w="15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Complete</w:t>
            </w:r>
          </w:p>
        </w:tc>
      </w:tr>
      <w:tr>
        <w:tc>
          <w:tcPr>
            <w:tcW w:type="dxa" w:w="25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User Management</w:t>
            </w:r>
          </w:p>
        </w:tc>
        <w:tc>
          <w:tcPr>
            <w:tcW w:type="dxa" w:w="53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Lists user accounts with search and filters, and provides create, edit, assign-roles, reset-password, block/unblock, activate/deactivate, archive and restore actions.</w:t>
            </w:r>
          </w:p>
        </w:tc>
        <w:tc>
          <w:tcPr>
            <w:tcW w:type="dxa" w:w="15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Complete</w:t>
            </w:r>
          </w:p>
        </w:tc>
      </w:tr>
      <w:tr>
        <w:tc>
          <w:tcPr>
            <w:tcW w:type="dxa" w:w="25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Security Dashboard</w:t>
            </w:r>
          </w:p>
        </w:tc>
        <w:tc>
          <w:tcPr>
            <w:tcW w:type="dxa" w:w="53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Displays intrusion counts, top attacking IP addresses, most-targeted pages and trend charts, plus the blocked-IP and intrusion-log screens.</w:t>
            </w:r>
          </w:p>
        </w:tc>
        <w:tc>
          <w:tcPr>
            <w:tcW w:type="dxa" w:w="15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Complete</w:t>
            </w:r>
          </w:p>
        </w:tc>
      </w:tr>
      <w:tr>
        <w:tc>
          <w:tcPr>
            <w:tcW w:type="dxa" w:w="25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Authorized Devices</w:t>
            </w:r>
          </w:p>
        </w:tc>
        <w:tc>
          <w:tcPr>
            <w:tcW w:type="dxa" w:w="53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Registers office computers by IP address and hostname, shows online/offline status, and allows activation, deactivation and archiving.</w:t>
            </w:r>
          </w:p>
        </w:tc>
        <w:tc>
          <w:tcPr>
            <w:tcW w:type="dxa" w:w="15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Complete</w:t>
            </w:r>
          </w:p>
        </w:tc>
      </w:tr>
      <w:tr>
        <w:tc>
          <w:tcPr>
            <w:tcW w:type="dxa" w:w="25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Reports Page</w:t>
            </w:r>
          </w:p>
        </w:tc>
        <w:tc>
          <w:tcPr>
            <w:tcW w:type="dxa" w:w="53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Selects a report type and date range, previews results on screen, and exports to PDF, Excel or CSV.</w:t>
            </w:r>
          </w:p>
        </w:tc>
        <w:tc>
          <w:tcPr>
            <w:tcW w:type="dxa" w:w="15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Complete</w:t>
            </w:r>
          </w:p>
        </w:tc>
      </w:tr>
      <w:tr>
        <w:tc>
          <w:tcPr>
            <w:tcW w:type="dxa" w:w="25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HR Management Pages</w:t>
            </w:r>
          </w:p>
        </w:tc>
        <w:tc>
          <w:tcPr>
            <w:tcW w:type="dxa" w:w="53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Employees, departments, positions, holidays, leave balances and leave types.</w:t>
            </w:r>
          </w:p>
        </w:tc>
        <w:tc>
          <w:tcPr>
            <w:tcW w:type="dxa" w:w="15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Complete</w:t>
            </w:r>
          </w:p>
        </w:tc>
      </w:tr>
      <w:tr>
        <w:tc>
          <w:tcPr>
            <w:tcW w:type="dxa" w:w="25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Error Pages</w:t>
            </w:r>
          </w:p>
        </w:tc>
        <w:tc>
          <w:tcPr>
            <w:tcW w:type="dxa" w:w="53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Custom 403 (unauthorized), 404 (not found), 429 (too many requests), blocked-IP and unauthorized-device pages.</w:t>
            </w:r>
          </w:p>
        </w:tc>
        <w:tc>
          <w:tcPr>
            <w:tcW w:type="dxa" w:w="15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Complete</w:t>
            </w:r>
          </w:p>
        </w:tc>
      </w:tr>
    </w:tbl>
    <w:p>
      <w:pPr>
        <w:spacing w:after="120" w:before="80"/>
      </w:pPr>
      <w:r>
        <w:rPr>
          <w:rFonts w:ascii="Calibri" w:cs="Calibri" w:eastAsia="Calibri" w:hAnsi="Calibri"/>
          <w:i/>
          <w:iCs/>
          <w:color w:val="595959"/>
          <w:sz w:val="18"/>
          <w:szCs w:val="18"/>
        </w:rPr>
        <w:t xml:space="preserve">Total interface files developed this week: 50 Blade view templates across 12 view groups.</w:t>
      </w:r>
    </w:p>
    <w:p>
      <w:pPr>
        <w:spacing w:after="80" w:before="180"/>
      </w:pPr>
      <w:r>
        <w:rPr>
          <w:rFonts w:ascii="Calibri" w:cs="Calibri" w:eastAsia="Calibri" w:hAnsi="Calibri"/>
          <w:b/>
          <w:bCs/>
          <w:sz w:val="21"/>
          <w:szCs w:val="21"/>
        </w:rPr>
        <w:t xml:space="preserve">User Interface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tblHeader/>
        </w:trPr>
        <w:tc>
          <w:tcPr>
            <w:tcW w:type="dxa" w:w="2600"/>
            <w:shd w:fill="1F3864" w:color="auto"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19"/>
                <w:szCs w:val="19"/>
              </w:rPr>
              <w:t xml:space="preserve">Item</w:t>
            </w:r>
          </w:p>
        </w:tc>
        <w:tc>
          <w:tcPr>
            <w:tcW w:type="dxa" w:w="1200"/>
            <w:shd w:fill="1F3864" w:color="auto"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19"/>
                <w:szCs w:val="19"/>
              </w:rPr>
              <w:t xml:space="preserve">Completed</w:t>
            </w:r>
          </w:p>
        </w:tc>
        <w:tc>
          <w:tcPr>
            <w:tcW w:type="dxa" w:w="5560"/>
            <w:shd w:fill="1F3864" w:color="auto"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19"/>
                <w:szCs w:val="19"/>
              </w:rPr>
              <w:t xml:space="preserve">Implementation</w:t>
            </w:r>
          </w:p>
        </w:tc>
      </w:tr>
      <w:tr>
        <w:tc>
          <w:tcPr>
            <w:tcW w:type="dxa" w:w="26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Consistent Design</w:t>
            </w:r>
          </w:p>
        </w:tc>
        <w:tc>
          <w:tcPr>
            <w:tcW w:type="dxa" w:w="12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w:t>
            </w:r>
          </w:p>
        </w:tc>
        <w:tc>
          <w:tcPr>
            <w:tcW w:type="dxa" w:w="55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A single Bootstrap 5 government theme is applied through one shared layout, with a dark/light mode toggle. All assets are vendored locally so the interface renders identically without internet access.</w:t>
            </w:r>
          </w:p>
        </w:tc>
      </w:tr>
      <w:tr>
        <w:tc>
          <w:tcPr>
            <w:tcW w:type="dxa" w:w="26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Functional Navigation</w:t>
            </w:r>
          </w:p>
        </w:tc>
        <w:tc>
          <w:tcPr>
            <w:tcW w:type="dxa" w:w="12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w:t>
            </w:r>
          </w:p>
        </w:tc>
        <w:tc>
          <w:tcPr>
            <w:tcW w:type="dxa" w:w="55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A sidebar driven by a permission map renders only the menu items the signed-in user is actually allowed to open, so navigation matches each role.</w:t>
            </w:r>
          </w:p>
        </w:tc>
      </w:tr>
      <w:tr>
        <w:tc>
          <w:tcPr>
            <w:tcW w:type="dxa" w:w="26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Responsive Layout</w:t>
            </w:r>
          </w:p>
        </w:tc>
        <w:tc>
          <w:tcPr>
            <w:tcW w:type="dxa" w:w="12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w:t>
            </w:r>
          </w:p>
        </w:tc>
        <w:tc>
          <w:tcPr>
            <w:tcW w:type="dxa" w:w="55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Bootstrap 5 responsive grid and collapsible sidebar; verified on desktop and mobile browser widths for LAN access from phones.</w:t>
            </w:r>
          </w:p>
        </w:tc>
      </w:tr>
      <w:tr>
        <w:tc>
          <w:tcPr>
            <w:tcW w:type="dxa" w:w="26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Error Messages Implemented</w:t>
            </w:r>
          </w:p>
        </w:tc>
        <w:tc>
          <w:tcPr>
            <w:tcW w:type="dxa" w:w="12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w:t>
            </w:r>
          </w:p>
        </w:tc>
        <w:tc>
          <w:tcPr>
            <w:tcW w:type="dxa" w:w="55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Inline field-level validation messages, SweetAlert2 toast notifications for success and failure, and dedicated pages for 403, 404, 429, blocked IP and unauthorized device.</w:t>
            </w:r>
          </w:p>
        </w:tc>
      </w:tr>
    </w:tbl>
    <w:p>
      <w:pPr>
        <w:spacing w:after="80" w:before="180"/>
      </w:pPr>
      <w:r>
        <w:rPr>
          <w:rFonts w:ascii="Calibri" w:cs="Calibri" w:eastAsia="Calibri" w:hAnsi="Calibri"/>
          <w:b/>
          <w:bCs/>
          <w:sz w:val="21"/>
          <w:szCs w:val="21"/>
        </w:rPr>
        <w:t xml:space="preserve">Required Evidence</w:t>
      </w:r>
    </w:p>
    <w:p>
      <w:pPr>
        <w:spacing w:after="60"/>
        <w:ind w:left="360"/>
      </w:pPr>
      <w:r>
        <w:rPr>
          <w:rFonts w:ascii="Calibri" w:cs="Calibri" w:eastAsia="Calibri" w:hAnsi="Calibri"/>
          <w:sz w:val="21"/>
          <w:szCs w:val="21"/>
        </w:rPr>
        <w:t xml:space="preserve">☒  Interface Screenshots</w:t>
      </w:r>
    </w:p>
    <w:p>
      <w:pPr>
        <w:spacing w:after="60"/>
        <w:ind w:left="360"/>
      </w:pPr>
      <w:r>
        <w:rPr>
          <w:rFonts w:ascii="Calibri" w:cs="Calibri" w:eastAsia="Calibri" w:hAnsi="Calibri"/>
          <w:sz w:val="21"/>
          <w:szCs w:val="21"/>
        </w:rPr>
        <w:t xml:space="preserve">☒  Navigation Demonstration</w:t>
      </w:r>
    </w:p>
    <w:p>
      <w:pPr>
        <w:spacing w:after="60"/>
        <w:ind w:left="360"/>
      </w:pPr>
      <w:r>
        <w:rPr>
          <w:rFonts w:ascii="Calibri" w:cs="Calibri" w:eastAsia="Calibri" w:hAnsi="Calibri"/>
          <w:sz w:val="21"/>
          <w:szCs w:val="21"/>
        </w:rPr>
        <w:t xml:space="preserve">☒  Mobile / Responsive View Screenshot</w:t>
      </w:r>
    </w:p>
    <w:p>
      <w:r>
        <w:br w:type="page"/>
      </w:r>
    </w:p>
    <w:p>
      <w:pPr>
        <w:spacing w:after="40" w:before="240"/>
        <w:jc w:val="center"/>
      </w:pPr>
      <w:r>
        <w:rPr>
          <w:rFonts w:ascii="Calibri" w:cs="Calibri" w:eastAsia="Calibri" w:hAnsi="Calibri"/>
          <w:b/>
          <w:bCs/>
          <w:color w:val="1F3864"/>
          <w:sz w:val="26"/>
          <w:szCs w:val="26"/>
        </w:rPr>
        <w:t xml:space="preserve">FORM 4</w:t>
      </w:r>
    </w:p>
    <w:p>
      <w:pPr>
        <w:pBdr>
          <w:bottom w:val="single" w:color="1F3864" w:sz="8" w:space="4"/>
        </w:pBdr>
        <w:spacing w:after="160"/>
        <w:jc w:val="center"/>
      </w:pPr>
      <w:r>
        <w:rPr>
          <w:rFonts w:ascii="Calibri" w:cs="Calibri" w:eastAsia="Calibri" w:hAnsi="Calibri"/>
          <w:b/>
          <w:bCs/>
          <w:color w:val="1F3864"/>
          <w:sz w:val="23"/>
          <w:szCs w:val="23"/>
        </w:rPr>
        <w:t xml:space="preserve">SYSTEM WORKFLOW VALIDATION FORM</w:t>
      </w:r>
    </w:p>
    <w:p>
      <w:pPr>
        <w:spacing w:after="100" w:before="0"/>
      </w:pPr>
      <w:r>
        <w:rPr>
          <w:rFonts w:ascii="Calibri" w:cs="Calibri" w:eastAsia="Calibri" w:hAnsi="Calibri"/>
          <w:i/>
          <w:iCs/>
          <w:sz w:val="19"/>
          <w:szCs w:val="19"/>
        </w:rPr>
        <w:t xml:space="preserve">Directions: Document workflow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5260"/>
      </w:tblGrid>
      <w:tr>
        <w:trPr>
          <w:tblHeader/>
        </w:trPr>
        <w:tc>
          <w:tcPr>
            <w:tcW w:type="dxa" w:w="2200"/>
            <w:shd w:fill="1F3864" w:color="auto"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19"/>
                <w:szCs w:val="19"/>
              </w:rPr>
              <w:t xml:space="preserve">Workflow</w:t>
            </w:r>
          </w:p>
        </w:tc>
        <w:tc>
          <w:tcPr>
            <w:tcW w:type="dxa" w:w="1900"/>
            <w:shd w:fill="1F3864" w:color="auto"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19"/>
                <w:szCs w:val="19"/>
              </w:rPr>
              <w:t xml:space="preserve">Status</w:t>
            </w:r>
          </w:p>
        </w:tc>
        <w:tc>
          <w:tcPr>
            <w:tcW w:type="dxa" w:w="5260"/>
            <w:shd w:fill="1F3864" w:color="auto"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19"/>
                <w:szCs w:val="19"/>
              </w:rPr>
              <w:t xml:space="preserve">Remarks</w:t>
            </w:r>
          </w:p>
        </w:tc>
      </w:tr>
      <w:tr>
        <w:tc>
          <w:tcPr>
            <w:tcW w:type="dxa" w:w="22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Login Process</w:t>
            </w:r>
          </w:p>
        </w:tc>
        <w:tc>
          <w:tcPr>
            <w:tcW w:type="dxa" w:w="19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Implemented</w:t>
            </w:r>
          </w:p>
        </w:tc>
        <w:tc>
          <w:tcPr>
            <w:tcW w:type="dxa" w:w="52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Request passes the blocked-IP check, the authorized-device check and the intrusion scanner before authentication. Credentials are verified, an OTP is emailed and verified, then the session is regenerated and the user lands on a dashboard scoped to their role. Three failures block the account for 24 hours.</w:t>
            </w:r>
          </w:p>
        </w:tc>
      </w:tr>
      <w:tr>
        <w:tc>
          <w:tcPr>
            <w:tcW w:type="dxa" w:w="22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Data Entry Process</w:t>
            </w:r>
          </w:p>
        </w:tc>
        <w:tc>
          <w:tcPr>
            <w:tcW w:type="dxa" w:w="19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Implemented</w:t>
            </w:r>
          </w:p>
        </w:tc>
        <w:tc>
          <w:tcPr>
            <w:tcW w:type="dxa" w:w="52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An employee files a leave application on the digital CSC Form 6. Working days are computed live, required documents are listed according to the leave type's policy, and the form is refused if credits are insufficient or a mandatory field or document is missing.</w:t>
            </w:r>
          </w:p>
        </w:tc>
      </w:tr>
      <w:tr>
        <w:tc>
          <w:tcPr>
            <w:tcW w:type="dxa" w:w="22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Data Processing</w:t>
            </w:r>
          </w:p>
        </w:tc>
        <w:tc>
          <w:tcPr>
            <w:tcW w:type="dxa" w:w="19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Implemented</w:t>
            </w:r>
          </w:p>
        </w:tc>
        <w:tc>
          <w:tcPr>
            <w:tcW w:type="dxa" w:w="52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A submitted request is routed through Department Head → HR certification → Mayor final approval. On final approval the system deducts the credits inside a locked transaction and writes a ledger entry. Disapproval and return-for-revision are also handled.</w:t>
            </w:r>
          </w:p>
        </w:tc>
      </w:tr>
      <w:tr>
        <w:tc>
          <w:tcPr>
            <w:tcW w:type="dxa" w:w="22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Report Generation</w:t>
            </w:r>
          </w:p>
        </w:tc>
        <w:tc>
          <w:tcPr>
            <w:tcW w:type="dxa" w:w="19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Implemented</w:t>
            </w:r>
          </w:p>
        </w:tc>
        <w:tc>
          <w:tcPr>
            <w:tcW w:type="dxa" w:w="52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Nine report types are built from a shared dataset and exported to PDF, Excel or CSV. Security reports are restricted to administrators by a separate permission.</w:t>
            </w:r>
          </w:p>
        </w:tc>
      </w:tr>
      <w:tr>
        <w:tc>
          <w:tcPr>
            <w:tcW w:type="dxa" w:w="22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Security Monitoring Workflow</w:t>
            </w:r>
          </w:p>
        </w:tc>
        <w:tc>
          <w:tcPr>
            <w:tcW w:type="dxa" w:w="19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Implemented</w:t>
            </w:r>
          </w:p>
        </w:tc>
        <w:tc>
          <w:tcPr>
            <w:tcW w:type="dxa" w:w="52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Suspicious input or an abnormal request rate is logged as an intrusion event. Five events from one IP within ten minutes block that IP for 24 hours and send a real-time alert to administrators, which appears on the Security Dashboard.</w:t>
            </w:r>
          </w:p>
        </w:tc>
      </w:tr>
      <w:tr>
        <w:tc>
          <w:tcPr>
            <w:tcW w:type="dxa" w:w="22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Credit Accrual Workflow</w:t>
            </w:r>
          </w:p>
        </w:tc>
        <w:tc>
          <w:tcPr>
            <w:tcW w:type="dxa" w:w="19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Implemented</w:t>
            </w:r>
          </w:p>
        </w:tc>
        <w:tc>
          <w:tcPr>
            <w:tcW w:type="dxa" w:w="52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A scheduled monthly command adds 1.25 VL and 1.25 SL credits to every active employee. The command is idempotent, so re-running it in the same month does not double-credit anyone.</w:t>
            </w:r>
          </w:p>
        </w:tc>
      </w:tr>
    </w:tbl>
    <w:p>
      <w:pPr>
        <w:spacing w:after="80" w:before="180"/>
      </w:pPr>
      <w:r>
        <w:rPr>
          <w:rFonts w:ascii="Calibri" w:cs="Calibri" w:eastAsia="Calibri" w:hAnsi="Calibri"/>
          <w:b/>
          <w:bCs/>
          <w:sz w:val="21"/>
          <w:szCs w:val="21"/>
        </w:rPr>
        <w:t xml:space="preserve">Workflow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shd w:fill="1F3864" w:color="auto"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19"/>
                <w:szCs w:val="19"/>
              </w:rPr>
              <w:t xml:space="preserve">Validation Item</w:t>
            </w:r>
          </w:p>
        </w:tc>
        <w:tc>
          <w:tcPr>
            <w:tcW w:type="dxa" w:w="1400"/>
            <w:shd w:fill="1F3864" w:color="auto"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19"/>
                <w:szCs w:val="19"/>
              </w:rPr>
              <w:t xml:space="preserve">Result</w:t>
            </w:r>
          </w:p>
        </w:tc>
        <w:tc>
          <w:tcPr>
            <w:tcW w:type="dxa" w:w="4760"/>
            <w:shd w:fill="1F3864" w:color="auto"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19"/>
                <w:szCs w:val="19"/>
              </w:rPr>
              <w:t xml:space="preserve">Basis</w:t>
            </w:r>
          </w:p>
        </w:tc>
      </w:tr>
      <w:tr>
        <w:tc>
          <w:tcPr>
            <w:tcW w:type="dxa" w:w="32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Inputs Accepted Correctly</w:t>
            </w:r>
          </w:p>
        </w:tc>
        <w:tc>
          <w:tcPr>
            <w:tcW w:type="dxa" w:w="14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Pass</w:t>
            </w:r>
          </w:p>
        </w:tc>
        <w:tc>
          <w:tcPr>
            <w:tcW w:type="dxa" w:w="47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Valid applications are accepted and stored with a generated reference number; invalid dates, missing required fields, missing documents and over-limit day counts are rejected with a clear message.</w:t>
            </w:r>
          </w:p>
        </w:tc>
      </w:tr>
      <w:tr>
        <w:tc>
          <w:tcPr>
            <w:tcW w:type="dxa" w:w="32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Process Executes Correctly</w:t>
            </w:r>
          </w:p>
        </w:tc>
        <w:tc>
          <w:tcPr>
            <w:tcW w:type="dxa" w:w="14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Pass</w:t>
            </w:r>
          </w:p>
        </w:tc>
        <w:tc>
          <w:tcPr>
            <w:tcW w:type="dxa" w:w="47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The complete approval chain was executed end to end and the employee's balance changed by exactly the number of working days approved. Rejection at the Department Head step correctly halts the workflow.</w:t>
            </w:r>
          </w:p>
        </w:tc>
      </w:tr>
      <w:tr>
        <w:tc>
          <w:tcPr>
            <w:tcW w:type="dxa" w:w="32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Output Generated Correctly</w:t>
            </w:r>
          </w:p>
        </w:tc>
        <w:tc>
          <w:tcPr>
            <w:tcW w:type="dxa" w:w="14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Pass</w:t>
            </w:r>
          </w:p>
        </w:tc>
        <w:tc>
          <w:tcPr>
            <w:tcW w:type="dxa" w:w="47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The CSC Form 6 PDF, the nine reports and their PDF/Excel/CSV exports, and the workflow notifications were all produced correctly.</w:t>
            </w:r>
          </w:p>
        </w:tc>
      </w:tr>
    </w:tbl>
    <w:p>
      <w:pPr>
        <w:spacing w:after="80" w:before="180"/>
      </w:pPr>
      <w:r>
        <w:rPr>
          <w:rFonts w:ascii="Calibri" w:cs="Calibri" w:eastAsia="Calibri" w:hAnsi="Calibri"/>
          <w:b/>
          <w:bCs/>
          <w:sz w:val="21"/>
          <w:szCs w:val="21"/>
        </w:rPr>
        <w:t xml:space="preserve">Evidence Attached</w:t>
      </w:r>
    </w:p>
    <w:p>
      <w:pPr>
        <w:spacing w:after="60"/>
        <w:ind w:left="360"/>
      </w:pPr>
      <w:r>
        <w:rPr>
          <w:rFonts w:ascii="Calibri" w:cs="Calibri" w:eastAsia="Calibri" w:hAnsi="Calibri"/>
          <w:sz w:val="21"/>
          <w:szCs w:val="21"/>
        </w:rPr>
        <w:t xml:space="preserve">☒  Workflow Diagram (see docs/Diagrams.md — activity, sequence and data-flow diagrams)</w:t>
      </w:r>
    </w:p>
    <w:p>
      <w:pPr>
        <w:spacing w:after="60"/>
        <w:ind w:left="360"/>
      </w:pPr>
      <w:r>
        <w:rPr>
          <w:rFonts w:ascii="Calibri" w:cs="Calibri" w:eastAsia="Calibri" w:hAnsi="Calibri"/>
          <w:sz w:val="21"/>
          <w:szCs w:val="21"/>
        </w:rPr>
        <w:t xml:space="preserve">☒  Workflow Demonstration Screenshots</w:t>
      </w:r>
    </w:p>
    <w:p>
      <w:r>
        <w:br w:type="page"/>
      </w:r>
    </w:p>
    <w:p>
      <w:pPr>
        <w:spacing w:after="40" w:before="240"/>
        <w:jc w:val="center"/>
      </w:pPr>
      <w:r>
        <w:rPr>
          <w:rFonts w:ascii="Calibri" w:cs="Calibri" w:eastAsia="Calibri" w:hAnsi="Calibri"/>
          <w:b/>
          <w:bCs/>
          <w:color w:val="1F3864"/>
          <w:sz w:val="26"/>
          <w:szCs w:val="26"/>
        </w:rPr>
        <w:t xml:space="preserve">FORM 5</w:t>
      </w:r>
    </w:p>
    <w:p>
      <w:pPr>
        <w:pBdr>
          <w:bottom w:val="single" w:color="1F3864" w:sz="8" w:space="4"/>
        </w:pBdr>
        <w:spacing w:after="160"/>
        <w:jc w:val="center"/>
      </w:pPr>
      <w:r>
        <w:rPr>
          <w:rFonts w:ascii="Calibri" w:cs="Calibri" w:eastAsia="Calibri" w:hAnsi="Calibri"/>
          <w:b/>
          <w:bCs/>
          <w:color w:val="1F3864"/>
          <w:sz w:val="23"/>
          <w:szCs w:val="23"/>
        </w:rPr>
        <w:t xml:space="preserve">MODULE VERIFICATION CHECKLIST</w:t>
      </w:r>
    </w:p>
    <w:p>
      <w:pPr>
        <w:spacing w:after="100" w:before="0"/>
      </w:pPr>
      <w:r>
        <w:rPr>
          <w:rFonts w:ascii="Calibri" w:cs="Calibri" w:eastAsia="Calibri" w:hAnsi="Calibri"/>
          <w:i/>
          <w:iCs/>
          <w:sz w:val="19"/>
          <w:szCs w:val="19"/>
        </w:rPr>
        <w:t xml:space="preserve">Directions: Evaluate each completed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0"/>
        <w:gridCol w:w="2400"/>
      </w:tblGrid>
      <w:tr>
        <w:trPr>
          <w:tblHeader/>
        </w:trPr>
        <w:tc>
          <w:tcPr>
            <w:tcW w:type="dxa" w:w="4560"/>
            <w:shd w:fill="1F3864" w:color="auto"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19"/>
                <w:szCs w:val="19"/>
              </w:rPr>
              <w:t xml:space="preserve">Module</w:t>
            </w:r>
          </w:p>
        </w:tc>
        <w:tc>
          <w:tcPr>
            <w:tcW w:type="dxa" w:w="2400"/>
            <w:shd w:fill="1F3864" w:color="auto"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19"/>
                <w:szCs w:val="19"/>
              </w:rPr>
              <w:t xml:space="preserve">Functioning Correctly</w:t>
            </w:r>
          </w:p>
        </w:tc>
        <w:tc>
          <w:tcPr>
            <w:tcW w:type="dxa" w:w="2400"/>
            <w:shd w:fill="1F3864" w:color="auto"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19"/>
                <w:szCs w:val="19"/>
              </w:rPr>
              <w:t xml:space="preserve">Needs Revision</w:t>
            </w:r>
          </w:p>
        </w:tc>
      </w:tr>
      <w:tr>
        <w:tc>
          <w:tcPr>
            <w:tcW w:type="dxa" w:w="45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1. Authentication &amp; Session Security</w:t>
            </w:r>
          </w:p>
        </w:tc>
        <w:tc>
          <w:tcPr>
            <w:tcW w:type="dxa" w:w="24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w:t>
            </w:r>
          </w:p>
        </w:tc>
        <w:tc>
          <w:tcPr>
            <w:tcW w:type="dxa" w:w="24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w:t>
            </w:r>
          </w:p>
        </w:tc>
      </w:tr>
      <w:tr>
        <w:tc>
          <w:tcPr>
            <w:tcW w:type="dxa" w:w="45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2. Role-Based Access Control (RBAC)</w:t>
            </w:r>
          </w:p>
        </w:tc>
        <w:tc>
          <w:tcPr>
            <w:tcW w:type="dxa" w:w="24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w:t>
            </w:r>
          </w:p>
        </w:tc>
        <w:tc>
          <w:tcPr>
            <w:tcW w:type="dxa" w:w="24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w:t>
            </w:r>
          </w:p>
        </w:tc>
      </w:tr>
      <w:tr>
        <w:tc>
          <w:tcPr>
            <w:tcW w:type="dxa" w:w="45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3. Leave Application &amp; CSC Form 6</w:t>
            </w:r>
          </w:p>
        </w:tc>
        <w:tc>
          <w:tcPr>
            <w:tcW w:type="dxa" w:w="24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w:t>
            </w:r>
          </w:p>
        </w:tc>
        <w:tc>
          <w:tcPr>
            <w:tcW w:type="dxa" w:w="24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w:t>
            </w:r>
          </w:p>
        </w:tc>
      </w:tr>
      <w:tr>
        <w:tc>
          <w:tcPr>
            <w:tcW w:type="dxa" w:w="45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4. Leave Credit Computation</w:t>
            </w:r>
          </w:p>
        </w:tc>
        <w:tc>
          <w:tcPr>
            <w:tcW w:type="dxa" w:w="24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w:t>
            </w:r>
          </w:p>
        </w:tc>
        <w:tc>
          <w:tcPr>
            <w:tcW w:type="dxa" w:w="24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w:t>
            </w:r>
          </w:p>
        </w:tc>
      </w:tr>
      <w:tr>
        <w:tc>
          <w:tcPr>
            <w:tcW w:type="dxa" w:w="45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5. Approval Workflow</w:t>
            </w:r>
          </w:p>
        </w:tc>
        <w:tc>
          <w:tcPr>
            <w:tcW w:type="dxa" w:w="24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w:t>
            </w:r>
          </w:p>
        </w:tc>
        <w:tc>
          <w:tcPr>
            <w:tcW w:type="dxa" w:w="24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w:t>
            </w:r>
          </w:p>
        </w:tc>
      </w:tr>
      <w:tr>
        <w:tc>
          <w:tcPr>
            <w:tcW w:type="dxa" w:w="45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6. HR Management</w:t>
            </w:r>
          </w:p>
        </w:tc>
        <w:tc>
          <w:tcPr>
            <w:tcW w:type="dxa" w:w="24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w:t>
            </w:r>
          </w:p>
        </w:tc>
        <w:tc>
          <w:tcPr>
            <w:tcW w:type="dxa" w:w="24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w:t>
            </w:r>
          </w:p>
        </w:tc>
      </w:tr>
      <w:tr>
        <w:tc>
          <w:tcPr>
            <w:tcW w:type="dxa" w:w="45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7. Security Monitoring &amp; Intrusion Detection</w:t>
            </w:r>
          </w:p>
        </w:tc>
        <w:tc>
          <w:tcPr>
            <w:tcW w:type="dxa" w:w="24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w:t>
            </w:r>
          </w:p>
        </w:tc>
        <w:tc>
          <w:tcPr>
            <w:tcW w:type="dxa" w:w="24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w:t>
            </w:r>
          </w:p>
        </w:tc>
      </w:tr>
      <w:tr>
        <w:tc>
          <w:tcPr>
            <w:tcW w:type="dxa" w:w="45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8. System Administration</w:t>
            </w:r>
          </w:p>
        </w:tc>
        <w:tc>
          <w:tcPr>
            <w:tcW w:type="dxa" w:w="24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w:t>
            </w:r>
          </w:p>
        </w:tc>
        <w:tc>
          <w:tcPr>
            <w:tcW w:type="dxa" w:w="24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w:t>
            </w:r>
          </w:p>
        </w:tc>
      </w:tr>
      <w:tr>
        <w:tc>
          <w:tcPr>
            <w:tcW w:type="dxa" w:w="45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9. Reports, Search &amp; Dashboards</w:t>
            </w:r>
          </w:p>
        </w:tc>
        <w:tc>
          <w:tcPr>
            <w:tcW w:type="dxa" w:w="24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w:t>
            </w:r>
          </w:p>
        </w:tc>
        <w:tc>
          <w:tcPr>
            <w:tcW w:type="dxa" w:w="24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w:t>
            </w:r>
          </w:p>
        </w:tc>
      </w:tr>
      <w:tr>
        <w:tc>
          <w:tcPr>
            <w:tcW w:type="dxa" w:w="45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10. REST API &amp; Documentation</w:t>
            </w:r>
          </w:p>
        </w:tc>
        <w:tc>
          <w:tcPr>
            <w:tcW w:type="dxa" w:w="24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w:t>
            </w:r>
          </w:p>
        </w:tc>
        <w:tc>
          <w:tcPr>
            <w:tcW w:type="dxa" w:w="24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w:t>
            </w:r>
          </w:p>
        </w:tc>
      </w:tr>
    </w:tbl>
    <w:p>
      <w:pPr>
        <w:spacing w:after="80" w:before="180"/>
      </w:pPr>
      <w:r>
        <w:rPr>
          <w:rFonts w:ascii="Calibri" w:cs="Calibri" w:eastAsia="Calibri" w:hAnsi="Calibri"/>
          <w:b/>
          <w:bCs/>
          <w:sz w:val="21"/>
          <w:szCs w:val="21"/>
        </w:rPr>
        <w:t xml:space="preserve">Issues Identified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1300"/>
        <w:gridCol w:w="3900"/>
      </w:tblGrid>
      <w:tr>
        <w:trPr>
          <w:tblHeader/>
        </w:trPr>
        <w:tc>
          <w:tcPr>
            <w:tcW w:type="dxa" w:w="4160"/>
            <w:shd w:fill="1F3864" w:color="auto"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19"/>
                <w:szCs w:val="19"/>
              </w:rPr>
              <w:t xml:space="preserve">Issue</w:t>
            </w:r>
          </w:p>
        </w:tc>
        <w:tc>
          <w:tcPr>
            <w:tcW w:type="dxa" w:w="1300"/>
            <w:shd w:fill="1F3864" w:color="auto"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19"/>
                <w:szCs w:val="19"/>
              </w:rPr>
              <w:t xml:space="preserve">Severity</w:t>
            </w:r>
          </w:p>
        </w:tc>
        <w:tc>
          <w:tcPr>
            <w:tcW w:type="dxa" w:w="3900"/>
            <w:shd w:fill="1F3864" w:color="auto"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19"/>
                <w:szCs w:val="19"/>
              </w:rPr>
              <w:t xml:space="preserve">Action Taken</w:t>
            </w:r>
          </w:p>
        </w:tc>
      </w:tr>
      <w:tr>
        <w:tc>
          <w:tcPr>
            <w:tcW w:type="dxa" w:w="41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The intrusion detector treats a double dash followed by a space as a SQL injection signature. Ordinary text typed into the purpose field — for example "Family emergency -- will return Monday" — is therefore blocked, and five such entries within ten minutes would automatically block the employee's IP address for 24 hours.</w:t>
            </w:r>
          </w:p>
        </w:tc>
        <w:tc>
          <w:tcPr>
            <w:tcW w:type="dxa" w:w="13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High</w:t>
            </w:r>
          </w:p>
        </w:tc>
        <w:tc>
          <w:tcPr>
            <w:tcW w:type="dxa" w:w="39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Confirmed by peer testing. Scheduled for correction in Week 4: the comment-style signature will be applied only to the URL and query string, not to free-text form fields. Tracked in the repository issue list.</w:t>
            </w:r>
          </w:p>
        </w:tc>
      </w:tr>
      <w:tr>
        <w:tc>
          <w:tcPr>
            <w:tcW w:type="dxa" w:w="41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Dependencies would not install on XAMPP because the project resolved packages against a newer PHP version than the one XAMPP ships.</w:t>
            </w:r>
          </w:p>
        </w:tc>
        <w:tc>
          <w:tcPr>
            <w:tcW w:type="dxa" w:w="13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Medium</w:t>
            </w:r>
          </w:p>
        </w:tc>
        <w:tc>
          <w:tcPr>
            <w:tcW w:type="dxa" w:w="39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Fixed. The Composer platform version was pinned to PHP 8.2 so installation succeeds on the target machines. Committed on July 12, 2026 (pull request #2).</w:t>
            </w:r>
          </w:p>
        </w:tc>
      </w:tr>
      <w:tr>
        <w:tc>
          <w:tcPr>
            <w:tcW w:type="dxa" w:w="41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Pagination controls rendered as oversized arrow graphics, and the review and balance modals were placed inside table bodies, which produced invalid HTML and made some buttons unclickable.</w:t>
            </w:r>
          </w:p>
        </w:tc>
        <w:tc>
          <w:tcPr>
            <w:tcW w:type="dxa" w:w="13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Medium</w:t>
            </w:r>
          </w:p>
        </w:tc>
        <w:tc>
          <w:tcPr>
            <w:tcW w:type="dxa" w:w="39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Fixed. Bootstrap 5 pagination was applied and the modals were moved outside the table bodies. Committed on July 13, 2026 (pull request #3).</w:t>
            </w:r>
          </w:p>
        </w:tc>
      </w:tr>
      <w:tr>
        <w:tc>
          <w:tcPr>
            <w:tcW w:type="dxa" w:w="41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The automatic IP-blocking rule could block the server's own loopback address, which would lock the administrator out of the system during testing.</w:t>
            </w:r>
          </w:p>
        </w:tc>
        <w:tc>
          <w:tcPr>
            <w:tcW w:type="dxa" w:w="13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High</w:t>
            </w:r>
          </w:p>
        </w:tc>
        <w:tc>
          <w:tcPr>
            <w:tcW w:type="dxa" w:w="39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Fixed. Loopback and administrator-whitelisted addresses are now never auto-blocked, and a configurable never-block list was added. Committed on July 13, 2026 (pull request #4).</w:t>
            </w:r>
          </w:p>
        </w:tc>
      </w:tr>
      <w:tr>
        <w:tc>
          <w:tcPr>
            <w:tcW w:type="dxa" w:w="41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The default welcome page loaded fonts from the internet, which fails in an offline LAN deployment.</w:t>
            </w:r>
          </w:p>
        </w:tc>
        <w:tc>
          <w:tcPr>
            <w:tcW w:type="dxa" w:w="13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Medium</w:t>
            </w:r>
          </w:p>
        </w:tc>
        <w:tc>
          <w:tcPr>
            <w:tcW w:type="dxa" w:w="39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Fixed. The internet-dependent page was removed and a locally embedded icon was added so the system runs fully offline. Committed on July 14, 2026 (pull request #5).</w:t>
            </w:r>
          </w:p>
        </w:tc>
      </w:tr>
      <w:tr>
        <w:tc>
          <w:tcPr>
            <w:tcW w:type="dxa" w:w="41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The Apply for Leave page assumes the Vacation Leave type always exists. If an administrator deactivates or renames it, the page raises an error instead of showing a message.</w:t>
            </w:r>
          </w:p>
        </w:tc>
        <w:tc>
          <w:tcPr>
            <w:tcW w:type="dxa" w:w="13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Low</w:t>
            </w:r>
          </w:p>
        </w:tc>
        <w:tc>
          <w:tcPr>
            <w:tcW w:type="dxa" w:w="39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Logged for Week 4. A null check and a friendly message will be added.</w:t>
            </w:r>
          </w:p>
        </w:tc>
      </w:tr>
      <w:tr>
        <w:tc>
          <w:tcPr>
            <w:tcW w:type="dxa" w:w="41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The demo data seeder creates user accounts and opening balances but no sample leave applications, so a freshly seeded system shows empty review queues and empty charts.</w:t>
            </w:r>
          </w:p>
        </w:tc>
        <w:tc>
          <w:tcPr>
            <w:tcW w:type="dxa" w:w="13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Low</w:t>
            </w:r>
          </w:p>
        </w:tc>
        <w:tc>
          <w:tcPr>
            <w:tcW w:type="dxa" w:w="39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Logged for Week 4. Sample applications at each workflow stage will be added to the seeder to support the evaluation sessions.</w:t>
            </w:r>
          </w:p>
        </w:tc>
      </w:tr>
    </w:tbl>
    <w:p>
      <w:pPr>
        <w:spacing w:after="80" w:before="180"/>
      </w:pPr>
      <w:r>
        <w:rPr>
          <w:rFonts w:ascii="Calibri" w:cs="Calibri" w:eastAsia="Calibri" w:hAnsi="Calibri"/>
          <w:b/>
          <w:bCs/>
          <w:sz w:val="21"/>
          <w:szCs w:val="21"/>
        </w:rPr>
        <w:t xml:space="preserve">Team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color="auto"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19"/>
                <w:szCs w:val="19"/>
              </w:rPr>
              <w:t xml:space="preserve">Test Conducted By</w:t>
            </w:r>
          </w:p>
        </w:tc>
        <w:tc>
          <w:tcPr>
            <w:tcW w:type="dxa" w:w="3120"/>
            <w:shd w:fill="1F3864" w:color="auto"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19"/>
                <w:szCs w:val="19"/>
              </w:rPr>
              <w:t xml:space="preserve">Role</w:t>
            </w:r>
          </w:p>
        </w:tc>
        <w:tc>
          <w:tcPr>
            <w:tcW w:type="dxa" w:w="3120"/>
            <w:shd w:fill="1F3864" w:color="auto"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19"/>
                <w:szCs w:val="19"/>
              </w:rPr>
              <w:t xml:space="preserve">Date</w:t>
            </w:r>
          </w:p>
        </w:tc>
      </w:tr>
      <w:tr>
        <w:tc>
          <w:tcPr>
            <w:tcW w:type="dxa" w:w="312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Mendoza, Dj Robin O.</w:t>
            </w:r>
          </w:p>
        </w:tc>
        <w:tc>
          <w:tcPr>
            <w:tcW w:type="dxa" w:w="312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Group Leader / Security modules</w:t>
            </w:r>
          </w:p>
        </w:tc>
        <w:tc>
          <w:tcPr>
            <w:tcW w:type="dxa" w:w="312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July 14, 2026</w:t>
            </w:r>
          </w:p>
        </w:tc>
      </w:tr>
      <w:tr>
        <w:tc>
          <w:tcPr>
            <w:tcW w:type="dxa" w:w="312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Macarubbo, Noly J., Jr.</w:t>
            </w:r>
          </w:p>
        </w:tc>
        <w:tc>
          <w:tcPr>
            <w:tcW w:type="dxa" w:w="312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Leave workflow modules</w:t>
            </w:r>
          </w:p>
        </w:tc>
        <w:tc>
          <w:tcPr>
            <w:tcW w:type="dxa" w:w="312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July 14, 2026</w:t>
            </w:r>
          </w:p>
        </w:tc>
      </w:tr>
      <w:tr>
        <w:tc>
          <w:tcPr>
            <w:tcW w:type="dxa" w:w="312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Mendoza, Alexander John T.</w:t>
            </w:r>
          </w:p>
        </w:tc>
        <w:tc>
          <w:tcPr>
            <w:tcW w:type="dxa" w:w="312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HR, reports and API modules</w:t>
            </w:r>
          </w:p>
        </w:tc>
        <w:tc>
          <w:tcPr>
            <w:tcW w:type="dxa" w:w="312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July 14, 2026</w:t>
            </w:r>
          </w:p>
        </w:tc>
      </w:tr>
    </w:tbl>
    <w:p>
      <w:r>
        <w:br w:type="page"/>
      </w:r>
    </w:p>
    <w:p>
      <w:pPr>
        <w:spacing w:after="40" w:before="240"/>
        <w:jc w:val="center"/>
      </w:pPr>
      <w:r>
        <w:rPr>
          <w:rFonts w:ascii="Calibri" w:cs="Calibri" w:eastAsia="Calibri" w:hAnsi="Calibri"/>
          <w:b/>
          <w:bCs/>
          <w:color w:val="1F3864"/>
          <w:sz w:val="26"/>
          <w:szCs w:val="26"/>
        </w:rPr>
        <w:t xml:space="preserve">FORM 6</w:t>
      </w:r>
    </w:p>
    <w:p>
      <w:pPr>
        <w:pBdr>
          <w:bottom w:val="single" w:color="1F3864" w:sz="8" w:space="4"/>
        </w:pBdr>
        <w:spacing w:after="160"/>
        <w:jc w:val="center"/>
      </w:pPr>
      <w:r>
        <w:rPr>
          <w:rFonts w:ascii="Calibri" w:cs="Calibri" w:eastAsia="Calibri" w:hAnsi="Calibri"/>
          <w:b/>
          <w:bCs/>
          <w:color w:val="1F3864"/>
          <w:sz w:val="23"/>
          <w:szCs w:val="23"/>
        </w:rPr>
        <w:t xml:space="preserve">REPOSITORY UPDATE REPORT</w:t>
      </w:r>
    </w:p>
    <w:p>
      <w:pPr>
        <w:spacing w:after="80" w:before="180"/>
      </w:pPr>
      <w:r>
        <w:rPr>
          <w:rFonts w:ascii="Calibri" w:cs="Calibri" w:eastAsia="Calibri" w:hAnsi="Calibri"/>
          <w:b/>
          <w:bCs/>
          <w:sz w:val="21"/>
          <w:szCs w:val="21"/>
        </w:rPr>
        <w:t xml:space="preserve">Repository URL</w:t>
      </w:r>
    </w:p>
    <w:p>
      <w:pPr>
        <w:spacing w:after="100" w:before="0"/>
      </w:pPr>
      <w:r>
        <w:rPr>
          <w:rFonts w:ascii="Calibri" w:cs="Calibri" w:eastAsia="Calibri" w:hAnsi="Calibri"/>
          <w:b/>
          <w:bCs/>
          <w:sz w:val="21"/>
          <w:szCs w:val="21"/>
        </w:rPr>
        <w:t xml:space="preserve">https://github.com/jannces/DJ</w:t>
      </w:r>
    </w:p>
    <w:p>
      <w:pPr>
        <w:spacing w:after="100" w:before="0"/>
      </w:pPr>
      <w:r>
        <w:rPr>
          <w:rFonts w:ascii="Calibri" w:cs="Calibri" w:eastAsia="Calibri" w:hAnsi="Calibri"/>
          <w:sz w:val="19"/>
          <w:szCs w:val="19"/>
        </w:rPr>
        <w:t xml:space="preserve">Working branch: main   |   Feature branches merged this week: 5 pull requests (#1 – #5)</w:t>
      </w:r>
    </w:p>
    <w:p>
      <w:pPr>
        <w:spacing w:after="80" w:before="180"/>
      </w:pPr>
      <w:r>
        <w:rPr>
          <w:rFonts w:ascii="Calibri" w:cs="Calibri" w:eastAsia="Calibri" w:hAnsi="Calibri"/>
          <w:b/>
          <w:bCs/>
          <w:sz w:val="21"/>
          <w:szCs w:val="21"/>
        </w:rPr>
        <w:t xml:space="preserve">Commits Made This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60"/>
        <w:gridCol w:w="2300"/>
      </w:tblGrid>
      <w:tr>
        <w:trPr>
          <w:tblHeader/>
        </w:trPr>
        <w:tc>
          <w:tcPr>
            <w:tcW w:type="dxa" w:w="7060"/>
            <w:shd w:fill="1F3864" w:color="auto"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19"/>
                <w:szCs w:val="19"/>
              </w:rPr>
              <w:t xml:space="preserve">Commit Description</w:t>
            </w:r>
          </w:p>
        </w:tc>
        <w:tc>
          <w:tcPr>
            <w:tcW w:type="dxa" w:w="2300"/>
            <w:shd w:fill="1F3864" w:color="auto"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19"/>
                <w:szCs w:val="19"/>
              </w:rPr>
              <w:t xml:space="preserve">Date</w:t>
            </w:r>
          </w:p>
        </w:tc>
      </w:tr>
      <w:tr>
        <w:tc>
          <w:tcPr>
            <w:tcW w:type="dxa" w:w="70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Phase 1–2: Laravel 12 skeleton, offline vendor assets, requirements and architecture documentation, and 12 architecture decision records.</w:t>
            </w:r>
          </w:p>
        </w:tc>
        <w:tc>
          <w:tcPr>
            <w:tcW w:type="dxa" w:w="23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July 12, 2026</w:t>
            </w:r>
          </w:p>
        </w:tc>
      </w:tr>
      <w:tr>
        <w:tc>
          <w:tcPr>
            <w:tcW w:type="dxa" w:w="70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Phase 3: database schema (34 tables), Eloquent models, RBAC service, audit logger, factories and seeders for CSC leave types, roles and permissions, holidays, settings and demo data.</w:t>
            </w:r>
          </w:p>
        </w:tc>
        <w:tc>
          <w:tcPr>
            <w:tcW w:type="dxa" w:w="23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July 12, 2026</w:t>
            </w:r>
          </w:p>
        </w:tc>
      </w:tr>
      <w:tr>
        <w:tc>
          <w:tcPr>
            <w:tcW w:type="dxa" w:w="70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Phase 4–5: authentication (login, email OTP, lockout, password reset and change, session timeout, device middleware) and dynamic RBAC (permission middleware, role inheritance, per-user overrides, menu visibility), with the user interface, layouts and security kernel wiring.</w:t>
            </w:r>
          </w:p>
        </w:tc>
        <w:tc>
          <w:tcPr>
            <w:tcW w:type="dxa" w:w="23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July 12, 2026</w:t>
            </w:r>
          </w:p>
        </w:tc>
      </w:tr>
      <w:tr>
        <w:tc>
          <w:tcPr>
            <w:tcW w:type="dxa" w:w="70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Phase 6: leave management — CSC Form 6 digital form and PDF, 15 leave types with a JSON policy engine, working-day calculation, race-safe credit computation with negative-balance prevention, the Department Head → HR → Mayor approval workflow, digital signatures, notifications, HR modules and the monthly accrual command.</w:t>
            </w:r>
          </w:p>
        </w:tc>
        <w:tc>
          <w:tcPr>
            <w:tcW w:type="dxa" w:w="23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July 12, 2026</w:t>
            </w:r>
          </w:p>
        </w:tc>
      </w:tr>
      <w:tr>
        <w:tc>
          <w:tcPr>
            <w:tcW w:type="dxa" w:w="70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Phase 7–8: security layer and intrusion detection — IDS middleware with SQL injection, XSS and traversal signatures, rate anomaly detection, automatic IP blocking, administrator alerts, security headers, audit and activity logging, the security dashboard, and the blocked-IP, device, audit, activity and settings administration modules.</w:t>
            </w:r>
          </w:p>
        </w:tc>
        <w:tc>
          <w:tcPr>
            <w:tcW w:type="dxa" w:w="23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July 12, 2026</w:t>
            </w:r>
          </w:p>
        </w:tc>
      </w:tr>
      <w:tr>
        <w:tc>
          <w:tcPr>
            <w:tcW w:type="dxa" w:w="70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Phase 9: reports (nine types with PDF, Excel and CSV export), global search, role-scoped dashboards with Chart.js, and the versioned REST API with an OpenAPI 3 specification and offline Swagger UI.</w:t>
            </w:r>
          </w:p>
        </w:tc>
        <w:tc>
          <w:tcPr>
            <w:tcW w:type="dxa" w:w="23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July 12, 2026</w:t>
            </w:r>
          </w:p>
        </w:tc>
      </w:tr>
      <w:tr>
        <w:tc>
          <w:tcPr>
            <w:tcW w:type="dxa" w:w="70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Phase 10: testing and quality documentation — automated test suite, penetration test report, ISO/IEC 25010 evaluation with a traceability matrix and survey instrument, consolidated security report, and a reference SQL schema and seed dump.</w:t>
            </w:r>
          </w:p>
        </w:tc>
        <w:tc>
          <w:tcPr>
            <w:tcW w:type="dxa" w:w="23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July 12, 2026</w:t>
            </w:r>
          </w:p>
        </w:tc>
      </w:tr>
      <w:tr>
        <w:tc>
          <w:tcPr>
            <w:tcW w:type="dxa" w:w="70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Phase 11: deployment artifacts and beginner guide — backup and restore command, command-line device management, self-signed TLS certificate scripts, Apache virtual host, queue service unit, XAMPP-tuned environment file, project README and a step-by-step setup guide.</w:t>
            </w:r>
          </w:p>
        </w:tc>
        <w:tc>
          <w:tcPr>
            <w:tcW w:type="dxa" w:w="23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July 12, 2026</w:t>
            </w:r>
          </w:p>
        </w:tc>
      </w:tr>
      <w:tr>
        <w:tc>
          <w:tcPr>
            <w:tcW w:type="dxa" w:w="70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Fix: pin the Composer platform to PHP 8.2 so dependencies install correctly on XAMPP. (Pull request #2)</w:t>
            </w:r>
          </w:p>
        </w:tc>
        <w:tc>
          <w:tcPr>
            <w:tcW w:type="dxa" w:w="23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July 12, 2026</w:t>
            </w:r>
          </w:p>
        </w:tc>
      </w:tr>
      <w:tr>
        <w:tc>
          <w:tcPr>
            <w:tcW w:type="dxa" w:w="70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Fix user interface defects: apply Bootstrap 5 pagination and move the review and balance modals outside the table bodies so the markup is valid and the buttons are clickable. (Pull request #3)</w:t>
            </w:r>
          </w:p>
        </w:tc>
        <w:tc>
          <w:tcPr>
            <w:tcW w:type="dxa" w:w="23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July 13, 2026</w:t>
            </w:r>
          </w:p>
        </w:tc>
      </w:tr>
      <w:tr>
        <w:tc>
          <w:tcPr>
            <w:tcW w:type="dxa" w:w="70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Security fix: never auto-block loopback or whitelisted IP addresses, so the server cannot lock out itself or the administrator. (Pull request #4)</w:t>
            </w:r>
          </w:p>
        </w:tc>
        <w:tc>
          <w:tcPr>
            <w:tcW w:type="dxa" w:w="23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July 13, 2026</w:t>
            </w:r>
          </w:p>
        </w:tc>
      </w:tr>
      <w:tr>
        <w:tc>
          <w:tcPr>
            <w:tcW w:type="dxa" w:w="70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Offline hardening: remove the internet-dependent default welcome page, add a locally embedded icon, and document fully offline operation. (Pull request #5)</w:t>
            </w:r>
          </w:p>
        </w:tc>
        <w:tc>
          <w:tcPr>
            <w:tcW w:type="dxa" w:w="23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July 14, 2026</w:t>
            </w:r>
          </w:p>
        </w:tc>
      </w:tr>
    </w:tbl>
    <w:p>
      <w:pPr>
        <w:spacing w:after="80" w:before="180"/>
      </w:pPr>
      <w:r>
        <w:rPr>
          <w:rFonts w:ascii="Calibri" w:cs="Calibri" w:eastAsia="Calibri" w:hAnsi="Calibri"/>
          <w:b/>
          <w:bCs/>
          <w:sz w:val="21"/>
          <w:szCs w:val="21"/>
        </w:rPr>
        <w:t xml:space="preserve">Repository Evidence</w:t>
      </w:r>
    </w:p>
    <w:p>
      <w:pPr>
        <w:spacing w:after="60"/>
        <w:ind w:left="360"/>
      </w:pPr>
      <w:r>
        <w:rPr>
          <w:rFonts w:ascii="Calibri" w:cs="Calibri" w:eastAsia="Calibri" w:hAnsi="Calibri"/>
          <w:sz w:val="21"/>
          <w:szCs w:val="21"/>
        </w:rPr>
        <w:t xml:space="preserve">☒  Updated Source Code</w:t>
      </w:r>
    </w:p>
    <w:p>
      <w:pPr>
        <w:spacing w:after="60"/>
        <w:ind w:left="360"/>
      </w:pPr>
      <w:r>
        <w:rPr>
          <w:rFonts w:ascii="Calibri" w:cs="Calibri" w:eastAsia="Calibri" w:hAnsi="Calibri"/>
          <w:sz w:val="21"/>
          <w:szCs w:val="21"/>
        </w:rPr>
        <w:t xml:space="preserve">☒  Commit History Screenshot</w:t>
      </w:r>
    </w:p>
    <w:p>
      <w:pPr>
        <w:spacing w:after="60"/>
        <w:ind w:left="360"/>
      </w:pPr>
      <w:r>
        <w:rPr>
          <w:rFonts w:ascii="Calibri" w:cs="Calibri" w:eastAsia="Calibri" w:hAnsi="Calibri"/>
          <w:sz w:val="21"/>
          <w:szCs w:val="21"/>
        </w:rPr>
        <w:t xml:space="preserve">☒  Branch Update Screenshot</w:t>
      </w:r>
    </w:p>
    <w:p>
      <w:pPr>
        <w:spacing w:after="60"/>
        <w:ind w:left="360"/>
      </w:pPr>
      <w:r>
        <w:rPr>
          <w:rFonts w:ascii="Calibri" w:cs="Calibri" w:eastAsia="Calibri" w:hAnsi="Calibri"/>
          <w:sz w:val="21"/>
          <w:szCs w:val="21"/>
        </w:rPr>
        <w:t xml:space="preserve">☒  Team Contributions Screenshot</w:t>
      </w:r>
    </w:p>
    <w:p>
      <w:r>
        <w:br w:type="page"/>
      </w:r>
    </w:p>
    <w:p>
      <w:pPr>
        <w:spacing w:after="40" w:before="240"/>
        <w:jc w:val="center"/>
      </w:pPr>
      <w:r>
        <w:rPr>
          <w:rFonts w:ascii="Calibri" w:cs="Calibri" w:eastAsia="Calibri" w:hAnsi="Calibri"/>
          <w:b/>
          <w:bCs/>
          <w:color w:val="1F3864"/>
          <w:sz w:val="26"/>
          <w:szCs w:val="26"/>
        </w:rPr>
        <w:t xml:space="preserve">FORM 7</w:t>
      </w:r>
    </w:p>
    <w:p>
      <w:pPr>
        <w:pBdr>
          <w:bottom w:val="single" w:color="1F3864" w:sz="8" w:space="4"/>
        </w:pBdr>
        <w:spacing w:after="160"/>
        <w:jc w:val="center"/>
      </w:pPr>
      <w:r>
        <w:rPr>
          <w:rFonts w:ascii="Calibri" w:cs="Calibri" w:eastAsia="Calibri" w:hAnsi="Calibri"/>
          <w:b/>
          <w:bCs/>
          <w:color w:val="1F3864"/>
          <w:sz w:val="23"/>
          <w:szCs w:val="23"/>
        </w:rPr>
        <w:t xml:space="preserve">PROGRESS REPORT NO. 1</w:t>
      </w:r>
    </w:p>
    <w:p>
      <w:pPr>
        <w:spacing w:after="80" w:before="180"/>
      </w:pPr>
      <w:r>
        <w:rPr>
          <w:rFonts w:ascii="Calibri" w:cs="Calibri" w:eastAsia="Calibri" w:hAnsi="Calibri"/>
          <w:b/>
          <w:bCs/>
          <w:sz w:val="21"/>
          <w:szCs w:val="21"/>
        </w:rPr>
        <w:t xml:space="preserve">Project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864" w:color="auto"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19"/>
                <w:szCs w:val="19"/>
              </w:rPr>
              <w:t xml:space="preserve">Item</w:t>
            </w:r>
          </w:p>
        </w:tc>
        <w:tc>
          <w:tcPr>
            <w:tcW w:type="dxa" w:w="6760"/>
            <w:shd w:fill="1F3864" w:color="auto"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19"/>
                <w:szCs w:val="19"/>
              </w:rPr>
              <w:t xml:space="preserve">Detail</w:t>
            </w:r>
          </w:p>
        </w:tc>
      </w:tr>
      <w:tr>
        <w:tc>
          <w:tcPr>
            <w:tcW w:type="dxa" w:w="26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Project Title</w:t>
            </w:r>
          </w:p>
        </w:tc>
        <w:tc>
          <w:tcPr>
            <w:tcW w:type="dxa" w:w="67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A Cybersecurity Integrated Digital Leave Management System With Real-Time Intrusion Alerts For Local Government Unit Of Alicia</w:t>
            </w:r>
          </w:p>
        </w:tc>
      </w:tr>
      <w:tr>
        <w:tc>
          <w:tcPr>
            <w:tcW w:type="dxa" w:w="26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Date Submitted</w:t>
            </w:r>
          </w:p>
        </w:tc>
        <w:tc>
          <w:tcPr>
            <w:tcW w:type="dxa" w:w="67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August 5, 2026</w:t>
            </w:r>
          </w:p>
        </w:tc>
      </w:tr>
    </w:tbl>
    <w:p>
      <w:pPr>
        <w:spacing w:after="80" w:before="180"/>
      </w:pPr>
      <w:r>
        <w:rPr>
          <w:rFonts w:ascii="Calibri" w:cs="Calibri" w:eastAsia="Calibri" w:hAnsi="Calibri"/>
          <w:b/>
          <w:bCs/>
          <w:sz w:val="21"/>
          <w:szCs w:val="21"/>
        </w:rPr>
        <w:t xml:space="preserve">Accomplishments This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rPr>
          <w:tblHeader/>
        </w:trPr>
        <w:tc>
          <w:tcPr>
            <w:tcW w:type="dxa" w:w="5760"/>
            <w:shd w:fill="1F3864" w:color="auto"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19"/>
                <w:szCs w:val="19"/>
              </w:rPr>
              <w:t xml:space="preserve">Activity</w:t>
            </w:r>
          </w:p>
        </w:tc>
        <w:tc>
          <w:tcPr>
            <w:tcW w:type="dxa" w:w="3600"/>
            <w:shd w:fill="1F3864" w:color="auto"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19"/>
                <w:szCs w:val="19"/>
              </w:rPr>
              <w:t xml:space="preserve">Status</w:t>
            </w:r>
          </w:p>
        </w:tc>
      </w:tr>
      <w:tr>
        <w:tc>
          <w:tcPr>
            <w:tcW w:type="dxa" w:w="57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Module Development Planning</w:t>
            </w:r>
          </w:p>
        </w:tc>
        <w:tc>
          <w:tcPr>
            <w:tcW w:type="dxa" w:w="36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Completed</w:t>
            </w:r>
          </w:p>
        </w:tc>
      </w:tr>
      <w:tr>
        <w:tc>
          <w:tcPr>
            <w:tcW w:type="dxa" w:w="57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Core Functionality Development</w:t>
            </w:r>
          </w:p>
        </w:tc>
        <w:tc>
          <w:tcPr>
            <w:tcW w:type="dxa" w:w="36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Completed</w:t>
            </w:r>
          </w:p>
        </w:tc>
      </w:tr>
      <w:tr>
        <w:tc>
          <w:tcPr>
            <w:tcW w:type="dxa" w:w="57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User Interface Development</w:t>
            </w:r>
          </w:p>
        </w:tc>
        <w:tc>
          <w:tcPr>
            <w:tcW w:type="dxa" w:w="36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Completed</w:t>
            </w:r>
          </w:p>
        </w:tc>
      </w:tr>
      <w:tr>
        <w:tc>
          <w:tcPr>
            <w:tcW w:type="dxa" w:w="57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Workflow Configuration</w:t>
            </w:r>
          </w:p>
        </w:tc>
        <w:tc>
          <w:tcPr>
            <w:tcW w:type="dxa" w:w="36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Completed</w:t>
            </w:r>
          </w:p>
        </w:tc>
      </w:tr>
      <w:tr>
        <w:tc>
          <w:tcPr>
            <w:tcW w:type="dxa" w:w="57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Internal Functionality Verification</w:t>
            </w:r>
          </w:p>
        </w:tc>
        <w:tc>
          <w:tcPr>
            <w:tcW w:type="dxa" w:w="36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Completed</w:t>
            </w:r>
          </w:p>
        </w:tc>
      </w:tr>
      <w:tr>
        <w:tc>
          <w:tcPr>
            <w:tcW w:type="dxa" w:w="57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Repository Update and Version Control</w:t>
            </w:r>
          </w:p>
        </w:tc>
        <w:tc>
          <w:tcPr>
            <w:tcW w:type="dxa" w:w="36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Completed</w:t>
            </w:r>
          </w:p>
        </w:tc>
      </w:tr>
    </w:tbl>
    <w:p>
      <w:pPr>
        <w:spacing w:after="80" w:before="180"/>
      </w:pPr>
      <w:r>
        <w:rPr>
          <w:rFonts w:ascii="Calibri" w:cs="Calibri" w:eastAsia="Calibri" w:hAnsi="Calibri"/>
          <w:b/>
          <w:bCs/>
          <w:sz w:val="21"/>
          <w:szCs w:val="21"/>
        </w:rPr>
        <w:t xml:space="preserve">Major Accomplishments</w:t>
      </w:r>
    </w:p>
    <w:p>
      <w:pPr>
        <w:spacing w:after="100" w:before="0"/>
        <w:ind w:left="200"/>
      </w:pPr>
      <w:r>
        <w:rPr>
          <w:rFonts w:ascii="Calibri" w:cs="Calibri" w:eastAsia="Calibri" w:hAnsi="Calibri"/>
          <w:sz w:val="19"/>
          <w:szCs w:val="19"/>
        </w:rPr>
        <w:t xml:space="preserve">•  The project moved from planning into working software. All ten priority modules identified in Form 1 were developed, tested locally and committed to the repository, producing a system that can be run end to end.</w:t>
      </w:r>
    </w:p>
    <w:p>
      <w:pPr>
        <w:spacing w:after="100" w:before="0"/>
        <w:ind w:left="200"/>
      </w:pPr>
      <w:r>
        <w:rPr>
          <w:rFonts w:ascii="Calibri" w:cs="Calibri" w:eastAsia="Calibri" w:hAnsi="Calibri"/>
          <w:sz w:val="19"/>
          <w:szCs w:val="19"/>
        </w:rPr>
        <w:t xml:space="preserve">•  The complete leave workflow is functional. An employee can file a digital CSC Form No. 6, the system computes working days excluding weekends and Philippine holidays, and the request travels through Department Head recommendation, HR certification and final approval by the Mayor, after which the employee's leave credits are deducted automatically and a printable CSC Form 6 PDF becomes available.</w:t>
      </w:r>
    </w:p>
    <w:p>
      <w:pPr>
        <w:spacing w:after="100" w:before="0"/>
        <w:ind w:left="200"/>
      </w:pPr>
      <w:r>
        <w:rPr>
          <w:rFonts w:ascii="Calibri" w:cs="Calibri" w:eastAsia="Calibri" w:hAnsi="Calibri"/>
          <w:sz w:val="19"/>
          <w:szCs w:val="19"/>
        </w:rPr>
        <w:t xml:space="preserve">•  Leave credit computation is accurate and safe. Credits accrue at 1.25 VL and 1.25 SL per month, deduction runs inside a locked database transaction, and a balance can never become negative — this was proven by a test that approves two leave requests at the same time and confirms the credits cannot be spent twice.</w:t>
      </w:r>
    </w:p>
    <w:p>
      <w:pPr>
        <w:spacing w:after="100" w:before="0"/>
        <w:ind w:left="200"/>
      </w:pPr>
      <w:r>
        <w:rPr>
          <w:rFonts w:ascii="Calibri" w:cs="Calibri" w:eastAsia="Calibri" w:hAnsi="Calibri"/>
          <w:sz w:val="19"/>
          <w:szCs w:val="19"/>
        </w:rPr>
        <w:t xml:space="preserve">•  The cybersecurity mechanisms described in the manuscript are working, not merely designed. Email OTP, the three-strike 24-hour lockout, database-driven role-based access control with inheritance and per-user overrides, the intrusion detection middleware with automatic IP blocking, the append-only audit trail, and the real-time alerts on the Super Admin dashboard are all implemented and covered by automated tests.</w:t>
      </w:r>
    </w:p>
    <w:p>
      <w:pPr>
        <w:spacing w:after="100" w:before="0"/>
        <w:ind w:left="200"/>
      </w:pPr>
      <w:r>
        <w:rPr>
          <w:rFonts w:ascii="Calibri" w:cs="Calibri" w:eastAsia="Calibri" w:hAnsi="Calibri"/>
          <w:sz w:val="19"/>
          <w:szCs w:val="19"/>
        </w:rPr>
        <w:t xml:space="preserve">•  A database schema of 34 tables, 106 application routes, 26 controllers, 12 service classes and 50 interface pages was completed and documented, together with architecture, requirements, security, threat-model and deployment documentation and 12 architecture decision records.</w:t>
      </w:r>
    </w:p>
    <w:p>
      <w:pPr>
        <w:spacing w:after="100" w:before="0"/>
        <w:ind w:left="200"/>
      </w:pPr>
      <w:r>
        <w:rPr>
          <w:rFonts w:ascii="Calibri" w:cs="Calibri" w:eastAsia="Calibri" w:hAnsi="Calibri"/>
          <w:sz w:val="19"/>
          <w:szCs w:val="19"/>
        </w:rPr>
        <w:t xml:space="preserve">•  An automated test suite of 49 tests and 154 assertions passes with no failures, covering authentication, access control, the leave workflow, credit computation, intrusion detection, reports and the API.</w:t>
      </w:r>
    </w:p>
    <w:p>
      <w:pPr>
        <w:spacing w:after="80" w:before="180"/>
      </w:pPr>
      <w:r>
        <w:rPr>
          <w:rFonts w:ascii="Calibri" w:cs="Calibri" w:eastAsia="Calibri" w:hAnsi="Calibri"/>
          <w:b/>
          <w:bCs/>
          <w:sz w:val="21"/>
          <w:szCs w:val="21"/>
        </w:rPr>
        <w:t xml:space="preserve">Challenges Encountered</w:t>
      </w:r>
    </w:p>
    <w:p>
      <w:pPr>
        <w:spacing w:after="100" w:before="0"/>
        <w:ind w:left="200"/>
      </w:pPr>
      <w:r>
        <w:rPr>
          <w:rFonts w:ascii="Calibri" w:cs="Calibri" w:eastAsia="Calibri" w:hAnsi="Calibri"/>
          <w:sz w:val="19"/>
          <w:szCs w:val="19"/>
        </w:rPr>
        <w:t xml:space="preserve">•  Environment compatibility. The project initially resolved its dependencies against a newer version of PHP than the one bundled with XAMPP, so installation failed on the team's target machines.</w:t>
      </w:r>
    </w:p>
    <w:p>
      <w:pPr>
        <w:spacing w:after="100" w:before="0"/>
        <w:ind w:left="200"/>
      </w:pPr>
      <w:r>
        <w:rPr>
          <w:rFonts w:ascii="Calibri" w:cs="Calibri" w:eastAsia="Calibri" w:hAnsi="Calibri"/>
          <w:sz w:val="19"/>
          <w:szCs w:val="19"/>
        </w:rPr>
        <w:t xml:space="preserve">•  Risk of self-lockout during security testing. The automatic IP-blocking rule was capable of blocking the server's own address, which would have locked the administrator out of the system in the middle of testing.</w:t>
      </w:r>
    </w:p>
    <w:p>
      <w:pPr>
        <w:spacing w:after="100" w:before="0"/>
        <w:ind w:left="200"/>
      </w:pPr>
      <w:r>
        <w:rPr>
          <w:rFonts w:ascii="Calibri" w:cs="Calibri" w:eastAsia="Calibri" w:hAnsi="Calibri"/>
          <w:sz w:val="19"/>
          <w:szCs w:val="19"/>
        </w:rPr>
        <w:t xml:space="preserve">•  False positives in the intrusion detector. Peer testing revealed that ordinary text containing a double dash — for example "Family emergency -- will return Monday" — matches a SQL injection signature and is blocked, which would frustrate real users and could auto-block their workstation.</w:t>
      </w:r>
    </w:p>
    <w:p>
      <w:pPr>
        <w:spacing w:after="100" w:before="0"/>
        <w:ind w:left="200"/>
      </w:pPr>
      <w:r>
        <w:rPr>
          <w:rFonts w:ascii="Calibri" w:cs="Calibri" w:eastAsia="Calibri" w:hAnsi="Calibri"/>
          <w:sz w:val="19"/>
          <w:szCs w:val="19"/>
        </w:rPr>
        <w:t xml:space="preserve">•  Offline operation. The default landing page requested fonts from the internet, which is unacceptable for a system that must run entirely inside the LGU's local area network with no internet connection.</w:t>
      </w:r>
    </w:p>
    <w:p>
      <w:pPr>
        <w:spacing w:after="100" w:before="0"/>
        <w:ind w:left="200"/>
      </w:pPr>
      <w:r>
        <w:rPr>
          <w:rFonts w:ascii="Calibri" w:cs="Calibri" w:eastAsia="Calibri" w:hAnsi="Calibri"/>
          <w:sz w:val="19"/>
          <w:szCs w:val="19"/>
        </w:rPr>
        <w:t xml:space="preserve">•  Interface defects. Pagination controls rendered as oversized graphics and some action modals were nested inside table bodies, producing invalid markup and unclickable buttons.</w:t>
      </w:r>
    </w:p>
    <w:p>
      <w:pPr>
        <w:spacing w:after="80" w:before="180"/>
      </w:pPr>
      <w:r>
        <w:rPr>
          <w:rFonts w:ascii="Calibri" w:cs="Calibri" w:eastAsia="Calibri" w:hAnsi="Calibri"/>
          <w:b/>
          <w:bCs/>
          <w:sz w:val="21"/>
          <w:szCs w:val="21"/>
        </w:rPr>
        <w:t xml:space="preserve">Corrective Actions Taken</w:t>
      </w:r>
    </w:p>
    <w:p>
      <w:pPr>
        <w:spacing w:after="100" w:before="0"/>
        <w:ind w:left="200"/>
      </w:pPr>
      <w:r>
        <w:rPr>
          <w:rFonts w:ascii="Calibri" w:cs="Calibri" w:eastAsia="Calibri" w:hAnsi="Calibri"/>
          <w:sz w:val="19"/>
          <w:szCs w:val="19"/>
        </w:rPr>
        <w:t xml:space="preserve">•  The Composer platform version was pinned to PHP 8.2 so that dependencies install correctly on XAMPP, and the fix was merged through pull request #2.</w:t>
      </w:r>
    </w:p>
    <w:p>
      <w:pPr>
        <w:spacing w:after="100" w:before="0"/>
        <w:ind w:left="200"/>
      </w:pPr>
      <w:r>
        <w:rPr>
          <w:rFonts w:ascii="Calibri" w:cs="Calibri" w:eastAsia="Calibri" w:hAnsi="Calibri"/>
          <w:sz w:val="19"/>
          <w:szCs w:val="19"/>
        </w:rPr>
        <w:t xml:space="preserve">•  Loopback and administrator-whitelisted addresses were excluded from automatic blocking, and a configurable never-block list was added to system settings. Two regression tests were written to make sure this can never break again (pull request #4).</w:t>
      </w:r>
    </w:p>
    <w:p>
      <w:pPr>
        <w:spacing w:after="100" w:before="0"/>
        <w:ind w:left="200"/>
      </w:pPr>
      <w:r>
        <w:rPr>
          <w:rFonts w:ascii="Calibri" w:cs="Calibri" w:eastAsia="Calibri" w:hAnsi="Calibri"/>
          <w:sz w:val="19"/>
          <w:szCs w:val="19"/>
        </w:rPr>
        <w:t xml:space="preserve">•  The intrusion detector false positive was documented with its severity and reproduction steps, and correction was scheduled for Week 4: the comment-style signature will be applied only to the URL and query string rather than to free-text form fields.</w:t>
      </w:r>
    </w:p>
    <w:p>
      <w:pPr>
        <w:spacing w:after="100" w:before="0"/>
        <w:ind w:left="200"/>
      </w:pPr>
      <w:r>
        <w:rPr>
          <w:rFonts w:ascii="Calibri" w:cs="Calibri" w:eastAsia="Calibri" w:hAnsi="Calibri"/>
          <w:sz w:val="19"/>
          <w:szCs w:val="19"/>
        </w:rPr>
        <w:t xml:space="preserve">•  The internet-dependent welcome page was removed and a locally embedded icon was added so the system operates fully offline (pull request #5).</w:t>
      </w:r>
    </w:p>
    <w:p>
      <w:pPr>
        <w:spacing w:after="100" w:before="0"/>
        <w:ind w:left="200"/>
      </w:pPr>
      <w:r>
        <w:rPr>
          <w:rFonts w:ascii="Calibri" w:cs="Calibri" w:eastAsia="Calibri" w:hAnsi="Calibri"/>
          <w:sz w:val="19"/>
          <w:szCs w:val="19"/>
        </w:rPr>
        <w:t xml:space="preserve">•  Bootstrap 5 pagination was applied and the modals were relocated outside the table bodies, restoring valid markup and clickable controls (pull request #3).</w:t>
      </w:r>
    </w:p>
    <w:p>
      <w:pPr>
        <w:spacing w:after="80" w:before="180"/>
      </w:pPr>
      <w:r>
        <w:rPr>
          <w:rFonts w:ascii="Calibri" w:cs="Calibri" w:eastAsia="Calibri" w:hAnsi="Calibri"/>
          <w:b/>
          <w:bCs/>
          <w:sz w:val="21"/>
          <w:szCs w:val="21"/>
        </w:rPr>
        <w:t xml:space="preserve">Planned Activities for Week 4</w:t>
      </w:r>
    </w:p>
    <w:p>
      <w:pPr>
        <w:spacing w:after="100" w:before="0"/>
        <w:ind w:left="200"/>
      </w:pPr>
      <w:r>
        <w:rPr>
          <w:rFonts w:ascii="Calibri" w:cs="Calibri" w:eastAsia="Calibri" w:hAnsi="Calibri"/>
          <w:sz w:val="19"/>
          <w:szCs w:val="19"/>
        </w:rPr>
        <w:t xml:space="preserve">•  Correct the intrusion detector false positive and the two low-severity issues recorded in Form 5, then re-run the full automated test suite.</w:t>
      </w:r>
    </w:p>
    <w:p>
      <w:pPr>
        <w:spacing w:after="100" w:before="0"/>
        <w:ind w:left="200"/>
      </w:pPr>
      <w:r>
        <w:rPr>
          <w:rFonts w:ascii="Calibri" w:cs="Calibri" w:eastAsia="Calibri" w:hAnsi="Calibri"/>
          <w:sz w:val="19"/>
          <w:szCs w:val="19"/>
        </w:rPr>
        <w:t xml:space="preserve">•  Extend the demo data seeder with sample leave applications at each workflow stage so the review queues, dashboards and reports contain data during evaluation sessions.</w:t>
      </w:r>
    </w:p>
    <w:p>
      <w:pPr>
        <w:spacing w:after="100" w:before="0"/>
        <w:ind w:left="200"/>
      </w:pPr>
      <w:r>
        <w:rPr>
          <w:rFonts w:ascii="Calibri" w:cs="Calibri" w:eastAsia="Calibri" w:hAnsi="Calibri"/>
          <w:sz w:val="19"/>
          <w:szCs w:val="19"/>
        </w:rPr>
        <w:t xml:space="preserve">•  Deploy the system on the LAN test setup with Apache and HTTPS using the self-signed certificate scripts, and register the test workstations as authorized devices.</w:t>
      </w:r>
    </w:p>
    <w:p>
      <w:pPr>
        <w:spacing w:after="100" w:before="0"/>
        <w:ind w:left="200"/>
      </w:pPr>
      <w:r>
        <w:rPr>
          <w:rFonts w:ascii="Calibri" w:cs="Calibri" w:eastAsia="Calibri" w:hAnsi="Calibri"/>
          <w:sz w:val="19"/>
          <w:szCs w:val="19"/>
        </w:rPr>
        <w:t xml:space="preserve">•  Conduct the controlled penetration testing described in Chapter III: vulnerability scanning with OWASP ZAP, SQL injection testing with SQLMap, brute-force testing with Hydra, and packet analysis with Wireshark to confirm that traffic is encrypted. Record the before-and-after vulnerability counts required by the study.</w:t>
      </w:r>
    </w:p>
    <w:p>
      <w:pPr>
        <w:spacing w:after="100" w:before="0"/>
        <w:ind w:left="200"/>
      </w:pPr>
      <w:r>
        <w:rPr>
          <w:rFonts w:ascii="Calibri" w:cs="Calibri" w:eastAsia="Calibri" w:hAnsi="Calibri"/>
          <w:sz w:val="19"/>
          <w:szCs w:val="19"/>
        </w:rPr>
        <w:t xml:space="preserve">•  Prepare the ISO/IEC 25010 evaluation instrument and the task-based testing script, and coordinate the orientation schedule with the LGU for the 30 employee respondents and 5 IT experts.</w:t>
      </w:r>
    </w:p>
    <w:p>
      <w:pPr>
        <w:spacing w:after="100" w:before="0"/>
        <w:ind w:left="200"/>
      </w:pPr>
      <w:r>
        <w:rPr>
          <w:rFonts w:ascii="Calibri" w:cs="Calibri" w:eastAsia="Calibri" w:hAnsi="Calibri"/>
          <w:sz w:val="19"/>
          <w:szCs w:val="19"/>
        </w:rPr>
        <w:t xml:space="preserve">•  Begin drafting Chapter V (Results and Discussion) using the security metrics and test evidence gathered.</w:t>
      </w:r>
    </w:p>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color="auto"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19"/>
                <w:szCs w:val="19"/>
              </w:rPr>
              <w:t xml:space="preserve">Prepared by</w:t>
            </w:r>
          </w:p>
        </w:tc>
        <w:tc>
          <w:tcPr>
            <w:tcW w:type="dxa" w:w="4680"/>
            <w:shd w:fill="1F3864" w:color="auto"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19"/>
                <w:szCs w:val="19"/>
              </w:rPr>
              <w:t xml:space="preserve">Reviewed by</w:t>
            </w:r>
          </w:p>
        </w:tc>
      </w:tr>
      <w:tr>
        <w:tc>
          <w:tcPr>
            <w:tcW w:type="dxa" w:w="468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
            </w:r>
          </w:p>
        </w:tc>
        <w:tc>
          <w:tcPr>
            <w:tcW w:type="dxa" w:w="468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
            </w:r>
          </w:p>
        </w:tc>
      </w:tr>
      <w:tr>
        <w:tc>
          <w:tcPr>
            <w:tcW w:type="dxa" w:w="468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Mendoza, Dj Robin O.</w:t>
            </w:r>
          </w:p>
        </w:tc>
        <w:tc>
          <w:tcPr>
            <w:tcW w:type="dxa" w:w="468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
            </w:r>
          </w:p>
        </w:tc>
      </w:tr>
      <w:tr>
        <w:tc>
          <w:tcPr>
            <w:tcW w:type="dxa" w:w="468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Group Leader</w:t>
            </w:r>
          </w:p>
        </w:tc>
        <w:tc>
          <w:tcPr>
            <w:tcW w:type="dxa" w:w="468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Project Adviser</w:t>
            </w:r>
          </w:p>
        </w:tc>
      </w:tr>
    </w:tbl>
    <w:p>
      <w:r>
        <w:br w:type="page"/>
      </w:r>
    </w:p>
    <w:p>
      <w:pPr>
        <w:spacing w:after="40" w:before="240"/>
        <w:jc w:val="center"/>
      </w:pPr>
      <w:r>
        <w:rPr>
          <w:rFonts w:ascii="Calibri" w:cs="Calibri" w:eastAsia="Calibri" w:hAnsi="Calibri"/>
          <w:b/>
          <w:bCs/>
          <w:color w:val="1F3864"/>
          <w:sz w:val="26"/>
          <w:szCs w:val="26"/>
        </w:rPr>
        <w:t xml:space="preserve">FORM 8</w:t>
      </w:r>
    </w:p>
    <w:p>
      <w:pPr>
        <w:pBdr>
          <w:bottom w:val="single" w:color="1F3864" w:sz="8" w:space="4"/>
        </w:pBdr>
        <w:spacing w:after="160"/>
        <w:jc w:val="center"/>
      </w:pPr>
      <w:r>
        <w:rPr>
          <w:rFonts w:ascii="Calibri" w:cs="Calibri" w:eastAsia="Calibri" w:hAnsi="Calibri"/>
          <w:b/>
          <w:bCs/>
          <w:color w:val="1F3864"/>
          <w:sz w:val="23"/>
          <w:szCs w:val="23"/>
        </w:rPr>
        <w:t xml:space="preserve">ADVISER CONSULTATION RECORD</w:t>
      </w:r>
    </w:p>
    <w:p>
      <w:pPr>
        <w:spacing w:after="100" w:before="0"/>
      </w:pPr>
      <w:r>
        <w:rPr>
          <w:rFonts w:ascii="Calibri" w:cs="Calibri" w:eastAsia="Calibri" w:hAnsi="Calibri"/>
          <w:i/>
          <w:iCs/>
          <w:sz w:val="19"/>
          <w:szCs w:val="19"/>
        </w:rPr>
        <w:t xml:space="preserve">Directions: Present all Week 3 outputs and secure adviser 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shd w:fill="1F3864" w:color="auto"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19"/>
                <w:szCs w:val="19"/>
              </w:rPr>
              <w:t xml:space="preserve">Topic Discussed</w:t>
            </w:r>
          </w:p>
        </w:tc>
        <w:tc>
          <w:tcPr>
            <w:tcW w:type="dxa" w:w="3200"/>
            <w:shd w:fill="1F3864" w:color="auto"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19"/>
                <w:szCs w:val="19"/>
              </w:rPr>
              <w:t xml:space="preserve">Presented Output</w:t>
            </w:r>
          </w:p>
        </w:tc>
        <w:tc>
          <w:tcPr>
            <w:tcW w:type="dxa" w:w="3760"/>
            <w:shd w:fill="1F3864" w:color="auto"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19"/>
                <w:szCs w:val="19"/>
              </w:rPr>
              <w:t xml:space="preserve">Recommendation</w:t>
            </w:r>
          </w:p>
        </w:tc>
      </w:tr>
      <w:tr>
        <w:tc>
          <w:tcPr>
            <w:tcW w:type="dxa" w:w="24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Module Development</w:t>
            </w:r>
          </w:p>
        </w:tc>
        <w:tc>
          <w:tcPr>
            <w:tcW w:type="dxa" w:w="32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Form 1 module plan and the ten completed modules; live demonstration of the running system.</w:t>
            </w:r>
          </w:p>
        </w:tc>
        <w:tc>
          <w:tcPr>
            <w:tcW w:type="dxa" w:w="37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
            </w:r>
          </w:p>
        </w:tc>
      </w:tr>
      <w:tr>
        <w:tc>
          <w:tcPr>
            <w:tcW w:type="dxa" w:w="24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User Interface Development</w:t>
            </w:r>
          </w:p>
        </w:tc>
        <w:tc>
          <w:tcPr>
            <w:tcW w:type="dxa" w:w="32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Form 3 and the 50 developed interface pages, including the role-scoped dashboards and error pages.</w:t>
            </w:r>
          </w:p>
        </w:tc>
        <w:tc>
          <w:tcPr>
            <w:tcW w:type="dxa" w:w="37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
            </w:r>
          </w:p>
        </w:tc>
      </w:tr>
      <w:tr>
        <w:tc>
          <w:tcPr>
            <w:tcW w:type="dxa" w:w="24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Workflow Implementation</w:t>
            </w:r>
          </w:p>
        </w:tc>
        <w:tc>
          <w:tcPr>
            <w:tcW w:type="dxa" w:w="32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Form 4 and an end-to-end demonstration of the Department Head → HR → Mayor approval chain with automatic credit deduction.</w:t>
            </w:r>
          </w:p>
        </w:tc>
        <w:tc>
          <w:tcPr>
            <w:tcW w:type="dxa" w:w="37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
            </w:r>
          </w:p>
        </w:tc>
      </w:tr>
      <w:tr>
        <w:tc>
          <w:tcPr>
            <w:tcW w:type="dxa" w:w="24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Repository Progress</w:t>
            </w:r>
          </w:p>
        </w:tc>
        <w:tc>
          <w:tcPr>
            <w:tcW w:type="dxa" w:w="320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Form 6, the commit history and the five merged pull requests at https://github.com/jannces/DJ.</w:t>
            </w:r>
          </w:p>
        </w:tc>
        <w:tc>
          <w:tcPr>
            <w:tcW w:type="dxa" w:w="376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
            </w:r>
          </w:p>
        </w:tc>
      </w:tr>
    </w:tbl>
    <w:p>
      <w:pPr>
        <w:spacing w:after="80" w:before="180"/>
      </w:pPr>
      <w:r>
        <w:rPr>
          <w:rFonts w:ascii="Calibri" w:cs="Calibri" w:eastAsia="Calibri" w:hAnsi="Calibri"/>
          <w:b/>
          <w:bCs/>
          <w:sz w:val="21"/>
          <w:szCs w:val="21"/>
        </w:rPr>
        <w:t xml:space="preserve">Adviser Remarks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Mar>
              <w:top w:type="dxa" w:w="100"/>
              <w:left w:type="dxa" w:w="100"/>
              <w:bottom w:type="dxa" w:w="100"/>
              <w:right w:type="dxa" w:w="100"/>
            </w:tcMar>
          </w:tcPr>
          <w:p>
            <w:pPr>
              <w:spacing w:after="100" w:before="0"/>
            </w:pPr>
            <w:r>
              <w:rPr>
                <w:rFonts w:ascii="Calibri" w:cs="Calibri" w:eastAsia="Calibri" w:hAnsi="Calibri"/>
                <w:sz w:val="21"/>
                <w:szCs w:val="21"/>
              </w:rPr>
              <w:t xml:space="preserve"/>
            </w:r>
          </w:p>
          <w:p>
            <w:pPr>
              <w:spacing w:after="100" w:before="0"/>
            </w:pPr>
            <w:r>
              <w:rPr>
                <w:rFonts w:ascii="Calibri" w:cs="Calibri" w:eastAsia="Calibri" w:hAnsi="Calibri"/>
                <w:sz w:val="21"/>
                <w:szCs w:val="21"/>
              </w:rPr>
              <w:t xml:space="preserve"/>
            </w:r>
          </w:p>
          <w:p>
            <w:pPr>
              <w:spacing w:after="100" w:before="0"/>
            </w:pPr>
            <w:r>
              <w:rPr>
                <w:rFonts w:ascii="Calibri" w:cs="Calibri" w:eastAsia="Calibri" w:hAnsi="Calibri"/>
                <w:sz w:val="21"/>
                <w:szCs w:val="21"/>
              </w:rPr>
              <w:t xml:space="preserve"/>
            </w:r>
          </w:p>
          <w:p>
            <w:pPr>
              <w:spacing w:after="100" w:before="0"/>
            </w:pPr>
            <w:r>
              <w:rPr>
                <w:rFonts w:ascii="Calibri" w:cs="Calibri" w:eastAsia="Calibri" w:hAnsi="Calibri"/>
                <w:sz w:val="21"/>
                <w:szCs w:val="21"/>
              </w:rPr>
              <w:t xml:space="preserve"/>
            </w:r>
          </w:p>
          <w:p>
            <w:pPr>
              <w:spacing w:after="100" w:before="0"/>
            </w:pPr>
            <w:r>
              <w:rPr>
                <w:rFonts w:ascii="Calibri" w:cs="Calibri" w:eastAsia="Calibri" w:hAnsi="Calibri"/>
                <w:sz w:val="21"/>
                <w:szCs w:val="21"/>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color="auto"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19"/>
                <w:szCs w:val="19"/>
              </w:rPr>
              <w:t xml:space="preserve">Adviser Signature</w:t>
            </w:r>
          </w:p>
        </w:tc>
        <w:tc>
          <w:tcPr>
            <w:tcW w:type="dxa" w:w="4680"/>
            <w:shd w:fill="1F3864" w:color="auto"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19"/>
                <w:szCs w:val="19"/>
              </w:rPr>
              <w:t xml:space="preserve">Date</w:t>
            </w:r>
          </w:p>
        </w:tc>
      </w:tr>
      <w:tr>
        <w:tc>
          <w:tcPr>
            <w:tcW w:type="dxa" w:w="468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
            </w:r>
          </w:p>
        </w:tc>
        <w:tc>
          <w:tcPr>
            <w:tcW w:type="dxa" w:w="4680"/>
            <w:tcMar>
              <w:top w:type="dxa" w:w="60"/>
              <w:left w:type="dxa" w:w="100"/>
              <w:bottom w:type="dxa" w:w="60"/>
              <w:right w:type="dxa" w:w="100"/>
            </w:tcMar>
            <w:vAlign w:val="center"/>
          </w:tcPr>
          <w:p>
            <w:pPr>
              <w:spacing w:after="40" w:before="40"/>
            </w:pPr>
            <w:r>
              <w:rPr>
                <w:rFonts w:ascii="Calibri" w:cs="Calibri" w:eastAsia="Calibri" w:hAnsi="Calibri"/>
                <w:sz w:val="19"/>
                <w:szCs w:val="19"/>
              </w:rPr>
              <w:t xml:space="preserve"/>
            </w:r>
          </w:p>
        </w:tc>
      </w:tr>
    </w:tbl>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6960"/>
      <w:gridCol w:w="1200"/>
    </w:tblGrid>
    <w:tr>
      <w:tc>
        <w:tcPr>
          <w:tcW w:type="dxa" w:w="1200"/>
          <w:tcBorders>
            <w:top w:val="none" w:color="FFFFFF" w:sz="0"/>
            <w:left w:val="none" w:color="FFFFFF" w:sz="0"/>
            <w:bottom w:val="none" w:color="FFFFFF" w:sz="0"/>
            <w:right w:val="none" w:color="FFFFFF" w:sz="0"/>
          </w:tcBorders>
          <w:vAlign w:val="center"/>
        </w:tcPr>
        <w:p>
          <w:pPr>
            <w:jc w:val="center"/>
          </w:pPr>
          <w:r>
            <w:drawing>
              <wp:inline distT="0" distB="0" distL="0" distR="0">
                <wp:extent cx="49530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95300" cy="476250"/>
                        </a:xfrm>
                        <a:prstGeom prst="rect">
                          <a:avLst/>
                        </a:prstGeom>
                      </pic:spPr>
                    </pic:pic>
                  </a:graphicData>
                </a:graphic>
              </wp:inline>
            </w:drawing>
          </w:r>
        </w:p>
      </w:tc>
      <w:tc>
        <w:tcPr>
          <w:tcW w:type="dxa" w:w="6960"/>
          <w:tcBorders>
            <w:top w:val="none" w:color="FFFFFF" w:sz="0"/>
            <w:left w:val="none" w:color="FFFFFF" w:sz="0"/>
            <w:bottom w:val="none" w:color="FFFFFF" w:sz="0"/>
            <w:right w:val="none" w:color="FFFFFF" w:sz="0"/>
          </w:tcBorders>
          <w:vAlign w:val="center"/>
        </w:tcPr>
        <w:p>
          <w:pPr>
            <w:spacing w:after="0"/>
            <w:jc w:val="center"/>
          </w:pPr>
          <w:r>
            <w:rPr>
              <w:rFonts w:ascii="Calibri" w:cs="Calibri" w:eastAsia="Calibri" w:hAnsi="Calibri"/>
              <w:sz w:val="17"/>
              <w:szCs w:val="17"/>
            </w:rPr>
            <w:t xml:space="preserve">Republic of the Philippines</w:t>
          </w:r>
        </w:p>
        <w:p>
          <w:pPr>
            <w:spacing w:after="0"/>
            <w:jc w:val="center"/>
          </w:pPr>
          <w:r>
            <w:rPr>
              <w:rFonts w:ascii="Calibri" w:cs="Calibri" w:eastAsia="Calibri" w:hAnsi="Calibri"/>
              <w:b/>
              <w:bCs/>
              <w:sz w:val="19"/>
              <w:szCs w:val="19"/>
            </w:rPr>
            <w:t xml:space="preserve">ISABELA STATE UNIVERSITY</w:t>
          </w:r>
        </w:p>
        <w:p>
          <w:pPr>
            <w:spacing w:after="0"/>
            <w:jc w:val="center"/>
          </w:pPr>
          <w:r>
            <w:rPr>
              <w:rFonts w:ascii="Calibri" w:cs="Calibri" w:eastAsia="Calibri" w:hAnsi="Calibri"/>
              <w:sz w:val="17"/>
              <w:szCs w:val="17"/>
            </w:rPr>
            <w:t xml:space="preserve">Echague, Isabela</w:t>
          </w:r>
        </w:p>
        <w:p>
          <w:pPr>
            <w:spacing w:after="60"/>
            <w:jc w:val="center"/>
          </w:pPr>
          <w:r>
            <w:rPr>
              <w:rFonts w:ascii="Calibri" w:cs="Calibri" w:eastAsia="Calibri" w:hAnsi="Calibri"/>
              <w:i/>
              <w:iCs/>
              <w:sz w:val="17"/>
              <w:szCs w:val="17"/>
            </w:rPr>
            <w:t xml:space="preserve">College of Computing Studies, Information and Communication Technology</w:t>
          </w:r>
        </w:p>
      </w:tc>
      <w:tc>
        <w:tcPr>
          <w:tcW w:type="dxa" w:w="1200"/>
          <w:tcBorders>
            <w:top w:val="none" w:color="FFFFFF" w:sz="0"/>
            <w:left w:val="none" w:color="FFFFFF" w:sz="0"/>
            <w:bottom w:val="none" w:color="FFFFFF" w:sz="0"/>
            <w:right w:val="none" w:color="FFFFFF" w:sz="0"/>
          </w:tcBorders>
          <w:vAlign w:val="center"/>
        </w:tcPr>
        <w:p>
          <w:pPr>
            <w:jc w:val="center"/>
          </w:pPr>
          <w:r>
            <w:drawing>
              <wp:inline distT="0" distB="0" distL="0" distR="0">
                <wp:extent cx="495300" cy="48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495300" cy="485775"/>
                        </a:xfrm>
                        <a:prstGeom prst="rect">
                          <a:avLst/>
                        </a:prstGeom>
                      </pic:spPr>
                    </pic:pic>
                  </a:graphicData>
                </a:graphic>
              </wp:inline>
            </w:drawing>
          </w:r>
        </w:p>
      </w:tc>
    </w:tr>
  </w:tbl>
  <w:p>
    <w:pPr>
      <w:pBdr>
        <w:bottom w:val="single" w:color="1F3864" w:sz="6" w:space="1"/>
      </w:pBd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8db5cdf55166a4997077c7efdf1254d389f9015.png"/><Relationship Id="rId1" Type="http://schemas.openxmlformats.org/officeDocument/2006/relationships/image" Target="media/dc249c23f037d938329219e0d3d32ce14679777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 System Development I — Forms 1 to 8</dc:title>
  <dc:creator>Capstone Team — BSIT, ISU Echague</dc:creator>
  <cp:lastModifiedBy>Un-named</cp:lastModifiedBy>
  <cp:revision>1</cp:revision>
  <dcterms:created xsi:type="dcterms:W3CDTF">2026-08-05T18:09:42.070Z</dcterms:created>
  <dcterms:modified xsi:type="dcterms:W3CDTF">2026-08-05T18:09:42.070Z</dcterms:modified>
</cp:coreProperties>
</file>

<file path=docProps/custom.xml><?xml version="1.0" encoding="utf-8"?>
<Properties xmlns="http://schemas.openxmlformats.org/officeDocument/2006/custom-properties" xmlns:vt="http://schemas.openxmlformats.org/officeDocument/2006/docPropsVTypes"/>
</file>