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fill="1B3A6B"/>
      </w:pPr>
      <w:r>
        <w:rPr>
          <w:rFonts w:ascii="Calibri" w:hAnsi="Calibri"/>
          <w:b/>
          <w:i w:val="0"/>
          <w:color w:val="FFFFFF"/>
          <w:sz w:val="40"/>
        </w:rPr>
        <w:t xml:space="preserve">  SAFEGUARD360</w:t>
      </w:r>
    </w:p>
    <w:p/>
    <w:p>
      <w:pPr>
        <w:spacing w:before="300" w:after="100"/>
      </w:pPr>
      <w:r>
        <w:rPr>
          <w:rFonts w:ascii="Calibri" w:hAnsi="Calibri"/>
          <w:b/>
          <w:i w:val="0"/>
          <w:color w:val="1B3A6B"/>
          <w:sz w:val="52"/>
        </w:rPr>
        <w:t>Phase 2 Technical Roadmap</w:t>
      </w:r>
    </w:p>
    <w:p>
      <w:pPr>
        <w:spacing w:before="0" w:after="200"/>
      </w:pPr>
      <w:r>
        <w:rPr>
          <w:rFonts w:ascii="Calibri" w:hAnsi="Calibri"/>
          <w:b w:val="0"/>
          <w:i/>
          <w:color w:val="2563EB"/>
          <w:sz w:val="26"/>
        </w:rPr>
        <w:t>Live Intelligence Feeds  ·  AWS Cloud Architecture  ·  Failsafe &amp; Redundancy</w:t>
      </w:r>
    </w:p>
    <w:p>
      <w:pPr>
        <w:spacing w:before="80" w:after="80"/>
        <w:pBdr>
          <w:bottom w:val="single" w:sz="6" w:space="1" w:color="1B3A6B"/>
        </w:pBdr>
      </w:pPr>
    </w:p>
    <w:p>
      <w:pPr>
        <w:spacing w:before="40" w:after="40"/>
      </w:pPr>
      <w:r>
        <w:rPr>
          <w:rFonts w:ascii="Calibri" w:hAnsi="Calibri"/>
          <w:b/>
          <w:i w:val="0"/>
          <w:color w:val="1B3A6B"/>
          <w:sz w:val="21"/>
        </w:rPr>
        <w:t xml:space="preserve">Document type:  </w:t>
      </w:r>
      <w:r>
        <w:rPr>
          <w:rFonts w:ascii="Calibri" w:hAnsi="Calibri"/>
          <w:b w:val="0"/>
          <w:i w:val="0"/>
          <w:color w:val="444444"/>
          <w:sz w:val="21"/>
        </w:rPr>
        <w:t>Technical Architecture &amp; Implementation Roadmap</w:t>
      </w:r>
    </w:p>
    <w:p>
      <w:pPr>
        <w:spacing w:before="40" w:after="40"/>
      </w:pPr>
      <w:r>
        <w:rPr>
          <w:rFonts w:ascii="Calibri" w:hAnsi="Calibri"/>
          <w:b/>
          <w:i w:val="0"/>
          <w:color w:val="1B3A6B"/>
          <w:sz w:val="21"/>
        </w:rPr>
        <w:t xml:space="preserve">Prepared for:  </w:t>
      </w:r>
      <w:r>
        <w:rPr>
          <w:rFonts w:ascii="Calibri" w:hAnsi="Calibri"/>
          <w:b w:val="0"/>
          <w:i w:val="0"/>
          <w:color w:val="444444"/>
          <w:sz w:val="21"/>
        </w:rPr>
        <w:t>Safeguard 360 — Internal</w:t>
      </w:r>
    </w:p>
    <w:p>
      <w:pPr>
        <w:spacing w:before="40" w:after="40"/>
      </w:pPr>
      <w:r>
        <w:rPr>
          <w:rFonts w:ascii="Calibri" w:hAnsi="Calibri"/>
          <w:b/>
          <w:i w:val="0"/>
          <w:color w:val="1B3A6B"/>
          <w:sz w:val="21"/>
        </w:rPr>
        <w:t xml:space="preserve">Date:  </w:t>
      </w:r>
      <w:r>
        <w:rPr>
          <w:rFonts w:ascii="Calibri" w:hAnsi="Calibri"/>
          <w:b w:val="0"/>
          <w:i w:val="0"/>
          <w:color w:val="444444"/>
          <w:sz w:val="21"/>
        </w:rPr>
        <w:t>April 2026</w:t>
      </w:r>
    </w:p>
    <w:p>
      <w:pPr>
        <w:spacing w:before="40" w:after="40"/>
      </w:pPr>
      <w:r>
        <w:rPr>
          <w:rFonts w:ascii="Calibri" w:hAnsi="Calibri"/>
          <w:b/>
          <w:i w:val="0"/>
          <w:color w:val="1B3A6B"/>
          <w:sz w:val="21"/>
        </w:rPr>
        <w:t xml:space="preserve">Version:  </w:t>
      </w:r>
      <w:r>
        <w:rPr>
          <w:rFonts w:ascii="Calibri" w:hAnsi="Calibri"/>
          <w:b w:val="0"/>
          <w:i w:val="0"/>
          <w:color w:val="444444"/>
          <w:sz w:val="21"/>
        </w:rPr>
        <w:t>2.0 — Phase 2 Planning</w:t>
      </w:r>
    </w:p>
    <w:p>
      <w:pPr>
        <w:spacing w:before="40" w:after="40"/>
      </w:pPr>
      <w:r>
        <w:rPr>
          <w:rFonts w:ascii="Calibri" w:hAnsi="Calibri"/>
          <w:b/>
          <w:i w:val="0"/>
          <w:color w:val="1B3A6B"/>
          <w:sz w:val="21"/>
        </w:rPr>
        <w:t xml:space="preserve">Status:  </w:t>
      </w:r>
      <w:r>
        <w:rPr>
          <w:rFonts w:ascii="Calibri" w:hAnsi="Calibri"/>
          <w:b w:val="0"/>
          <w:i w:val="0"/>
          <w:color w:val="444444"/>
          <w:sz w:val="21"/>
        </w:rPr>
        <w:t>Draft for Review</w:t>
      </w:r>
    </w:p>
    <w:p>
      <w:r>
        <w:br w:type="page"/>
      </w:r>
    </w:p>
    <w:p>
      <w:pPr>
        <w:spacing w:before="200" w:after="80"/>
      </w:pPr>
      <w:r>
        <w:rPr>
          <w:rFonts w:ascii="Calibri" w:hAnsi="Calibri"/>
          <w:b/>
          <w:i w:val="0"/>
          <w:color w:val="1B3A6B"/>
          <w:sz w:val="36"/>
        </w:rPr>
        <w:t>00  Executive Overview</w:t>
      </w:r>
    </w:p>
    <w:p>
      <w:pPr>
        <w:spacing w:before="60" w:after="80"/>
      </w:pPr>
      <w:r>
        <w:rPr>
          <w:rFonts w:ascii="Calibri" w:hAnsi="Calibri"/>
          <w:b w:val="0"/>
          <w:i w:val="0"/>
          <w:color w:val="444444"/>
          <w:sz w:val="21"/>
        </w:rPr>
        <w:t>SafeGuard360 is live and operational. The Phase 1 platform delivers itinerary monitoring, manual risk alerts, ISO 31000 compliance training, and executive dashboard visibility across pan-African operations.</w:t>
      </w:r>
    </w:p>
    <w:p>
      <w:pPr>
        <w:spacing w:before="60" w:after="80"/>
      </w:pPr>
      <w:r>
        <w:rPr>
          <w:rFonts w:ascii="Calibri" w:hAnsi="Calibri"/>
          <w:b w:val="0"/>
          <w:i w:val="0"/>
          <w:color w:val="444444"/>
          <w:sz w:val="21"/>
        </w:rPr>
        <w:t>Phase 2 has three objectives: replace manually entered alerts with automated live intelligence feeds; migrate backend infrastructure to Amazon Web Services (AWS) for enterprise-grade security, scalability, and compliance; and implement a multi-layer failsafe architecture so the platform remains functional even during outages.</w:t>
      </w:r>
    </w:p>
    <w:p>
      <w:pPr>
        <w:spacing w:before="60" w:after="80"/>
      </w:pPr>
      <w:r>
        <w:rPr>
          <w:rFonts w:ascii="Calibri" w:hAnsi="Calibri"/>
          <w:b w:val="0"/>
          <w:i w:val="0"/>
          <w:color w:val="444444"/>
          <w:sz w:val="21"/>
        </w:rPr>
        <w:t>This document provides the implementation roadmap for all three workstreams, structured in a logical build sequence. Each section identifies the recommended services, integration approach, estimated complexity, and dependencies.</w:t>
      </w:r>
    </w:p>
    <w:p>
      <w:pPr>
        <w:spacing w:before="80" w:after="80"/>
        <w:pBdr>
          <w:bottom w:val="single" w:sz="6" w:space="1" w:color="1B3A6B"/>
        </w:pBdr>
      </w:pPr>
    </w:p>
    <w:p>
      <w:pPr>
        <w:spacing w:before="200" w:after="80"/>
      </w:pPr>
      <w:r>
        <w:rPr>
          <w:rFonts w:ascii="Calibri" w:hAnsi="Calibri"/>
          <w:b/>
          <w:i w:val="0"/>
          <w:color w:val="1B3A6B"/>
          <w:sz w:val="36"/>
        </w:rPr>
        <w:t>01  Live Intelligence Feeds</w:t>
      </w:r>
    </w:p>
    <w:p>
      <w:pPr>
        <w:spacing w:before="60" w:after="80"/>
      </w:pPr>
      <w:r>
        <w:rPr>
          <w:rFonts w:ascii="Calibri" w:hAnsi="Calibri"/>
          <w:b w:val="0"/>
          <w:i w:val="0"/>
          <w:color w:val="444444"/>
          <w:sz w:val="21"/>
        </w:rPr>
        <w:t>Currently, alerts are inserted manually by the SafeGuard360 administrator via the Supabase dashboard. Phase 2 replaces this with automated ingestion from multiple intelligence sources, matched to active traveller itineraries in real time.</w:t>
      </w:r>
    </w:p>
    <w:p>
      <w:pPr>
        <w:spacing w:before="200" w:after="80"/>
      </w:pPr>
      <w:r>
        <w:rPr>
          <w:rFonts w:ascii="Calibri" w:hAnsi="Calibri"/>
          <w:b/>
          <w:i w:val="0"/>
          <w:color w:val="2563EB"/>
          <w:sz w:val="28"/>
          <w:u w:val="none"/>
        </w:rPr>
        <w:t>1.1  Recommended Intelligence Sources</w:t>
      </w:r>
    </w:p>
    <w:p>
      <w:pPr>
        <w:spacing w:before="60" w:after="80"/>
      </w:pPr>
      <w:r>
        <w:rPr>
          <w:rFonts w:ascii="Calibri" w:hAnsi="Calibri"/>
          <w:b w:val="0"/>
          <w:i w:val="0"/>
          <w:color w:val="444444"/>
          <w:sz w:val="21"/>
        </w:rPr>
        <w:t>A tiered approach to sourcing is recommended — free/open-source feeds provide broad coverage; commercial APIs deliver vetted, analyst-curated intelligence for high-stakes decisions.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1B3A6B"/>
          </w:tcPr>
          <w:p>
            <w:pPr>
              <w:jc w:val="left"/>
              <w:spacing w:before="60" w:after="60"/>
            </w:pPr>
            <w:r>
              <w:rPr>
                <w:rFonts w:ascii="Calibri" w:hAnsi="Calibri"/>
                <w:b/>
                <w:i w:val="0"/>
                <w:color w:val="FFFFFF"/>
                <w:sz w:val="19"/>
              </w:rPr>
              <w:t>Source</w:t>
            </w:r>
          </w:p>
        </w:tc>
        <w:tc>
          <w:tcPr>
            <w:tcW w:type="dxa" w:w="1701"/>
            <w:shd w:val="clear" w:color="auto" w:fill="1B3A6B"/>
          </w:tcPr>
          <w:p>
            <w:pPr>
              <w:jc w:val="left"/>
              <w:spacing w:before="60" w:after="60"/>
            </w:pPr>
            <w:r>
              <w:rPr>
                <w:rFonts w:ascii="Calibri" w:hAnsi="Calibri"/>
                <w:b/>
                <w:i w:val="0"/>
                <w:color w:val="FFFFFF"/>
                <w:sz w:val="19"/>
              </w:rPr>
              <w:t>Type</w:t>
            </w:r>
          </w:p>
        </w:tc>
        <w:tc>
          <w:tcPr>
            <w:tcW w:type="dxa" w:w="3118"/>
            <w:shd w:val="clear" w:color="auto" w:fill="1B3A6B"/>
          </w:tcPr>
          <w:p>
            <w:pPr>
              <w:jc w:val="left"/>
              <w:spacing w:before="60" w:after="60"/>
            </w:pPr>
            <w:r>
              <w:rPr>
                <w:rFonts w:ascii="Calibri" w:hAnsi="Calibri"/>
                <w:b/>
                <w:i w:val="0"/>
                <w:color w:val="FFFFFF"/>
                <w:sz w:val="19"/>
              </w:rPr>
              <w:t>Coverage</w:t>
            </w:r>
          </w:p>
        </w:tc>
        <w:tc>
          <w:tcPr>
            <w:tcW w:type="dxa" w:w="1587"/>
            <w:shd w:val="clear" w:color="auto" w:fill="1B3A6B"/>
          </w:tcPr>
          <w:p>
            <w:pPr>
              <w:jc w:val="left"/>
              <w:spacing w:before="60" w:after="60"/>
            </w:pPr>
            <w:r>
              <w:rPr>
                <w:rFonts w:ascii="Calibri" w:hAnsi="Calibri"/>
                <w:b/>
                <w:i w:val="0"/>
                <w:color w:val="FFFFFF"/>
                <w:sz w:val="19"/>
              </w:rPr>
              <w:t>Cost</w:t>
            </w:r>
          </w:p>
        </w:tc>
        <w:tc>
          <w:tcPr>
            <w:tcW w:type="dxa" w:w="1417"/>
            <w:shd w:val="clear" w:color="auto" w:fill="1B3A6B"/>
          </w:tcPr>
          <w:p>
            <w:pPr>
              <w:jc w:val="left"/>
              <w:spacing w:before="60" w:after="60"/>
            </w:pPr>
            <w:r>
              <w:rPr>
                <w:rFonts w:ascii="Calibri" w:hAnsi="Calibri"/>
                <w:b/>
                <w:i w:val="0"/>
                <w:color w:val="FFFFFF"/>
                <w:sz w:val="19"/>
              </w:rPr>
              <w:t>Priority</w:t>
            </w:r>
          </w:p>
        </w:tc>
      </w:tr>
      <w:tr>
        <w:tc>
          <w:tcPr>
            <w:tcW w:type="dxa" w:w="1814"/>
            <w:shd w:val="clear" w:color="auto" w:fill="F0F4FF"/>
          </w:tcPr>
          <w:p>
            <w:pPr>
              <w:spacing w:before="50" w:after="50"/>
            </w:pPr>
            <w:r>
              <w:rPr>
                <w:rFonts w:ascii="Calibri" w:hAnsi="Calibri"/>
                <w:b/>
                <w:i w:val="0"/>
                <w:color w:val="444444"/>
                <w:sz w:val="19"/>
              </w:rPr>
              <w:t>ACLED</w:t>
            </w:r>
          </w:p>
        </w:tc>
        <w:tc>
          <w:tcPr>
            <w:tcW w:type="dxa" w:w="1701"/>
            <w:shd w:val="clear" w:color="auto" w:fill="F0F4FF"/>
          </w:tcPr>
          <w:p>
            <w:pPr>
              <w:spacing w:before="50" w:after="50"/>
            </w:pPr>
            <w:r>
              <w:rPr>
                <w:rFonts w:ascii="Calibri" w:hAnsi="Calibri"/>
                <w:b w:val="0"/>
                <w:i w:val="0"/>
                <w:color w:val="444444"/>
                <w:sz w:val="19"/>
              </w:rPr>
              <w:t>Open-source API</w:t>
            </w:r>
          </w:p>
        </w:tc>
        <w:tc>
          <w:tcPr>
            <w:tcW w:type="dxa" w:w="3118"/>
            <w:shd w:val="clear" w:color="auto" w:fill="F0F4FF"/>
          </w:tcPr>
          <w:p>
            <w:pPr>
              <w:spacing w:before="50" w:after="50"/>
            </w:pPr>
            <w:r>
              <w:rPr>
                <w:rFonts w:ascii="Calibri" w:hAnsi="Calibri"/>
                <w:b w:val="0"/>
                <w:i w:val="0"/>
                <w:color w:val="444444"/>
                <w:sz w:val="19"/>
              </w:rPr>
              <w:t>Political violence, conflict events — Africa focus</w:t>
            </w:r>
          </w:p>
        </w:tc>
        <w:tc>
          <w:tcPr>
            <w:tcW w:type="dxa" w:w="1587"/>
            <w:shd w:val="clear" w:color="auto" w:fill="F0F4FF"/>
          </w:tcPr>
          <w:p>
            <w:pPr>
              <w:spacing w:before="50" w:after="50"/>
            </w:pPr>
            <w:r>
              <w:rPr>
                <w:rFonts w:ascii="Calibri" w:hAnsi="Calibri"/>
                <w:b w:val="0"/>
                <w:i w:val="0"/>
                <w:color w:val="444444"/>
                <w:sz w:val="19"/>
              </w:rPr>
              <w:t>Free</w:t>
            </w:r>
          </w:p>
        </w:tc>
        <w:tc>
          <w:tcPr>
            <w:tcW w:type="dxa" w:w="1417"/>
            <w:shd w:val="clear" w:color="auto" w:fill="F0F4FF"/>
          </w:tcPr>
          <w:p>
            <w:pPr>
              <w:spacing w:before="50" w:after="50"/>
            </w:pPr>
            <w:r>
              <w:rPr>
                <w:rFonts w:ascii="Calibri" w:hAnsi="Calibri"/>
                <w:b w:val="0"/>
                <w:i w:val="0"/>
                <w:color w:val="444444"/>
                <w:sz w:val="19"/>
              </w:rPr>
              <w:t>Immediate</w:t>
            </w:r>
          </w:p>
        </w:tc>
      </w:tr>
      <w:tr>
        <w:tc>
          <w:tcPr>
            <w:tcW w:type="dxa" w:w="1814"/>
            <w:shd w:val="clear" w:color="auto" w:fill="FFFFFF"/>
          </w:tcPr>
          <w:p>
            <w:pPr>
              <w:spacing w:before="50" w:after="50"/>
            </w:pPr>
            <w:r>
              <w:rPr>
                <w:rFonts w:ascii="Calibri" w:hAnsi="Calibri"/>
                <w:b/>
                <w:i w:val="0"/>
                <w:color w:val="444444"/>
                <w:sz w:val="19"/>
              </w:rPr>
              <w:t>GDELT Project</w:t>
            </w:r>
          </w:p>
        </w:tc>
        <w:tc>
          <w:tcPr>
            <w:tcW w:type="dxa" w:w="1701"/>
            <w:shd w:val="clear" w:color="auto" w:fill="FFFFFF"/>
          </w:tcPr>
          <w:p>
            <w:pPr>
              <w:spacing w:before="50" w:after="50"/>
            </w:pPr>
            <w:r>
              <w:rPr>
                <w:rFonts w:ascii="Calibri" w:hAnsi="Calibri"/>
                <w:b w:val="0"/>
                <w:i w:val="0"/>
                <w:color w:val="444444"/>
                <w:sz w:val="19"/>
              </w:rPr>
              <w:t>Open-source API</w:t>
            </w:r>
          </w:p>
        </w:tc>
        <w:tc>
          <w:tcPr>
            <w:tcW w:type="dxa" w:w="3118"/>
            <w:shd w:val="clear" w:color="auto" w:fill="FFFFFF"/>
          </w:tcPr>
          <w:p>
            <w:pPr>
              <w:spacing w:before="50" w:after="50"/>
            </w:pPr>
            <w:r>
              <w:rPr>
                <w:rFonts w:ascii="Calibri" w:hAnsi="Calibri"/>
                <w:b w:val="0"/>
                <w:i w:val="0"/>
                <w:color w:val="444444"/>
                <w:sz w:val="19"/>
              </w:rPr>
              <w:t>Global news events, 15-min refresh</w:t>
            </w:r>
          </w:p>
        </w:tc>
        <w:tc>
          <w:tcPr>
            <w:tcW w:type="dxa" w:w="1587"/>
            <w:shd w:val="clear" w:color="auto" w:fill="FFFFFF"/>
          </w:tcPr>
          <w:p>
            <w:pPr>
              <w:spacing w:before="50" w:after="50"/>
            </w:pPr>
            <w:r>
              <w:rPr>
                <w:rFonts w:ascii="Calibri" w:hAnsi="Calibri"/>
                <w:b w:val="0"/>
                <w:i w:val="0"/>
                <w:color w:val="444444"/>
                <w:sz w:val="19"/>
              </w:rPr>
              <w:t>Free</w:t>
            </w:r>
          </w:p>
        </w:tc>
        <w:tc>
          <w:tcPr>
            <w:tcW w:type="dxa" w:w="1417"/>
            <w:shd w:val="clear" w:color="auto" w:fill="FFFFFF"/>
          </w:tcPr>
          <w:p>
            <w:pPr>
              <w:spacing w:before="50" w:after="50"/>
            </w:pPr>
            <w:r>
              <w:rPr>
                <w:rFonts w:ascii="Calibri" w:hAnsi="Calibri"/>
                <w:b w:val="0"/>
                <w:i w:val="0"/>
                <w:color w:val="444444"/>
                <w:sz w:val="19"/>
              </w:rPr>
              <w:t>Immediate</w:t>
            </w:r>
          </w:p>
        </w:tc>
      </w:tr>
      <w:tr>
        <w:tc>
          <w:tcPr>
            <w:tcW w:type="dxa" w:w="1814"/>
            <w:shd w:val="clear" w:color="auto" w:fill="F0F4FF"/>
          </w:tcPr>
          <w:p>
            <w:pPr>
              <w:spacing w:before="50" w:after="50"/>
            </w:pPr>
            <w:r>
              <w:rPr>
                <w:rFonts w:ascii="Calibri" w:hAnsi="Calibri"/>
                <w:b/>
                <w:i w:val="0"/>
                <w:color w:val="444444"/>
                <w:sz w:val="19"/>
              </w:rPr>
              <w:t>NewsAPI / GNews</w:t>
            </w:r>
          </w:p>
        </w:tc>
        <w:tc>
          <w:tcPr>
            <w:tcW w:type="dxa" w:w="1701"/>
            <w:shd w:val="clear" w:color="auto" w:fill="F0F4FF"/>
          </w:tcPr>
          <w:p>
            <w:pPr>
              <w:spacing w:before="50" w:after="50"/>
            </w:pPr>
            <w:r>
              <w:rPr>
                <w:rFonts w:ascii="Calibri" w:hAnsi="Calibri"/>
                <w:b w:val="0"/>
                <w:i w:val="0"/>
                <w:color w:val="444444"/>
                <w:sz w:val="19"/>
              </w:rPr>
              <w:t>News aggregator API</w:t>
            </w:r>
          </w:p>
        </w:tc>
        <w:tc>
          <w:tcPr>
            <w:tcW w:type="dxa" w:w="3118"/>
            <w:shd w:val="clear" w:color="auto" w:fill="F0F4FF"/>
          </w:tcPr>
          <w:p>
            <w:pPr>
              <w:spacing w:before="50" w:after="50"/>
            </w:pPr>
            <w:r>
              <w:rPr>
                <w:rFonts w:ascii="Calibri" w:hAnsi="Calibri"/>
                <w:b w:val="0"/>
                <w:i w:val="0"/>
                <w:color w:val="444444"/>
                <w:sz w:val="19"/>
              </w:rPr>
              <w:t>Country-level news monitoring</w:t>
            </w:r>
          </w:p>
        </w:tc>
        <w:tc>
          <w:tcPr>
            <w:tcW w:type="dxa" w:w="1587"/>
            <w:shd w:val="clear" w:color="auto" w:fill="F0F4FF"/>
          </w:tcPr>
          <w:p>
            <w:pPr>
              <w:spacing w:before="50" w:after="50"/>
            </w:pPr>
            <w:r>
              <w:rPr>
                <w:rFonts w:ascii="Calibri" w:hAnsi="Calibri"/>
                <w:b w:val="0"/>
                <w:i w:val="0"/>
                <w:color w:val="444444"/>
                <w:sz w:val="19"/>
              </w:rPr>
              <w:t>Freemium</w:t>
            </w:r>
          </w:p>
        </w:tc>
        <w:tc>
          <w:tcPr>
            <w:tcW w:type="dxa" w:w="1417"/>
            <w:shd w:val="clear" w:color="auto" w:fill="F0F4FF"/>
          </w:tcPr>
          <w:p>
            <w:pPr>
              <w:spacing w:before="50" w:after="50"/>
            </w:pPr>
            <w:r>
              <w:rPr>
                <w:rFonts w:ascii="Calibri" w:hAnsi="Calibri"/>
                <w:b w:val="0"/>
                <w:i w:val="0"/>
                <w:color w:val="444444"/>
                <w:sz w:val="19"/>
              </w:rPr>
              <w:t>Phase 2A</w:t>
            </w:r>
          </w:p>
        </w:tc>
      </w:tr>
      <w:tr>
        <w:tc>
          <w:tcPr>
            <w:tcW w:type="dxa" w:w="1814"/>
            <w:shd w:val="clear" w:color="auto" w:fill="FFFFFF"/>
          </w:tcPr>
          <w:p>
            <w:pPr>
              <w:spacing w:before="50" w:after="50"/>
            </w:pPr>
            <w:r>
              <w:rPr>
                <w:rFonts w:ascii="Calibri" w:hAnsi="Calibri"/>
                <w:b/>
                <w:i w:val="0"/>
                <w:color w:val="444444"/>
                <w:sz w:val="19"/>
              </w:rPr>
              <w:t>Crisis24 (GardaWorld)</w:t>
            </w:r>
          </w:p>
        </w:tc>
        <w:tc>
          <w:tcPr>
            <w:tcW w:type="dxa" w:w="1701"/>
            <w:shd w:val="clear" w:color="auto" w:fill="FFFFFF"/>
          </w:tcPr>
          <w:p>
            <w:pPr>
              <w:spacing w:before="50" w:after="50"/>
            </w:pPr>
            <w:r>
              <w:rPr>
                <w:rFonts w:ascii="Calibri" w:hAnsi="Calibri"/>
                <w:b w:val="0"/>
                <w:i w:val="0"/>
                <w:color w:val="444444"/>
                <w:sz w:val="19"/>
              </w:rPr>
              <w:t>Commercial</w:t>
            </w:r>
          </w:p>
        </w:tc>
        <w:tc>
          <w:tcPr>
            <w:tcW w:type="dxa" w:w="3118"/>
            <w:shd w:val="clear" w:color="auto" w:fill="FFFFFF"/>
          </w:tcPr>
          <w:p>
            <w:pPr>
              <w:spacing w:before="50" w:after="50"/>
            </w:pPr>
            <w:r>
              <w:rPr>
                <w:rFonts w:ascii="Calibri" w:hAnsi="Calibri"/>
                <w:b w:val="0"/>
                <w:i w:val="0"/>
                <w:color w:val="444444"/>
                <w:sz w:val="19"/>
              </w:rPr>
              <w:t>Analyst-curated threat intel, pan-African</w:t>
            </w:r>
          </w:p>
        </w:tc>
        <w:tc>
          <w:tcPr>
            <w:tcW w:type="dxa" w:w="1587"/>
            <w:shd w:val="clear" w:color="auto" w:fill="FFFFFF"/>
          </w:tcPr>
          <w:p>
            <w:pPr>
              <w:spacing w:before="50" w:after="50"/>
            </w:pPr>
            <w:r>
              <w:rPr>
                <w:rFonts w:ascii="Calibri" w:hAnsi="Calibri"/>
                <w:b w:val="0"/>
                <w:i w:val="0"/>
                <w:color w:val="444444"/>
                <w:sz w:val="19"/>
              </w:rPr>
              <w:t>Subscription</w:t>
            </w:r>
          </w:p>
        </w:tc>
        <w:tc>
          <w:tcPr>
            <w:tcW w:type="dxa" w:w="1417"/>
            <w:shd w:val="clear" w:color="auto" w:fill="FFFFFF"/>
          </w:tcPr>
          <w:p>
            <w:pPr>
              <w:spacing w:before="50" w:after="50"/>
            </w:pPr>
            <w:r>
              <w:rPr>
                <w:rFonts w:ascii="Calibri" w:hAnsi="Calibri"/>
                <w:b w:val="0"/>
                <w:i w:val="0"/>
                <w:color w:val="444444"/>
                <w:sz w:val="19"/>
              </w:rPr>
              <w:t>Phase 2B</w:t>
            </w:r>
          </w:p>
        </w:tc>
      </w:tr>
      <w:tr>
        <w:tc>
          <w:tcPr>
            <w:tcW w:type="dxa" w:w="1814"/>
            <w:shd w:val="clear" w:color="auto" w:fill="F0F4FF"/>
          </w:tcPr>
          <w:p>
            <w:pPr>
              <w:spacing w:before="50" w:after="50"/>
            </w:pPr>
            <w:r>
              <w:rPr>
                <w:rFonts w:ascii="Calibri" w:hAnsi="Calibri"/>
                <w:b/>
                <w:i w:val="0"/>
                <w:color w:val="444444"/>
                <w:sz w:val="19"/>
              </w:rPr>
              <w:t>Healix International</w:t>
            </w:r>
          </w:p>
        </w:tc>
        <w:tc>
          <w:tcPr>
            <w:tcW w:type="dxa" w:w="1701"/>
            <w:shd w:val="clear" w:color="auto" w:fill="F0F4FF"/>
          </w:tcPr>
          <w:p>
            <w:pPr>
              <w:spacing w:before="50" w:after="50"/>
            </w:pPr>
            <w:r>
              <w:rPr>
                <w:rFonts w:ascii="Calibri" w:hAnsi="Calibri"/>
                <w:b w:val="0"/>
                <w:i w:val="0"/>
                <w:color w:val="444444"/>
                <w:sz w:val="19"/>
              </w:rPr>
              <w:t>Commercial</w:t>
            </w:r>
          </w:p>
        </w:tc>
        <w:tc>
          <w:tcPr>
            <w:tcW w:type="dxa" w:w="3118"/>
            <w:shd w:val="clear" w:color="auto" w:fill="F0F4FF"/>
          </w:tcPr>
          <w:p>
            <w:pPr>
              <w:spacing w:before="50" w:after="50"/>
            </w:pPr>
            <w:r>
              <w:rPr>
                <w:rFonts w:ascii="Calibri" w:hAnsi="Calibri"/>
                <w:b w:val="0"/>
                <w:i w:val="0"/>
                <w:color w:val="444444"/>
                <w:sz w:val="19"/>
              </w:rPr>
              <w:t>Medical + security intelligence, Africa ops</w:t>
            </w:r>
          </w:p>
        </w:tc>
        <w:tc>
          <w:tcPr>
            <w:tcW w:type="dxa" w:w="1587"/>
            <w:shd w:val="clear" w:color="auto" w:fill="F0F4FF"/>
          </w:tcPr>
          <w:p>
            <w:pPr>
              <w:spacing w:before="50" w:after="50"/>
            </w:pPr>
            <w:r>
              <w:rPr>
                <w:rFonts w:ascii="Calibri" w:hAnsi="Calibri"/>
                <w:b w:val="0"/>
                <w:i w:val="0"/>
                <w:color w:val="444444"/>
                <w:sz w:val="19"/>
              </w:rPr>
              <w:t>Subscription</w:t>
            </w:r>
          </w:p>
        </w:tc>
        <w:tc>
          <w:tcPr>
            <w:tcW w:type="dxa" w:w="1417"/>
            <w:shd w:val="clear" w:color="auto" w:fill="F0F4FF"/>
          </w:tcPr>
          <w:p>
            <w:pPr>
              <w:spacing w:before="50" w:after="50"/>
            </w:pPr>
            <w:r>
              <w:rPr>
                <w:rFonts w:ascii="Calibri" w:hAnsi="Calibri"/>
                <w:b w:val="0"/>
                <w:i w:val="0"/>
                <w:color w:val="444444"/>
                <w:sz w:val="19"/>
              </w:rPr>
              <w:t>Phase 2B</w:t>
            </w:r>
          </w:p>
        </w:tc>
      </w:tr>
      <w:tr>
        <w:tc>
          <w:tcPr>
            <w:tcW w:type="dxa" w:w="1814"/>
            <w:shd w:val="clear" w:color="auto" w:fill="FFFFFF"/>
          </w:tcPr>
          <w:p>
            <w:pPr>
              <w:spacing w:before="50" w:after="50"/>
            </w:pPr>
            <w:r>
              <w:rPr>
                <w:rFonts w:ascii="Calibri" w:hAnsi="Calibri"/>
                <w:b/>
                <w:i w:val="0"/>
                <w:color w:val="444444"/>
                <w:sz w:val="19"/>
              </w:rPr>
              <w:t>Control Risks RiskMap</w:t>
            </w:r>
          </w:p>
        </w:tc>
        <w:tc>
          <w:tcPr>
            <w:tcW w:type="dxa" w:w="1701"/>
            <w:shd w:val="clear" w:color="auto" w:fill="FFFFFF"/>
          </w:tcPr>
          <w:p>
            <w:pPr>
              <w:spacing w:before="50" w:after="50"/>
            </w:pPr>
            <w:r>
              <w:rPr>
                <w:rFonts w:ascii="Calibri" w:hAnsi="Calibri"/>
                <w:b w:val="0"/>
                <w:i w:val="0"/>
                <w:color w:val="444444"/>
                <w:sz w:val="19"/>
              </w:rPr>
              <w:t>Commercial</w:t>
            </w:r>
          </w:p>
        </w:tc>
        <w:tc>
          <w:tcPr>
            <w:tcW w:type="dxa" w:w="3118"/>
            <w:shd w:val="clear" w:color="auto" w:fill="FFFFFF"/>
          </w:tcPr>
          <w:p>
            <w:pPr>
              <w:spacing w:before="50" w:after="50"/>
            </w:pPr>
            <w:r>
              <w:rPr>
                <w:rFonts w:ascii="Calibri" w:hAnsi="Calibri"/>
                <w:b w:val="0"/>
                <w:i w:val="0"/>
                <w:color w:val="444444"/>
                <w:sz w:val="19"/>
              </w:rPr>
              <w:t>Country risk ratings, incident feeds</w:t>
            </w:r>
          </w:p>
        </w:tc>
        <w:tc>
          <w:tcPr>
            <w:tcW w:type="dxa" w:w="1587"/>
            <w:shd w:val="clear" w:color="auto" w:fill="FFFFFF"/>
          </w:tcPr>
          <w:p>
            <w:pPr>
              <w:spacing w:before="50" w:after="50"/>
            </w:pPr>
            <w:r>
              <w:rPr>
                <w:rFonts w:ascii="Calibri" w:hAnsi="Calibri"/>
                <w:b w:val="0"/>
                <w:i w:val="0"/>
                <w:color w:val="444444"/>
                <w:sz w:val="19"/>
              </w:rPr>
              <w:t>Subscription</w:t>
            </w:r>
          </w:p>
        </w:tc>
        <w:tc>
          <w:tcPr>
            <w:tcW w:type="dxa" w:w="1417"/>
            <w:shd w:val="clear" w:color="auto" w:fill="FFFFFF"/>
          </w:tcPr>
          <w:p>
            <w:pPr>
              <w:spacing w:before="50" w:after="50"/>
            </w:pPr>
            <w:r>
              <w:rPr>
                <w:rFonts w:ascii="Calibri" w:hAnsi="Calibri"/>
                <w:b w:val="0"/>
                <w:i w:val="0"/>
                <w:color w:val="444444"/>
                <w:sz w:val="19"/>
              </w:rPr>
              <w:t>Phase 2C</w:t>
            </w:r>
          </w:p>
        </w:tc>
      </w:tr>
      <w:tr>
        <w:tc>
          <w:tcPr>
            <w:tcW w:type="dxa" w:w="1814"/>
            <w:shd w:val="clear" w:color="auto" w:fill="F0F4FF"/>
          </w:tcPr>
          <w:p>
            <w:pPr>
              <w:spacing w:before="50" w:after="50"/>
            </w:pPr>
            <w:r>
              <w:rPr>
                <w:rFonts w:ascii="Calibri" w:hAnsi="Calibri"/>
                <w:b/>
                <w:i w:val="0"/>
                <w:color w:val="444444"/>
                <w:sz w:val="19"/>
              </w:rPr>
              <w:t>WHO / ReliefWeb</w:t>
            </w:r>
          </w:p>
        </w:tc>
        <w:tc>
          <w:tcPr>
            <w:tcW w:type="dxa" w:w="1701"/>
            <w:shd w:val="clear" w:color="auto" w:fill="F0F4FF"/>
          </w:tcPr>
          <w:p>
            <w:pPr>
              <w:spacing w:before="50" w:after="50"/>
            </w:pPr>
            <w:r>
              <w:rPr>
                <w:rFonts w:ascii="Calibri" w:hAnsi="Calibri"/>
                <w:b w:val="0"/>
                <w:i w:val="0"/>
                <w:color w:val="444444"/>
                <w:sz w:val="19"/>
              </w:rPr>
              <w:t>Open-source</w:t>
            </w:r>
          </w:p>
        </w:tc>
        <w:tc>
          <w:tcPr>
            <w:tcW w:type="dxa" w:w="3118"/>
            <w:shd w:val="clear" w:color="auto" w:fill="F0F4FF"/>
          </w:tcPr>
          <w:p>
            <w:pPr>
              <w:spacing w:before="50" w:after="50"/>
            </w:pPr>
            <w:r>
              <w:rPr>
                <w:rFonts w:ascii="Calibri" w:hAnsi="Calibri"/>
                <w:b w:val="0"/>
                <w:i w:val="0"/>
                <w:color w:val="444444"/>
                <w:sz w:val="19"/>
              </w:rPr>
              <w:t>Health alerts, disease outbreaks, humanitarian</w:t>
            </w:r>
          </w:p>
        </w:tc>
        <w:tc>
          <w:tcPr>
            <w:tcW w:type="dxa" w:w="1587"/>
            <w:shd w:val="clear" w:color="auto" w:fill="F0F4FF"/>
          </w:tcPr>
          <w:p>
            <w:pPr>
              <w:spacing w:before="50" w:after="50"/>
            </w:pPr>
            <w:r>
              <w:rPr>
                <w:rFonts w:ascii="Calibri" w:hAnsi="Calibri"/>
                <w:b w:val="0"/>
                <w:i w:val="0"/>
                <w:color w:val="444444"/>
                <w:sz w:val="19"/>
              </w:rPr>
              <w:t>Free</w:t>
            </w:r>
          </w:p>
        </w:tc>
        <w:tc>
          <w:tcPr>
            <w:tcW w:type="dxa" w:w="1417"/>
            <w:shd w:val="clear" w:color="auto" w:fill="F0F4FF"/>
          </w:tcPr>
          <w:p>
            <w:pPr>
              <w:spacing w:before="50" w:after="50"/>
            </w:pPr>
            <w:r>
              <w:rPr>
                <w:rFonts w:ascii="Calibri" w:hAnsi="Calibri"/>
                <w:b w:val="0"/>
                <w:i w:val="0"/>
                <w:color w:val="444444"/>
                <w:sz w:val="19"/>
              </w:rPr>
              <w:t>Phase 2A</w:t>
            </w:r>
          </w:p>
        </w:tc>
      </w:tr>
      <w:tr>
        <w:tc>
          <w:tcPr>
            <w:tcW w:type="dxa" w:w="1814"/>
            <w:shd w:val="clear" w:color="auto" w:fill="FFFFFF"/>
          </w:tcPr>
          <w:p>
            <w:pPr>
              <w:spacing w:before="50" w:after="50"/>
            </w:pPr>
            <w:r>
              <w:rPr>
                <w:rFonts w:ascii="Calibri" w:hAnsi="Calibri"/>
                <w:b/>
                <w:i w:val="0"/>
                <w:color w:val="444444"/>
                <w:sz w:val="19"/>
              </w:rPr>
              <w:t>NOTAM (aviation)</w:t>
            </w:r>
          </w:p>
        </w:tc>
        <w:tc>
          <w:tcPr>
            <w:tcW w:type="dxa" w:w="1701"/>
            <w:shd w:val="clear" w:color="auto" w:fill="FFFFFF"/>
          </w:tcPr>
          <w:p>
            <w:pPr>
              <w:spacing w:before="50" w:after="50"/>
            </w:pPr>
            <w:r>
              <w:rPr>
                <w:rFonts w:ascii="Calibri" w:hAnsi="Calibri"/>
                <w:b w:val="0"/>
                <w:i w:val="0"/>
                <w:color w:val="444444"/>
                <w:sz w:val="19"/>
              </w:rPr>
              <w:t>Open-source API</w:t>
            </w:r>
          </w:p>
        </w:tc>
        <w:tc>
          <w:tcPr>
            <w:tcW w:type="dxa" w:w="3118"/>
            <w:shd w:val="clear" w:color="auto" w:fill="FFFFFF"/>
          </w:tcPr>
          <w:p>
            <w:pPr>
              <w:spacing w:before="50" w:after="50"/>
            </w:pPr>
            <w:r>
              <w:rPr>
                <w:rFonts w:ascii="Calibri" w:hAnsi="Calibri"/>
                <w:b w:val="0"/>
                <w:i w:val="0"/>
                <w:color w:val="444444"/>
                <w:sz w:val="19"/>
              </w:rPr>
              <w:t>Airspace notices, airport disruptions</w:t>
            </w:r>
          </w:p>
        </w:tc>
        <w:tc>
          <w:tcPr>
            <w:tcW w:type="dxa" w:w="1587"/>
            <w:shd w:val="clear" w:color="auto" w:fill="FFFFFF"/>
          </w:tcPr>
          <w:p>
            <w:pPr>
              <w:spacing w:before="50" w:after="50"/>
            </w:pPr>
            <w:r>
              <w:rPr>
                <w:rFonts w:ascii="Calibri" w:hAnsi="Calibri"/>
                <w:b w:val="0"/>
                <w:i w:val="0"/>
                <w:color w:val="444444"/>
                <w:sz w:val="19"/>
              </w:rPr>
              <w:t>Free</w:t>
            </w:r>
          </w:p>
        </w:tc>
        <w:tc>
          <w:tcPr>
            <w:tcW w:type="dxa" w:w="1417"/>
            <w:shd w:val="clear" w:color="auto" w:fill="FFFFFF"/>
          </w:tcPr>
          <w:p>
            <w:pPr>
              <w:spacing w:before="50" w:after="50"/>
            </w:pPr>
            <w:r>
              <w:rPr>
                <w:rFonts w:ascii="Calibri" w:hAnsi="Calibri"/>
                <w:b w:val="0"/>
                <w:i w:val="0"/>
                <w:color w:val="444444"/>
                <w:sz w:val="19"/>
              </w:rPr>
              <w:t>Phase 2A</w:t>
            </w:r>
          </w:p>
        </w:tc>
      </w:tr>
    </w:tbl>
    <w:p/>
    <w:p>
      <w:pPr>
        <w:spacing w:before="200" w:after="80"/>
      </w:pPr>
      <w:r>
        <w:rPr>
          <w:rFonts w:ascii="Calibri" w:hAnsi="Calibri"/>
          <w:b/>
          <w:i w:val="0"/>
          <w:color w:val="2563EB"/>
          <w:sz w:val="28"/>
          <w:u w:val="none"/>
        </w:rPr>
        <w:t>1.2  Integration Architecture</w:t>
      </w:r>
    </w:p>
    <w:p>
      <w:pPr>
        <w:spacing w:before="60" w:after="80"/>
      </w:pPr>
      <w:r>
        <w:rPr>
          <w:rFonts w:ascii="Calibri" w:hAnsi="Calibri"/>
          <w:b w:val="0"/>
          <w:i w:val="0"/>
          <w:color w:val="444444"/>
          <w:sz w:val="21"/>
        </w:rPr>
        <w:t>Intelligence feeds should be ingested, normalised, and scored through a serverless pipeline before any alert reaches the platform. This prevents raw, unverified data from surfacing to travellers or administrators.</w:t>
      </w:r>
    </w:p>
    <w:p>
      <w:pPr>
        <w:spacing w:before="60" w:after="80"/>
      </w:pPr>
      <w:r>
        <w:rPr>
          <w:rFonts w:ascii="Calibri" w:hAnsi="Calibri"/>
          <w:b w:val="0"/>
          <w:i w:val="0"/>
          <w:color w:val="444444"/>
          <w:sz w:val="21"/>
        </w:rPr>
        <w:t>Recommended pipeline:</w:t>
      </w:r>
    </w:p>
    <w:p>
      <w:pPr>
        <w:pStyle w:val="ListBullet"/>
        <w:spacing w:before="20" w:after="20"/>
      </w:pPr>
      <w:r>
        <w:rPr>
          <w:rFonts w:ascii="Calibri" w:hAnsi="Calibri"/>
          <w:b w:val="0"/>
          <w:i w:val="0"/>
          <w:color w:val="444444"/>
          <w:sz w:val="21"/>
        </w:rPr>
        <w:t>Feed Collector (AWS Lambda) — polls or receives webhooks from each source on a configurable schedule (e.g. ACLED every 6 hours, GDELT every 15 minutes).</w:t>
      </w:r>
    </w:p>
    <w:p>
      <w:pPr>
        <w:pStyle w:val="ListBullet"/>
        <w:spacing w:before="20" w:after="20"/>
      </w:pPr>
      <w:r>
        <w:rPr>
          <w:rFonts w:ascii="Calibri" w:hAnsi="Calibri"/>
          <w:b w:val="0"/>
          <w:i w:val="0"/>
          <w:color w:val="444444"/>
          <w:sz w:val="21"/>
        </w:rPr>
        <w:t>Normaliser — maps each source's data model to a unified SafeGuard360 alert schema (title, severity, country, affected_cities, date_issued, source, confidence_score).</w:t>
      </w:r>
    </w:p>
    <w:p>
      <w:pPr>
        <w:pStyle w:val="ListBullet"/>
        <w:spacing w:before="20" w:after="20"/>
      </w:pPr>
      <w:r>
        <w:rPr>
          <w:rFonts w:ascii="Calibri" w:hAnsi="Calibri"/>
          <w:b w:val="0"/>
          <w:i w:val="0"/>
          <w:color w:val="444444"/>
          <w:sz w:val="21"/>
        </w:rPr>
        <w:t>Geo-Matcher (AWS Lambda) — cross-references incoming alert locations against active itineraries in the database. Only alerts that intersect a live traveller's dates and cities are promoted.</w:t>
      </w:r>
    </w:p>
    <w:p>
      <w:pPr>
        <w:pStyle w:val="ListBullet"/>
        <w:spacing w:before="20" w:after="20"/>
      </w:pPr>
      <w:r>
        <w:rPr>
          <w:rFonts w:ascii="Calibri" w:hAnsi="Calibri"/>
          <w:b w:val="0"/>
          <w:i w:val="0"/>
          <w:color w:val="444444"/>
          <w:sz w:val="21"/>
        </w:rPr>
        <w:t>Severity Scorer — assigns a severity level (Critical / High / Medium / Low) using a rules engine. Rules can be manually tuned by the administrator.</w:t>
      </w:r>
    </w:p>
    <w:p>
      <w:pPr>
        <w:pStyle w:val="ListBullet"/>
        <w:spacing w:before="20" w:after="20"/>
      </w:pPr>
      <w:r>
        <w:rPr>
          <w:rFonts w:ascii="Calibri" w:hAnsi="Calibri"/>
          <w:b w:val="0"/>
          <w:i w:val="0"/>
          <w:color w:val="444444"/>
          <w:sz w:val="21"/>
        </w:rPr>
        <w:t>Deduplicator — prevents the same event from generating multiple alerts if it appears in several feeds simultaneously. Uses a hash of (country + event_type + date) as a dedup key.</w:t>
      </w:r>
    </w:p>
    <w:p>
      <w:pPr>
        <w:pStyle w:val="ListBullet"/>
        <w:spacing w:before="20" w:after="20"/>
      </w:pPr>
      <w:r>
        <w:rPr>
          <w:rFonts w:ascii="Calibri" w:hAnsi="Calibri"/>
          <w:b w:val="0"/>
          <w:i w:val="0"/>
          <w:color w:val="444444"/>
          <w:sz w:val="21"/>
        </w:rPr>
        <w:t>Alert Writer — inserts approved alerts into the SafeGuard360 alerts table (Supabase or AWS RDS) and triggers the notification layer.</w:t>
      </w:r>
    </w:p>
    <w:p/>
    <w:p>
      <w:pPr>
        <w:spacing w:before="200" w:after="80"/>
      </w:pPr>
      <w:r>
        <w:rPr>
          <w:rFonts w:ascii="Calibri" w:hAnsi="Calibri"/>
          <w:b/>
          <w:i w:val="0"/>
          <w:color w:val="2563EB"/>
          <w:sz w:val="28"/>
          <w:u w:val="none"/>
        </w:rPr>
        <w:t>1.3  Country-Specific Alert Rules (Africa)</w:t>
      </w:r>
    </w:p>
    <w:p>
      <w:pPr>
        <w:spacing w:before="60" w:after="80"/>
      </w:pPr>
      <w:r>
        <w:rPr>
          <w:rFonts w:ascii="Calibri" w:hAnsi="Calibri"/>
          <w:b w:val="0"/>
          <w:i w:val="0"/>
          <w:color w:val="444444"/>
          <w:sz w:val="21"/>
        </w:rPr>
        <w:t>Given SafeGuard360's focus on pan-African operations, pre-configured monitoring rules should be established for the following markets from Day 1:</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701"/>
            <w:shd w:val="clear" w:color="auto" w:fill="1B3A6B"/>
          </w:tcPr>
          <w:p>
            <w:pPr>
              <w:jc w:val="left"/>
              <w:spacing w:before="60" w:after="60"/>
            </w:pPr>
            <w:r>
              <w:rPr>
                <w:rFonts w:ascii="Calibri" w:hAnsi="Calibri"/>
                <w:b/>
                <w:i w:val="0"/>
                <w:color w:val="FFFFFF"/>
                <w:sz w:val="19"/>
              </w:rPr>
              <w:t>Country</w:t>
            </w:r>
          </w:p>
        </w:tc>
        <w:tc>
          <w:tcPr>
            <w:tcW w:type="dxa" w:w="3118"/>
            <w:shd w:val="clear" w:color="auto" w:fill="1B3A6B"/>
          </w:tcPr>
          <w:p>
            <w:pPr>
              <w:jc w:val="left"/>
              <w:spacing w:before="60" w:after="60"/>
            </w:pPr>
            <w:r>
              <w:rPr>
                <w:rFonts w:ascii="Calibri" w:hAnsi="Calibri"/>
                <w:b/>
                <w:i w:val="0"/>
                <w:color w:val="FFFFFF"/>
                <w:sz w:val="19"/>
              </w:rPr>
              <w:t>Primary Risk Categories</w:t>
            </w:r>
          </w:p>
        </w:tc>
        <w:tc>
          <w:tcPr>
            <w:tcW w:type="dxa" w:w="1984"/>
            <w:shd w:val="clear" w:color="auto" w:fill="1B3A6B"/>
          </w:tcPr>
          <w:p>
            <w:pPr>
              <w:jc w:val="left"/>
              <w:spacing w:before="60" w:after="60"/>
            </w:pPr>
            <w:r>
              <w:rPr>
                <w:rFonts w:ascii="Calibri" w:hAnsi="Calibri"/>
                <w:b/>
                <w:i w:val="0"/>
                <w:color w:val="FFFFFF"/>
                <w:sz w:val="19"/>
              </w:rPr>
              <w:t>Recommended Feed</w:t>
            </w:r>
          </w:p>
        </w:tc>
        <w:tc>
          <w:tcPr>
            <w:tcW w:type="dxa" w:w="1701"/>
            <w:shd w:val="clear" w:color="auto" w:fill="1B3A6B"/>
          </w:tcPr>
          <w:p>
            <w:pPr>
              <w:jc w:val="left"/>
              <w:spacing w:before="60" w:after="60"/>
            </w:pPr>
            <w:r>
              <w:rPr>
                <w:rFonts w:ascii="Calibri" w:hAnsi="Calibri"/>
                <w:b/>
                <w:i w:val="0"/>
                <w:color w:val="FFFFFF"/>
                <w:sz w:val="19"/>
              </w:rPr>
              <w:t>Alert Threshold</w:t>
            </w:r>
          </w:p>
        </w:tc>
      </w:tr>
      <w:tr>
        <w:tc>
          <w:tcPr>
            <w:tcW w:type="dxa" w:w="1701"/>
            <w:shd w:val="clear" w:color="auto" w:fill="F0F4FF"/>
          </w:tcPr>
          <w:p>
            <w:pPr>
              <w:spacing w:before="50" w:after="50"/>
            </w:pPr>
            <w:r>
              <w:rPr>
                <w:rFonts w:ascii="Calibri" w:hAnsi="Calibri"/>
                <w:b/>
                <w:i w:val="0"/>
                <w:color w:val="444444"/>
                <w:sz w:val="19"/>
              </w:rPr>
              <w:t>Nigeria</w:t>
            </w:r>
          </w:p>
        </w:tc>
        <w:tc>
          <w:tcPr>
            <w:tcW w:type="dxa" w:w="3118"/>
            <w:shd w:val="clear" w:color="auto" w:fill="F0F4FF"/>
          </w:tcPr>
          <w:p>
            <w:pPr>
              <w:spacing w:before="50" w:after="50"/>
            </w:pPr>
            <w:r>
              <w:rPr>
                <w:rFonts w:ascii="Calibri" w:hAnsi="Calibri"/>
                <w:b w:val="0"/>
                <w:i w:val="0"/>
                <w:color w:val="444444"/>
                <w:sz w:val="19"/>
              </w:rPr>
              <w:t>Civil unrest, kidnap, political instability</w:t>
            </w:r>
          </w:p>
        </w:tc>
        <w:tc>
          <w:tcPr>
            <w:tcW w:type="dxa" w:w="1984"/>
            <w:shd w:val="clear" w:color="auto" w:fill="F0F4FF"/>
          </w:tcPr>
          <w:p>
            <w:pPr>
              <w:spacing w:before="50" w:after="50"/>
            </w:pPr>
            <w:r>
              <w:rPr>
                <w:rFonts w:ascii="Calibri" w:hAnsi="Calibri"/>
                <w:b w:val="0"/>
                <w:i w:val="0"/>
                <w:color w:val="444444"/>
                <w:sz w:val="19"/>
              </w:rPr>
              <w:t>ACLED + Crisis24</w:t>
            </w:r>
          </w:p>
        </w:tc>
        <w:tc>
          <w:tcPr>
            <w:tcW w:type="dxa" w:w="1701"/>
            <w:shd w:val="clear" w:color="auto" w:fill="F0F4FF"/>
          </w:tcPr>
          <w:p>
            <w:pPr>
              <w:spacing w:before="50" w:after="50"/>
            </w:pPr>
            <w:r>
              <w:rPr>
                <w:rFonts w:ascii="Calibri" w:hAnsi="Calibri"/>
                <w:b w:val="0"/>
                <w:i w:val="0"/>
                <w:color w:val="444444"/>
                <w:sz w:val="19"/>
              </w:rPr>
              <w:t>High</w:t>
            </w:r>
          </w:p>
        </w:tc>
      </w:tr>
      <w:tr>
        <w:tc>
          <w:tcPr>
            <w:tcW w:type="dxa" w:w="1701"/>
            <w:shd w:val="clear" w:color="auto" w:fill="FFFFFF"/>
          </w:tcPr>
          <w:p>
            <w:pPr>
              <w:spacing w:before="50" w:after="50"/>
            </w:pPr>
            <w:r>
              <w:rPr>
                <w:rFonts w:ascii="Calibri" w:hAnsi="Calibri"/>
                <w:b/>
                <w:i w:val="0"/>
                <w:color w:val="444444"/>
                <w:sz w:val="19"/>
              </w:rPr>
              <w:t>DRC</w:t>
            </w:r>
          </w:p>
        </w:tc>
        <w:tc>
          <w:tcPr>
            <w:tcW w:type="dxa" w:w="3118"/>
            <w:shd w:val="clear" w:color="auto" w:fill="FFFFFF"/>
          </w:tcPr>
          <w:p>
            <w:pPr>
              <w:spacing w:before="50" w:after="50"/>
            </w:pPr>
            <w:r>
              <w:rPr>
                <w:rFonts w:ascii="Calibri" w:hAnsi="Calibri"/>
                <w:b w:val="0"/>
                <w:i w:val="0"/>
                <w:color w:val="444444"/>
                <w:sz w:val="19"/>
              </w:rPr>
              <w:t>Armed conflict, health (Mpox/Ebola), infrastructure</w:t>
            </w:r>
          </w:p>
        </w:tc>
        <w:tc>
          <w:tcPr>
            <w:tcW w:type="dxa" w:w="1984"/>
            <w:shd w:val="clear" w:color="auto" w:fill="FFFFFF"/>
          </w:tcPr>
          <w:p>
            <w:pPr>
              <w:spacing w:before="50" w:after="50"/>
            </w:pPr>
            <w:r>
              <w:rPr>
                <w:rFonts w:ascii="Calibri" w:hAnsi="Calibri"/>
                <w:b w:val="0"/>
                <w:i w:val="0"/>
                <w:color w:val="444444"/>
                <w:sz w:val="19"/>
              </w:rPr>
              <w:t>ACLED + WHO</w:t>
            </w:r>
          </w:p>
        </w:tc>
        <w:tc>
          <w:tcPr>
            <w:tcW w:type="dxa" w:w="1701"/>
            <w:shd w:val="clear" w:color="auto" w:fill="FFFFFF"/>
          </w:tcPr>
          <w:p>
            <w:pPr>
              <w:spacing w:before="50" w:after="50"/>
            </w:pPr>
            <w:r>
              <w:rPr>
                <w:rFonts w:ascii="Calibri" w:hAnsi="Calibri"/>
                <w:b w:val="0"/>
                <w:i w:val="0"/>
                <w:color w:val="444444"/>
                <w:sz w:val="19"/>
              </w:rPr>
              <w:t>Critical</w:t>
            </w:r>
          </w:p>
        </w:tc>
      </w:tr>
      <w:tr>
        <w:tc>
          <w:tcPr>
            <w:tcW w:type="dxa" w:w="1701"/>
            <w:shd w:val="clear" w:color="auto" w:fill="F0F4FF"/>
          </w:tcPr>
          <w:p>
            <w:pPr>
              <w:spacing w:before="50" w:after="50"/>
            </w:pPr>
            <w:r>
              <w:rPr>
                <w:rFonts w:ascii="Calibri" w:hAnsi="Calibri"/>
                <w:b/>
                <w:i w:val="0"/>
                <w:color w:val="444444"/>
                <w:sz w:val="19"/>
              </w:rPr>
              <w:t>Kenya</w:t>
            </w:r>
          </w:p>
        </w:tc>
        <w:tc>
          <w:tcPr>
            <w:tcW w:type="dxa" w:w="3118"/>
            <w:shd w:val="clear" w:color="auto" w:fill="F0F4FF"/>
          </w:tcPr>
          <w:p>
            <w:pPr>
              <w:spacing w:before="50" w:after="50"/>
            </w:pPr>
            <w:r>
              <w:rPr>
                <w:rFonts w:ascii="Calibri" w:hAnsi="Calibri"/>
                <w:b w:val="0"/>
                <w:i w:val="0"/>
                <w:color w:val="444444"/>
                <w:sz w:val="19"/>
              </w:rPr>
              <w:t>Political violence, flooding, infrastructure</w:t>
            </w:r>
          </w:p>
        </w:tc>
        <w:tc>
          <w:tcPr>
            <w:tcW w:type="dxa" w:w="1984"/>
            <w:shd w:val="clear" w:color="auto" w:fill="F0F4FF"/>
          </w:tcPr>
          <w:p>
            <w:pPr>
              <w:spacing w:before="50" w:after="50"/>
            </w:pPr>
            <w:r>
              <w:rPr>
                <w:rFonts w:ascii="Calibri" w:hAnsi="Calibri"/>
                <w:b w:val="0"/>
                <w:i w:val="0"/>
                <w:color w:val="444444"/>
                <w:sz w:val="19"/>
              </w:rPr>
              <w:t>ACLED + GDELT</w:t>
            </w:r>
          </w:p>
        </w:tc>
        <w:tc>
          <w:tcPr>
            <w:tcW w:type="dxa" w:w="1701"/>
            <w:shd w:val="clear" w:color="auto" w:fill="F0F4FF"/>
          </w:tcPr>
          <w:p>
            <w:pPr>
              <w:spacing w:before="50" w:after="50"/>
            </w:pPr>
            <w:r>
              <w:rPr>
                <w:rFonts w:ascii="Calibri" w:hAnsi="Calibri"/>
                <w:b w:val="0"/>
                <w:i w:val="0"/>
                <w:color w:val="444444"/>
                <w:sz w:val="19"/>
              </w:rPr>
              <w:t>High</w:t>
            </w:r>
          </w:p>
        </w:tc>
      </w:tr>
      <w:tr>
        <w:tc>
          <w:tcPr>
            <w:tcW w:type="dxa" w:w="1701"/>
            <w:shd w:val="clear" w:color="auto" w:fill="FFFFFF"/>
          </w:tcPr>
          <w:p>
            <w:pPr>
              <w:spacing w:before="50" w:after="50"/>
            </w:pPr>
            <w:r>
              <w:rPr>
                <w:rFonts w:ascii="Calibri" w:hAnsi="Calibri"/>
                <w:b/>
                <w:i w:val="0"/>
                <w:color w:val="444444"/>
                <w:sz w:val="19"/>
              </w:rPr>
              <w:t>Ethiopia</w:t>
            </w:r>
          </w:p>
        </w:tc>
        <w:tc>
          <w:tcPr>
            <w:tcW w:type="dxa" w:w="3118"/>
            <w:shd w:val="clear" w:color="auto" w:fill="FFFFFF"/>
          </w:tcPr>
          <w:p>
            <w:pPr>
              <w:spacing w:before="50" w:after="50"/>
            </w:pPr>
            <w:r>
              <w:rPr>
                <w:rFonts w:ascii="Calibri" w:hAnsi="Calibri"/>
                <w:b w:val="0"/>
                <w:i w:val="0"/>
                <w:color w:val="444444"/>
                <w:sz w:val="19"/>
              </w:rPr>
              <w:t>Civil conflict, regional instability</w:t>
            </w:r>
          </w:p>
        </w:tc>
        <w:tc>
          <w:tcPr>
            <w:tcW w:type="dxa" w:w="1984"/>
            <w:shd w:val="clear" w:color="auto" w:fill="FFFFFF"/>
          </w:tcPr>
          <w:p>
            <w:pPr>
              <w:spacing w:before="50" w:after="50"/>
            </w:pPr>
            <w:r>
              <w:rPr>
                <w:rFonts w:ascii="Calibri" w:hAnsi="Calibri"/>
                <w:b w:val="0"/>
                <w:i w:val="0"/>
                <w:color w:val="444444"/>
                <w:sz w:val="19"/>
              </w:rPr>
              <w:t>ACLED + GDELT</w:t>
            </w:r>
          </w:p>
        </w:tc>
        <w:tc>
          <w:tcPr>
            <w:tcW w:type="dxa" w:w="1701"/>
            <w:shd w:val="clear" w:color="auto" w:fill="FFFFFF"/>
          </w:tcPr>
          <w:p>
            <w:pPr>
              <w:spacing w:before="50" w:after="50"/>
            </w:pPr>
            <w:r>
              <w:rPr>
                <w:rFonts w:ascii="Calibri" w:hAnsi="Calibri"/>
                <w:b w:val="0"/>
                <w:i w:val="0"/>
                <w:color w:val="444444"/>
                <w:sz w:val="19"/>
              </w:rPr>
              <w:t>Critical</w:t>
            </w:r>
          </w:p>
        </w:tc>
      </w:tr>
      <w:tr>
        <w:tc>
          <w:tcPr>
            <w:tcW w:type="dxa" w:w="1701"/>
            <w:shd w:val="clear" w:color="auto" w:fill="F0F4FF"/>
          </w:tcPr>
          <w:p>
            <w:pPr>
              <w:spacing w:before="50" w:after="50"/>
            </w:pPr>
            <w:r>
              <w:rPr>
                <w:rFonts w:ascii="Calibri" w:hAnsi="Calibri"/>
                <w:b/>
                <w:i w:val="0"/>
                <w:color w:val="444444"/>
                <w:sz w:val="19"/>
              </w:rPr>
              <w:t>Mozambique</w:t>
            </w:r>
          </w:p>
        </w:tc>
        <w:tc>
          <w:tcPr>
            <w:tcW w:type="dxa" w:w="3118"/>
            <w:shd w:val="clear" w:color="auto" w:fill="F0F4FF"/>
          </w:tcPr>
          <w:p>
            <w:pPr>
              <w:spacing w:before="50" w:after="50"/>
            </w:pPr>
            <w:r>
              <w:rPr>
                <w:rFonts w:ascii="Calibri" w:hAnsi="Calibri"/>
                <w:b w:val="0"/>
                <w:i w:val="0"/>
                <w:color w:val="444444"/>
                <w:sz w:val="19"/>
              </w:rPr>
              <w:t>Insurgency (Cabo Delgado), cyclone risk</w:t>
            </w:r>
          </w:p>
        </w:tc>
        <w:tc>
          <w:tcPr>
            <w:tcW w:type="dxa" w:w="1984"/>
            <w:shd w:val="clear" w:color="auto" w:fill="F0F4FF"/>
          </w:tcPr>
          <w:p>
            <w:pPr>
              <w:spacing w:before="50" w:after="50"/>
            </w:pPr>
            <w:r>
              <w:rPr>
                <w:rFonts w:ascii="Calibri" w:hAnsi="Calibri"/>
                <w:b w:val="0"/>
                <w:i w:val="0"/>
                <w:color w:val="444444"/>
                <w:sz w:val="19"/>
              </w:rPr>
              <w:t>ACLED + NOTAM</w:t>
            </w:r>
          </w:p>
        </w:tc>
        <w:tc>
          <w:tcPr>
            <w:tcW w:type="dxa" w:w="1701"/>
            <w:shd w:val="clear" w:color="auto" w:fill="F0F4FF"/>
          </w:tcPr>
          <w:p>
            <w:pPr>
              <w:spacing w:before="50" w:after="50"/>
            </w:pPr>
            <w:r>
              <w:rPr>
                <w:rFonts w:ascii="Calibri" w:hAnsi="Calibri"/>
                <w:b w:val="0"/>
                <w:i w:val="0"/>
                <w:color w:val="444444"/>
                <w:sz w:val="19"/>
              </w:rPr>
              <w:t>High</w:t>
            </w:r>
          </w:p>
        </w:tc>
      </w:tr>
      <w:tr>
        <w:tc>
          <w:tcPr>
            <w:tcW w:type="dxa" w:w="1701"/>
            <w:shd w:val="clear" w:color="auto" w:fill="FFFFFF"/>
          </w:tcPr>
          <w:p>
            <w:pPr>
              <w:spacing w:before="50" w:after="50"/>
            </w:pPr>
            <w:r>
              <w:rPr>
                <w:rFonts w:ascii="Calibri" w:hAnsi="Calibri"/>
                <w:b/>
                <w:i w:val="0"/>
                <w:color w:val="444444"/>
                <w:sz w:val="19"/>
              </w:rPr>
              <w:t>Zimbabwe</w:t>
            </w:r>
          </w:p>
        </w:tc>
        <w:tc>
          <w:tcPr>
            <w:tcW w:type="dxa" w:w="3118"/>
            <w:shd w:val="clear" w:color="auto" w:fill="FFFFFF"/>
          </w:tcPr>
          <w:p>
            <w:pPr>
              <w:spacing w:before="50" w:after="50"/>
            </w:pPr>
            <w:r>
              <w:rPr>
                <w:rFonts w:ascii="Calibri" w:hAnsi="Calibri"/>
                <w:b w:val="0"/>
                <w:i w:val="0"/>
                <w:color w:val="444444"/>
                <w:sz w:val="19"/>
              </w:rPr>
              <w:t>Economic instability, healthcare access</w:t>
            </w:r>
          </w:p>
        </w:tc>
        <w:tc>
          <w:tcPr>
            <w:tcW w:type="dxa" w:w="1984"/>
            <w:shd w:val="clear" w:color="auto" w:fill="FFFFFF"/>
          </w:tcPr>
          <w:p>
            <w:pPr>
              <w:spacing w:before="50" w:after="50"/>
            </w:pPr>
            <w:r>
              <w:rPr>
                <w:rFonts w:ascii="Calibri" w:hAnsi="Calibri"/>
                <w:b w:val="0"/>
                <w:i w:val="0"/>
                <w:color w:val="444444"/>
                <w:sz w:val="19"/>
              </w:rPr>
              <w:t>GDELT + WHO</w:t>
            </w:r>
          </w:p>
        </w:tc>
        <w:tc>
          <w:tcPr>
            <w:tcW w:type="dxa" w:w="1701"/>
            <w:shd w:val="clear" w:color="auto" w:fill="FFFFFF"/>
          </w:tcPr>
          <w:p>
            <w:pPr>
              <w:spacing w:before="50" w:after="50"/>
            </w:pPr>
            <w:r>
              <w:rPr>
                <w:rFonts w:ascii="Calibri" w:hAnsi="Calibri"/>
                <w:b w:val="0"/>
                <w:i w:val="0"/>
                <w:color w:val="444444"/>
                <w:sz w:val="19"/>
              </w:rPr>
              <w:t>Medium</w:t>
            </w:r>
          </w:p>
        </w:tc>
      </w:tr>
      <w:tr>
        <w:tc>
          <w:tcPr>
            <w:tcW w:type="dxa" w:w="1701"/>
            <w:shd w:val="clear" w:color="auto" w:fill="F0F4FF"/>
          </w:tcPr>
          <w:p>
            <w:pPr>
              <w:spacing w:before="50" w:after="50"/>
            </w:pPr>
            <w:r>
              <w:rPr>
                <w:rFonts w:ascii="Calibri" w:hAnsi="Calibri"/>
                <w:b/>
                <w:i w:val="0"/>
                <w:color w:val="444444"/>
                <w:sz w:val="19"/>
              </w:rPr>
              <w:t>South Africa</w:t>
            </w:r>
          </w:p>
        </w:tc>
        <w:tc>
          <w:tcPr>
            <w:tcW w:type="dxa" w:w="3118"/>
            <w:shd w:val="clear" w:color="auto" w:fill="F0F4FF"/>
          </w:tcPr>
          <w:p>
            <w:pPr>
              <w:spacing w:before="50" w:after="50"/>
            </w:pPr>
            <w:r>
              <w:rPr>
                <w:rFonts w:ascii="Calibri" w:hAnsi="Calibri"/>
                <w:b w:val="0"/>
                <w:i w:val="0"/>
                <w:color w:val="444444"/>
                <w:sz w:val="19"/>
              </w:rPr>
              <w:t>Civil unrest, crime, load-shedding</w:t>
            </w:r>
          </w:p>
        </w:tc>
        <w:tc>
          <w:tcPr>
            <w:tcW w:type="dxa" w:w="1984"/>
            <w:shd w:val="clear" w:color="auto" w:fill="F0F4FF"/>
          </w:tcPr>
          <w:p>
            <w:pPr>
              <w:spacing w:before="50" w:after="50"/>
            </w:pPr>
            <w:r>
              <w:rPr>
                <w:rFonts w:ascii="Calibri" w:hAnsi="Calibri"/>
                <w:b w:val="0"/>
                <w:i w:val="0"/>
                <w:color w:val="444444"/>
                <w:sz w:val="19"/>
              </w:rPr>
              <w:t>GDELT + NewsAPI</w:t>
            </w:r>
          </w:p>
        </w:tc>
        <w:tc>
          <w:tcPr>
            <w:tcW w:type="dxa" w:w="1701"/>
            <w:shd w:val="clear" w:color="auto" w:fill="F0F4FF"/>
          </w:tcPr>
          <w:p>
            <w:pPr>
              <w:spacing w:before="50" w:after="50"/>
            </w:pPr>
            <w:r>
              <w:rPr>
                <w:rFonts w:ascii="Calibri" w:hAnsi="Calibri"/>
                <w:b w:val="0"/>
                <w:i w:val="0"/>
                <w:color w:val="444444"/>
                <w:sz w:val="19"/>
              </w:rPr>
              <w:t>Medium</w:t>
            </w:r>
          </w:p>
        </w:tc>
      </w:tr>
      <w:tr>
        <w:tc>
          <w:tcPr>
            <w:tcW w:type="dxa" w:w="1701"/>
            <w:shd w:val="clear" w:color="auto" w:fill="FFFFFF"/>
          </w:tcPr>
          <w:p>
            <w:pPr>
              <w:spacing w:before="50" w:after="50"/>
            </w:pPr>
            <w:r>
              <w:rPr>
                <w:rFonts w:ascii="Calibri" w:hAnsi="Calibri"/>
                <w:b/>
                <w:i w:val="0"/>
                <w:color w:val="444444"/>
                <w:sz w:val="19"/>
              </w:rPr>
              <w:t>Ghana</w:t>
            </w:r>
          </w:p>
        </w:tc>
        <w:tc>
          <w:tcPr>
            <w:tcW w:type="dxa" w:w="3118"/>
            <w:shd w:val="clear" w:color="auto" w:fill="FFFFFF"/>
          </w:tcPr>
          <w:p>
            <w:pPr>
              <w:spacing w:before="50" w:after="50"/>
            </w:pPr>
            <w:r>
              <w:rPr>
                <w:rFonts w:ascii="Calibri" w:hAnsi="Calibri"/>
                <w:b w:val="0"/>
                <w:i w:val="0"/>
                <w:color w:val="444444"/>
                <w:sz w:val="19"/>
              </w:rPr>
              <w:t>Generally stable — political cycle monitoring</w:t>
            </w:r>
          </w:p>
        </w:tc>
        <w:tc>
          <w:tcPr>
            <w:tcW w:type="dxa" w:w="1984"/>
            <w:shd w:val="clear" w:color="auto" w:fill="FFFFFF"/>
          </w:tcPr>
          <w:p>
            <w:pPr>
              <w:spacing w:before="50" w:after="50"/>
            </w:pPr>
            <w:r>
              <w:rPr>
                <w:rFonts w:ascii="Calibri" w:hAnsi="Calibri"/>
                <w:b w:val="0"/>
                <w:i w:val="0"/>
                <w:color w:val="444444"/>
                <w:sz w:val="19"/>
              </w:rPr>
              <w:t>GDELT</w:t>
            </w:r>
          </w:p>
        </w:tc>
        <w:tc>
          <w:tcPr>
            <w:tcW w:type="dxa" w:w="1701"/>
            <w:shd w:val="clear" w:color="auto" w:fill="FFFFFF"/>
          </w:tcPr>
          <w:p>
            <w:pPr>
              <w:spacing w:before="50" w:after="50"/>
            </w:pPr>
            <w:r>
              <w:rPr>
                <w:rFonts w:ascii="Calibri" w:hAnsi="Calibri"/>
                <w:b w:val="0"/>
                <w:i w:val="0"/>
                <w:color w:val="444444"/>
                <w:sz w:val="19"/>
              </w:rPr>
              <w:t>Low</w:t>
            </w:r>
          </w:p>
        </w:tc>
      </w:tr>
    </w:tbl>
    <w:p/>
    <w:p>
      <w:pPr>
        <w:spacing w:before="80" w:after="80"/>
        <w:pBdr>
          <w:bottom w:val="single" w:sz="6" w:space="1" w:color="1B3A6B"/>
        </w:pBdr>
      </w:pPr>
    </w:p>
    <w:p>
      <w:pPr>
        <w:spacing w:before="200" w:after="80"/>
      </w:pPr>
      <w:r>
        <w:rPr>
          <w:rFonts w:ascii="Calibri" w:hAnsi="Calibri"/>
          <w:b/>
          <w:i w:val="0"/>
          <w:color w:val="1B3A6B"/>
          <w:sz w:val="36"/>
        </w:rPr>
        <w:t>02  AWS Backend Architecture</w:t>
      </w:r>
    </w:p>
    <w:p>
      <w:pPr>
        <w:spacing w:before="60" w:after="80"/>
      </w:pPr>
      <w:r>
        <w:rPr>
          <w:rFonts w:ascii="Calibri" w:hAnsi="Calibri"/>
          <w:b w:val="0"/>
          <w:i w:val="0"/>
          <w:color w:val="444444"/>
          <w:sz w:val="21"/>
        </w:rPr>
        <w:t>Migrating the SafeGuard360 backend to AWS provides enterprise-grade security certifications (SOC 2, ISO 27001), fine-grained IAM access controls, native integration with security intelligence services, and the geographic redundancy required for a duty of care platform operating across Africa.</w:t>
      </w:r>
    </w:p>
    <w:p>
      <w:pPr>
        <w:spacing w:before="60" w:after="80"/>
      </w:pPr>
      <w:r>
        <w:rPr>
          <w:rFonts w:ascii="Calibri" w:hAnsi="Calibri"/>
          <w:b w:val="0"/>
          <w:i w:val="0"/>
          <w:color w:val="444444"/>
          <w:sz w:val="21"/>
        </w:rPr>
        <w:t>The migration is designed to be incremental — Supabase can remain operational during the transition, with AWS services layered on top before a full cutover.</w:t>
      </w:r>
    </w:p>
    <w:p>
      <w:pPr>
        <w:spacing w:before="200" w:after="80"/>
      </w:pPr>
      <w:r>
        <w:rPr>
          <w:rFonts w:ascii="Calibri" w:hAnsi="Calibri"/>
          <w:b/>
          <w:i w:val="0"/>
          <w:color w:val="2563EB"/>
          <w:sz w:val="28"/>
          <w:u w:val="none"/>
        </w:rPr>
        <w:t>2.1  Core AWS Services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B3A6B"/>
          </w:tcPr>
          <w:p>
            <w:pPr>
              <w:jc w:val="left"/>
              <w:spacing w:before="60" w:after="60"/>
            </w:pPr>
            <w:r>
              <w:rPr>
                <w:rFonts w:ascii="Calibri" w:hAnsi="Calibri"/>
                <w:b/>
                <w:i w:val="0"/>
                <w:color w:val="FFFFFF"/>
                <w:sz w:val="19"/>
              </w:rPr>
              <w:t>AWS Service</w:t>
            </w:r>
          </w:p>
        </w:tc>
        <w:tc>
          <w:tcPr>
            <w:tcW w:type="dxa" w:w="3118"/>
            <w:shd w:val="clear" w:color="auto" w:fill="1B3A6B"/>
          </w:tcPr>
          <w:p>
            <w:pPr>
              <w:jc w:val="left"/>
              <w:spacing w:before="60" w:after="60"/>
            </w:pPr>
            <w:r>
              <w:rPr>
                <w:rFonts w:ascii="Calibri" w:hAnsi="Calibri"/>
                <w:b/>
                <w:i w:val="0"/>
                <w:color w:val="FFFFFF"/>
                <w:sz w:val="19"/>
              </w:rPr>
              <w:t>Role in SafeGuard360</w:t>
            </w:r>
          </w:p>
        </w:tc>
        <w:tc>
          <w:tcPr>
            <w:tcW w:type="dxa" w:w="1984"/>
            <w:shd w:val="clear" w:color="auto" w:fill="1B3A6B"/>
          </w:tcPr>
          <w:p>
            <w:pPr>
              <w:jc w:val="left"/>
              <w:spacing w:before="60" w:after="60"/>
            </w:pPr>
            <w:r>
              <w:rPr>
                <w:rFonts w:ascii="Calibri" w:hAnsi="Calibri"/>
                <w:b/>
                <w:i w:val="0"/>
                <w:color w:val="FFFFFF"/>
                <w:sz w:val="19"/>
              </w:rPr>
              <w:t>Replaces / Augments</w:t>
            </w:r>
          </w:p>
        </w:tc>
        <w:tc>
          <w:tcPr>
            <w:tcW w:type="dxa" w:w="1417"/>
            <w:shd w:val="clear" w:color="auto" w:fill="1B3A6B"/>
          </w:tcPr>
          <w:p>
            <w:pPr>
              <w:jc w:val="left"/>
              <w:spacing w:before="60" w:after="60"/>
            </w:pPr>
            <w:r>
              <w:rPr>
                <w:rFonts w:ascii="Calibri" w:hAnsi="Calibri"/>
                <w:b/>
                <w:i w:val="0"/>
                <w:color w:val="FFFFFF"/>
                <w:sz w:val="19"/>
              </w:rPr>
              <w:t>Priority</w:t>
            </w:r>
          </w:p>
        </w:tc>
      </w:tr>
      <w:tr>
        <w:tc>
          <w:tcPr>
            <w:tcW w:type="dxa" w:w="2268"/>
            <w:shd w:val="clear" w:color="auto" w:fill="F0F4FF"/>
          </w:tcPr>
          <w:p>
            <w:pPr>
              <w:spacing w:before="50" w:after="50"/>
            </w:pPr>
            <w:r>
              <w:rPr>
                <w:rFonts w:ascii="Calibri" w:hAnsi="Calibri"/>
                <w:b/>
                <w:i w:val="0"/>
                <w:color w:val="444444"/>
                <w:sz w:val="19"/>
              </w:rPr>
              <w:t>AWS Cognito</w:t>
            </w:r>
          </w:p>
        </w:tc>
        <w:tc>
          <w:tcPr>
            <w:tcW w:type="dxa" w:w="3118"/>
            <w:shd w:val="clear" w:color="auto" w:fill="F0F4FF"/>
          </w:tcPr>
          <w:p>
            <w:pPr>
              <w:spacing w:before="50" w:after="50"/>
            </w:pPr>
            <w:r>
              <w:rPr>
                <w:rFonts w:ascii="Calibri" w:hAnsi="Calibri"/>
                <w:b w:val="0"/>
                <w:i w:val="0"/>
                <w:color w:val="444444"/>
                <w:sz w:val="19"/>
              </w:rPr>
              <w:t>User authentication &amp; authorisation, MFA, SSO</w:t>
            </w:r>
          </w:p>
        </w:tc>
        <w:tc>
          <w:tcPr>
            <w:tcW w:type="dxa" w:w="1984"/>
            <w:shd w:val="clear" w:color="auto" w:fill="F0F4FF"/>
          </w:tcPr>
          <w:p>
            <w:pPr>
              <w:spacing w:before="50" w:after="50"/>
            </w:pPr>
            <w:r>
              <w:rPr>
                <w:rFonts w:ascii="Calibri" w:hAnsi="Calibri"/>
                <w:b w:val="0"/>
                <w:i w:val="0"/>
                <w:color w:val="444444"/>
                <w:sz w:val="19"/>
              </w:rPr>
              <w:t>Supabase Auth</w:t>
            </w:r>
          </w:p>
        </w:tc>
        <w:tc>
          <w:tcPr>
            <w:tcW w:type="dxa" w:w="1417"/>
            <w:shd w:val="clear" w:color="auto" w:fill="F0F4FF"/>
          </w:tcPr>
          <w:p>
            <w:pPr>
              <w:spacing w:before="50" w:after="50"/>
            </w:pPr>
            <w:r>
              <w:rPr>
                <w:rFonts w:ascii="Calibri" w:hAnsi="Calibri"/>
                <w:b w:val="0"/>
                <w:i w:val="0"/>
                <w:color w:val="444444"/>
                <w:sz w:val="19"/>
              </w:rPr>
              <w:t>Phase 2A</w:t>
            </w:r>
          </w:p>
        </w:tc>
      </w:tr>
      <w:tr>
        <w:tc>
          <w:tcPr>
            <w:tcW w:type="dxa" w:w="2268"/>
            <w:shd w:val="clear" w:color="auto" w:fill="FFFFFF"/>
          </w:tcPr>
          <w:p>
            <w:pPr>
              <w:spacing w:before="50" w:after="50"/>
            </w:pPr>
            <w:r>
              <w:rPr>
                <w:rFonts w:ascii="Calibri" w:hAnsi="Calibri"/>
                <w:b/>
                <w:i w:val="0"/>
                <w:color w:val="444444"/>
                <w:sz w:val="19"/>
              </w:rPr>
              <w:t>AWS RDS (PostgreSQL)</w:t>
            </w:r>
          </w:p>
        </w:tc>
        <w:tc>
          <w:tcPr>
            <w:tcW w:type="dxa" w:w="3118"/>
            <w:shd w:val="clear" w:color="auto" w:fill="FFFFFF"/>
          </w:tcPr>
          <w:p>
            <w:pPr>
              <w:spacing w:before="50" w:after="50"/>
            </w:pPr>
            <w:r>
              <w:rPr>
                <w:rFonts w:ascii="Calibri" w:hAnsi="Calibri"/>
                <w:b w:val="0"/>
                <w:i w:val="0"/>
                <w:color w:val="444444"/>
                <w:sz w:val="19"/>
              </w:rPr>
              <w:t>Primary relational database — all platform data</w:t>
            </w:r>
          </w:p>
        </w:tc>
        <w:tc>
          <w:tcPr>
            <w:tcW w:type="dxa" w:w="1984"/>
            <w:shd w:val="clear" w:color="auto" w:fill="FFFFFF"/>
          </w:tcPr>
          <w:p>
            <w:pPr>
              <w:spacing w:before="50" w:after="50"/>
            </w:pPr>
            <w:r>
              <w:rPr>
                <w:rFonts w:ascii="Calibri" w:hAnsi="Calibri"/>
                <w:b w:val="0"/>
                <w:i w:val="0"/>
                <w:color w:val="444444"/>
                <w:sz w:val="19"/>
              </w:rPr>
              <w:t>Supabase PostgreSQL</w:t>
            </w:r>
          </w:p>
        </w:tc>
        <w:tc>
          <w:tcPr>
            <w:tcW w:type="dxa" w:w="1417"/>
            <w:shd w:val="clear" w:color="auto" w:fill="FFFFFF"/>
          </w:tcPr>
          <w:p>
            <w:pPr>
              <w:spacing w:before="50" w:after="50"/>
            </w:pPr>
            <w:r>
              <w:rPr>
                <w:rFonts w:ascii="Calibri" w:hAnsi="Calibri"/>
                <w:b w:val="0"/>
                <w:i w:val="0"/>
                <w:color w:val="444444"/>
                <w:sz w:val="19"/>
              </w:rPr>
              <w:t>Phase 2A</w:t>
            </w:r>
          </w:p>
        </w:tc>
      </w:tr>
      <w:tr>
        <w:tc>
          <w:tcPr>
            <w:tcW w:type="dxa" w:w="2268"/>
            <w:shd w:val="clear" w:color="auto" w:fill="F0F4FF"/>
          </w:tcPr>
          <w:p>
            <w:pPr>
              <w:spacing w:before="50" w:after="50"/>
            </w:pPr>
            <w:r>
              <w:rPr>
                <w:rFonts w:ascii="Calibri" w:hAnsi="Calibri"/>
                <w:b/>
                <w:i w:val="0"/>
                <w:color w:val="444444"/>
                <w:sz w:val="19"/>
              </w:rPr>
              <w:t>AWS S3</w:t>
            </w:r>
          </w:p>
        </w:tc>
        <w:tc>
          <w:tcPr>
            <w:tcW w:type="dxa" w:w="3118"/>
            <w:shd w:val="clear" w:color="auto" w:fill="F0F4FF"/>
          </w:tcPr>
          <w:p>
            <w:pPr>
              <w:spacing w:before="50" w:after="50"/>
            </w:pPr>
            <w:r>
              <w:rPr>
                <w:rFonts w:ascii="Calibri" w:hAnsi="Calibri"/>
                <w:b w:val="0"/>
                <w:i w:val="0"/>
                <w:color w:val="444444"/>
                <w:sz w:val="19"/>
              </w:rPr>
              <w:t>Document storage — policy PDFs, reports, exports</w:t>
            </w:r>
          </w:p>
        </w:tc>
        <w:tc>
          <w:tcPr>
            <w:tcW w:type="dxa" w:w="1984"/>
            <w:shd w:val="clear" w:color="auto" w:fill="F0F4FF"/>
          </w:tcPr>
          <w:p>
            <w:pPr>
              <w:spacing w:before="50" w:after="50"/>
            </w:pPr>
            <w:r>
              <w:rPr>
                <w:rFonts w:ascii="Calibri" w:hAnsi="Calibri"/>
                <w:b w:val="0"/>
                <w:i w:val="0"/>
                <w:color w:val="444444"/>
                <w:sz w:val="19"/>
              </w:rPr>
              <w:t>Supabase Storage</w:t>
            </w:r>
          </w:p>
        </w:tc>
        <w:tc>
          <w:tcPr>
            <w:tcW w:type="dxa" w:w="1417"/>
            <w:shd w:val="clear" w:color="auto" w:fill="F0F4FF"/>
          </w:tcPr>
          <w:p>
            <w:pPr>
              <w:spacing w:before="50" w:after="50"/>
            </w:pPr>
            <w:r>
              <w:rPr>
                <w:rFonts w:ascii="Calibri" w:hAnsi="Calibri"/>
                <w:b w:val="0"/>
                <w:i w:val="0"/>
                <w:color w:val="444444"/>
                <w:sz w:val="19"/>
              </w:rPr>
              <w:t>Phase 2A</w:t>
            </w:r>
          </w:p>
        </w:tc>
      </w:tr>
      <w:tr>
        <w:tc>
          <w:tcPr>
            <w:tcW w:type="dxa" w:w="2268"/>
            <w:shd w:val="clear" w:color="auto" w:fill="FFFFFF"/>
          </w:tcPr>
          <w:p>
            <w:pPr>
              <w:spacing w:before="50" w:after="50"/>
            </w:pPr>
            <w:r>
              <w:rPr>
                <w:rFonts w:ascii="Calibri" w:hAnsi="Calibri"/>
                <w:b/>
                <w:i w:val="0"/>
                <w:color w:val="444444"/>
                <w:sz w:val="19"/>
              </w:rPr>
              <w:t>AWS Lambda</w:t>
            </w:r>
          </w:p>
        </w:tc>
        <w:tc>
          <w:tcPr>
            <w:tcW w:type="dxa" w:w="3118"/>
            <w:shd w:val="clear" w:color="auto" w:fill="FFFFFF"/>
          </w:tcPr>
          <w:p>
            <w:pPr>
              <w:spacing w:before="50" w:after="50"/>
            </w:pPr>
            <w:r>
              <w:rPr>
                <w:rFonts w:ascii="Calibri" w:hAnsi="Calibri"/>
                <w:b w:val="0"/>
                <w:i w:val="0"/>
                <w:color w:val="444444"/>
                <w:sz w:val="19"/>
              </w:rPr>
              <w:t>Serverless functions — feed ingestion, geo-matching, alert scoring</w:t>
            </w:r>
          </w:p>
        </w:tc>
        <w:tc>
          <w:tcPr>
            <w:tcW w:type="dxa" w:w="1984"/>
            <w:shd w:val="clear" w:color="auto" w:fill="FFFFFF"/>
          </w:tcPr>
          <w:p>
            <w:pPr>
              <w:spacing w:before="50" w:after="50"/>
            </w:pPr>
            <w:r>
              <w:rPr>
                <w:rFonts w:ascii="Calibri" w:hAnsi="Calibri"/>
                <w:b w:val="0"/>
                <w:i w:val="0"/>
                <w:color w:val="444444"/>
                <w:sz w:val="19"/>
              </w:rPr>
              <w:t>Supabase Edge Functions</w:t>
            </w:r>
          </w:p>
        </w:tc>
        <w:tc>
          <w:tcPr>
            <w:tcW w:type="dxa" w:w="1417"/>
            <w:shd w:val="clear" w:color="auto" w:fill="FFFFFF"/>
          </w:tcPr>
          <w:p>
            <w:pPr>
              <w:spacing w:before="50" w:after="50"/>
            </w:pPr>
            <w:r>
              <w:rPr>
                <w:rFonts w:ascii="Calibri" w:hAnsi="Calibri"/>
                <w:b w:val="0"/>
                <w:i w:val="0"/>
                <w:color w:val="444444"/>
                <w:sz w:val="19"/>
              </w:rPr>
              <w:t>Phase 2A</w:t>
            </w:r>
          </w:p>
        </w:tc>
      </w:tr>
      <w:tr>
        <w:tc>
          <w:tcPr>
            <w:tcW w:type="dxa" w:w="2268"/>
            <w:shd w:val="clear" w:color="auto" w:fill="F0F4FF"/>
          </w:tcPr>
          <w:p>
            <w:pPr>
              <w:spacing w:before="50" w:after="50"/>
            </w:pPr>
            <w:r>
              <w:rPr>
                <w:rFonts w:ascii="Calibri" w:hAnsi="Calibri"/>
                <w:b/>
                <w:i w:val="0"/>
                <w:color w:val="444444"/>
                <w:sz w:val="19"/>
              </w:rPr>
              <w:t>AWS EventBridge</w:t>
            </w:r>
          </w:p>
        </w:tc>
        <w:tc>
          <w:tcPr>
            <w:tcW w:type="dxa" w:w="3118"/>
            <w:shd w:val="clear" w:color="auto" w:fill="F0F4FF"/>
          </w:tcPr>
          <w:p>
            <w:pPr>
              <w:spacing w:before="50" w:after="50"/>
            </w:pPr>
            <w:r>
              <w:rPr>
                <w:rFonts w:ascii="Calibri" w:hAnsi="Calibri"/>
                <w:b w:val="0"/>
                <w:i w:val="0"/>
                <w:color w:val="444444"/>
                <w:sz w:val="19"/>
              </w:rPr>
              <w:t>Event bus — schedules feed polling, triggers notifications</w:t>
            </w:r>
          </w:p>
        </w:tc>
        <w:tc>
          <w:tcPr>
            <w:tcW w:type="dxa" w:w="1984"/>
            <w:shd w:val="clear" w:color="auto" w:fill="F0F4FF"/>
          </w:tcPr>
          <w:p>
            <w:pPr>
              <w:spacing w:before="50" w:after="50"/>
            </w:pPr>
            <w:r>
              <w:rPr>
                <w:rFonts w:ascii="Calibri" w:hAnsi="Calibri"/>
                <w:b w:val="0"/>
                <w:i w:val="0"/>
                <w:color w:val="444444"/>
                <w:sz w:val="19"/>
              </w:rPr>
              <w:t>New capability</w:t>
            </w:r>
          </w:p>
        </w:tc>
        <w:tc>
          <w:tcPr>
            <w:tcW w:type="dxa" w:w="1417"/>
            <w:shd w:val="clear" w:color="auto" w:fill="F0F4FF"/>
          </w:tcPr>
          <w:p>
            <w:pPr>
              <w:spacing w:before="50" w:after="50"/>
            </w:pPr>
            <w:r>
              <w:rPr>
                <w:rFonts w:ascii="Calibri" w:hAnsi="Calibri"/>
                <w:b w:val="0"/>
                <w:i w:val="0"/>
                <w:color w:val="444444"/>
                <w:sz w:val="19"/>
              </w:rPr>
              <w:t>Phase 2A</w:t>
            </w:r>
          </w:p>
        </w:tc>
      </w:tr>
      <w:tr>
        <w:tc>
          <w:tcPr>
            <w:tcW w:type="dxa" w:w="2268"/>
            <w:shd w:val="clear" w:color="auto" w:fill="FFFFFF"/>
          </w:tcPr>
          <w:p>
            <w:pPr>
              <w:spacing w:before="50" w:after="50"/>
            </w:pPr>
            <w:r>
              <w:rPr>
                <w:rFonts w:ascii="Calibri" w:hAnsi="Calibri"/>
                <w:b/>
                <w:i w:val="0"/>
                <w:color w:val="444444"/>
                <w:sz w:val="19"/>
              </w:rPr>
              <w:t>AWS SNS</w:t>
            </w:r>
          </w:p>
        </w:tc>
        <w:tc>
          <w:tcPr>
            <w:tcW w:type="dxa" w:w="3118"/>
            <w:shd w:val="clear" w:color="auto" w:fill="FFFFFF"/>
          </w:tcPr>
          <w:p>
            <w:pPr>
              <w:spacing w:before="50" w:after="50"/>
            </w:pPr>
            <w:r>
              <w:rPr>
                <w:rFonts w:ascii="Calibri" w:hAnsi="Calibri"/>
                <w:b w:val="0"/>
                <w:i w:val="0"/>
                <w:color w:val="444444"/>
                <w:sz w:val="19"/>
              </w:rPr>
              <w:t>Push notifications and SMS to travellers</w:t>
            </w:r>
          </w:p>
        </w:tc>
        <w:tc>
          <w:tcPr>
            <w:tcW w:type="dxa" w:w="1984"/>
            <w:shd w:val="clear" w:color="auto" w:fill="FFFFFF"/>
          </w:tcPr>
          <w:p>
            <w:pPr>
              <w:spacing w:before="50" w:after="50"/>
            </w:pPr>
            <w:r>
              <w:rPr>
                <w:rFonts w:ascii="Calibri" w:hAnsi="Calibri"/>
                <w:b w:val="0"/>
                <w:i w:val="0"/>
                <w:color w:val="444444"/>
                <w:sz w:val="19"/>
              </w:rPr>
              <w:t>New capability</w:t>
            </w:r>
          </w:p>
        </w:tc>
        <w:tc>
          <w:tcPr>
            <w:tcW w:type="dxa" w:w="1417"/>
            <w:shd w:val="clear" w:color="auto" w:fill="FFFFFF"/>
          </w:tcPr>
          <w:p>
            <w:pPr>
              <w:spacing w:before="50" w:after="50"/>
            </w:pPr>
            <w:r>
              <w:rPr>
                <w:rFonts w:ascii="Calibri" w:hAnsi="Calibri"/>
                <w:b w:val="0"/>
                <w:i w:val="0"/>
                <w:color w:val="444444"/>
                <w:sz w:val="19"/>
              </w:rPr>
              <w:t>Phase 2A</w:t>
            </w:r>
          </w:p>
        </w:tc>
      </w:tr>
      <w:tr>
        <w:tc>
          <w:tcPr>
            <w:tcW w:type="dxa" w:w="2268"/>
            <w:shd w:val="clear" w:color="auto" w:fill="F0F4FF"/>
          </w:tcPr>
          <w:p>
            <w:pPr>
              <w:spacing w:before="50" w:after="50"/>
            </w:pPr>
            <w:r>
              <w:rPr>
                <w:rFonts w:ascii="Calibri" w:hAnsi="Calibri"/>
                <w:b/>
                <w:i w:val="0"/>
                <w:color w:val="444444"/>
                <w:sz w:val="19"/>
              </w:rPr>
              <w:t>AWS SES</w:t>
            </w:r>
          </w:p>
        </w:tc>
        <w:tc>
          <w:tcPr>
            <w:tcW w:type="dxa" w:w="3118"/>
            <w:shd w:val="clear" w:color="auto" w:fill="F0F4FF"/>
          </w:tcPr>
          <w:p>
            <w:pPr>
              <w:spacing w:before="50" w:after="50"/>
            </w:pPr>
            <w:r>
              <w:rPr>
                <w:rFonts w:ascii="Calibri" w:hAnsi="Calibri"/>
                <w:b w:val="0"/>
                <w:i w:val="0"/>
                <w:color w:val="444444"/>
                <w:sz w:val="19"/>
              </w:rPr>
              <w:t>Transactional email — alerts, check-in reminders, reports</w:t>
            </w:r>
          </w:p>
        </w:tc>
        <w:tc>
          <w:tcPr>
            <w:tcW w:type="dxa" w:w="1984"/>
            <w:shd w:val="clear" w:color="auto" w:fill="F0F4FF"/>
          </w:tcPr>
          <w:p>
            <w:pPr>
              <w:spacing w:before="50" w:after="50"/>
            </w:pPr>
            <w:r>
              <w:rPr>
                <w:rFonts w:ascii="Calibri" w:hAnsi="Calibri"/>
                <w:b w:val="0"/>
                <w:i w:val="0"/>
                <w:color w:val="444444"/>
                <w:sz w:val="19"/>
              </w:rPr>
              <w:t>New capability</w:t>
            </w:r>
          </w:p>
        </w:tc>
        <w:tc>
          <w:tcPr>
            <w:tcW w:type="dxa" w:w="1417"/>
            <w:shd w:val="clear" w:color="auto" w:fill="F0F4FF"/>
          </w:tcPr>
          <w:p>
            <w:pPr>
              <w:spacing w:before="50" w:after="50"/>
            </w:pPr>
            <w:r>
              <w:rPr>
                <w:rFonts w:ascii="Calibri" w:hAnsi="Calibri"/>
                <w:b w:val="0"/>
                <w:i w:val="0"/>
                <w:color w:val="444444"/>
                <w:sz w:val="19"/>
              </w:rPr>
              <w:t>Phase 2A</w:t>
            </w:r>
          </w:p>
        </w:tc>
      </w:tr>
      <w:tr>
        <w:tc>
          <w:tcPr>
            <w:tcW w:type="dxa" w:w="2268"/>
            <w:shd w:val="clear" w:color="auto" w:fill="FFFFFF"/>
          </w:tcPr>
          <w:p>
            <w:pPr>
              <w:spacing w:before="50" w:after="50"/>
            </w:pPr>
            <w:r>
              <w:rPr>
                <w:rFonts w:ascii="Calibri" w:hAnsi="Calibri"/>
                <w:b/>
                <w:i w:val="0"/>
                <w:color w:val="444444"/>
                <w:sz w:val="19"/>
              </w:rPr>
              <w:t>AWS API Gateway</w:t>
            </w:r>
          </w:p>
        </w:tc>
        <w:tc>
          <w:tcPr>
            <w:tcW w:type="dxa" w:w="3118"/>
            <w:shd w:val="clear" w:color="auto" w:fill="FFFFFF"/>
          </w:tcPr>
          <w:p>
            <w:pPr>
              <w:spacing w:before="50" w:after="50"/>
            </w:pPr>
            <w:r>
              <w:rPr>
                <w:rFonts w:ascii="Calibri" w:hAnsi="Calibri"/>
                <w:b w:val="0"/>
                <w:i w:val="0"/>
                <w:color w:val="444444"/>
                <w:sz w:val="19"/>
              </w:rPr>
              <w:t>REST API layer — connects React frontend to backend</w:t>
            </w:r>
          </w:p>
        </w:tc>
        <w:tc>
          <w:tcPr>
            <w:tcW w:type="dxa" w:w="1984"/>
            <w:shd w:val="clear" w:color="auto" w:fill="FFFFFF"/>
          </w:tcPr>
          <w:p>
            <w:pPr>
              <w:spacing w:before="50" w:after="50"/>
            </w:pPr>
            <w:r>
              <w:rPr>
                <w:rFonts w:ascii="Calibri" w:hAnsi="Calibri"/>
                <w:b w:val="0"/>
                <w:i w:val="0"/>
                <w:color w:val="444444"/>
                <w:sz w:val="19"/>
              </w:rPr>
              <w:t>Direct Supabase calls</w:t>
            </w:r>
          </w:p>
        </w:tc>
        <w:tc>
          <w:tcPr>
            <w:tcW w:type="dxa" w:w="1417"/>
            <w:shd w:val="clear" w:color="auto" w:fill="FFFFFF"/>
          </w:tcPr>
          <w:p>
            <w:pPr>
              <w:spacing w:before="50" w:after="50"/>
            </w:pPr>
            <w:r>
              <w:rPr>
                <w:rFonts w:ascii="Calibri" w:hAnsi="Calibri"/>
                <w:b w:val="0"/>
                <w:i w:val="0"/>
                <w:color w:val="444444"/>
                <w:sz w:val="19"/>
              </w:rPr>
              <w:t>Phase 2B</w:t>
            </w:r>
          </w:p>
        </w:tc>
      </w:tr>
      <w:tr>
        <w:tc>
          <w:tcPr>
            <w:tcW w:type="dxa" w:w="2268"/>
            <w:shd w:val="clear" w:color="auto" w:fill="F0F4FF"/>
          </w:tcPr>
          <w:p>
            <w:pPr>
              <w:spacing w:before="50" w:after="50"/>
            </w:pPr>
            <w:r>
              <w:rPr>
                <w:rFonts w:ascii="Calibri" w:hAnsi="Calibri"/>
                <w:b/>
                <w:i w:val="0"/>
                <w:color w:val="444444"/>
                <w:sz w:val="19"/>
              </w:rPr>
              <w:t>AWS CloudFront</w:t>
            </w:r>
          </w:p>
        </w:tc>
        <w:tc>
          <w:tcPr>
            <w:tcW w:type="dxa" w:w="3118"/>
            <w:shd w:val="clear" w:color="auto" w:fill="F0F4FF"/>
          </w:tcPr>
          <w:p>
            <w:pPr>
              <w:spacing w:before="50" w:after="50"/>
            </w:pPr>
            <w:r>
              <w:rPr>
                <w:rFonts w:ascii="Calibri" w:hAnsi="Calibri"/>
                <w:b w:val="0"/>
                <w:i w:val="0"/>
                <w:color w:val="444444"/>
                <w:sz w:val="19"/>
              </w:rPr>
              <w:t>CDN — serves platform globally with low latency from Africa</w:t>
            </w:r>
          </w:p>
        </w:tc>
        <w:tc>
          <w:tcPr>
            <w:tcW w:type="dxa" w:w="1984"/>
            <w:shd w:val="clear" w:color="auto" w:fill="F0F4FF"/>
          </w:tcPr>
          <w:p>
            <w:pPr>
              <w:spacing w:before="50" w:after="50"/>
            </w:pPr>
            <w:r>
              <w:rPr>
                <w:rFonts w:ascii="Calibri" w:hAnsi="Calibri"/>
                <w:b w:val="0"/>
                <w:i w:val="0"/>
                <w:color w:val="444444"/>
                <w:sz w:val="19"/>
              </w:rPr>
              <w:t>Vercel CDN</w:t>
            </w:r>
          </w:p>
        </w:tc>
        <w:tc>
          <w:tcPr>
            <w:tcW w:type="dxa" w:w="1417"/>
            <w:shd w:val="clear" w:color="auto" w:fill="F0F4FF"/>
          </w:tcPr>
          <w:p>
            <w:pPr>
              <w:spacing w:before="50" w:after="50"/>
            </w:pPr>
            <w:r>
              <w:rPr>
                <w:rFonts w:ascii="Calibri" w:hAnsi="Calibri"/>
                <w:b w:val="0"/>
                <w:i w:val="0"/>
                <w:color w:val="444444"/>
                <w:sz w:val="19"/>
              </w:rPr>
              <w:t>Phase 2B</w:t>
            </w:r>
          </w:p>
        </w:tc>
      </w:tr>
      <w:tr>
        <w:tc>
          <w:tcPr>
            <w:tcW w:type="dxa" w:w="2268"/>
            <w:shd w:val="clear" w:color="auto" w:fill="FFFFFF"/>
          </w:tcPr>
          <w:p>
            <w:pPr>
              <w:spacing w:before="50" w:after="50"/>
            </w:pPr>
            <w:r>
              <w:rPr>
                <w:rFonts w:ascii="Calibri" w:hAnsi="Calibri"/>
                <w:b/>
                <w:i w:val="0"/>
                <w:color w:val="444444"/>
                <w:sz w:val="19"/>
              </w:rPr>
              <w:t>AWS GuardDuty</w:t>
            </w:r>
          </w:p>
        </w:tc>
        <w:tc>
          <w:tcPr>
            <w:tcW w:type="dxa" w:w="3118"/>
            <w:shd w:val="clear" w:color="auto" w:fill="FFFFFF"/>
          </w:tcPr>
          <w:p>
            <w:pPr>
              <w:spacing w:before="50" w:after="50"/>
            </w:pPr>
            <w:r>
              <w:rPr>
                <w:rFonts w:ascii="Calibri" w:hAnsi="Calibri"/>
                <w:b w:val="0"/>
                <w:i w:val="0"/>
                <w:color w:val="444444"/>
                <w:sz w:val="19"/>
              </w:rPr>
              <w:t>Threat detection — monitors AWS environment for anomalies</w:t>
            </w:r>
          </w:p>
        </w:tc>
        <w:tc>
          <w:tcPr>
            <w:tcW w:type="dxa" w:w="1984"/>
            <w:shd w:val="clear" w:color="auto" w:fill="FFFFFF"/>
          </w:tcPr>
          <w:p>
            <w:pPr>
              <w:spacing w:before="50" w:after="50"/>
            </w:pPr>
            <w:r>
              <w:rPr>
                <w:rFonts w:ascii="Calibri" w:hAnsi="Calibri"/>
                <w:b w:val="0"/>
                <w:i w:val="0"/>
                <w:color w:val="444444"/>
                <w:sz w:val="19"/>
              </w:rPr>
              <w:t>New capability</w:t>
            </w:r>
          </w:p>
        </w:tc>
        <w:tc>
          <w:tcPr>
            <w:tcW w:type="dxa" w:w="1417"/>
            <w:shd w:val="clear" w:color="auto" w:fill="FFFFFF"/>
          </w:tcPr>
          <w:p>
            <w:pPr>
              <w:spacing w:before="50" w:after="50"/>
            </w:pPr>
            <w:r>
              <w:rPr>
                <w:rFonts w:ascii="Calibri" w:hAnsi="Calibri"/>
                <w:b w:val="0"/>
                <w:i w:val="0"/>
                <w:color w:val="444444"/>
                <w:sz w:val="19"/>
              </w:rPr>
              <w:t>Phase 2B</w:t>
            </w:r>
          </w:p>
        </w:tc>
      </w:tr>
      <w:tr>
        <w:tc>
          <w:tcPr>
            <w:tcW w:type="dxa" w:w="2268"/>
            <w:shd w:val="clear" w:color="auto" w:fill="F0F4FF"/>
          </w:tcPr>
          <w:p>
            <w:pPr>
              <w:spacing w:before="50" w:after="50"/>
            </w:pPr>
            <w:r>
              <w:rPr>
                <w:rFonts w:ascii="Calibri" w:hAnsi="Calibri"/>
                <w:b/>
                <w:i w:val="0"/>
                <w:color w:val="444444"/>
                <w:sz w:val="19"/>
              </w:rPr>
              <w:t>AWS WAF</w:t>
            </w:r>
          </w:p>
        </w:tc>
        <w:tc>
          <w:tcPr>
            <w:tcW w:type="dxa" w:w="3118"/>
            <w:shd w:val="clear" w:color="auto" w:fill="F0F4FF"/>
          </w:tcPr>
          <w:p>
            <w:pPr>
              <w:spacing w:before="50" w:after="50"/>
            </w:pPr>
            <w:r>
              <w:rPr>
                <w:rFonts w:ascii="Calibri" w:hAnsi="Calibri"/>
                <w:b w:val="0"/>
                <w:i w:val="0"/>
                <w:color w:val="444444"/>
                <w:sz w:val="19"/>
              </w:rPr>
              <w:t>Web Application Firewall — protects API and frontend</w:t>
            </w:r>
          </w:p>
        </w:tc>
        <w:tc>
          <w:tcPr>
            <w:tcW w:type="dxa" w:w="1984"/>
            <w:shd w:val="clear" w:color="auto" w:fill="F0F4FF"/>
          </w:tcPr>
          <w:p>
            <w:pPr>
              <w:spacing w:before="50" w:after="50"/>
            </w:pPr>
            <w:r>
              <w:rPr>
                <w:rFonts w:ascii="Calibri" w:hAnsi="Calibri"/>
                <w:b w:val="0"/>
                <w:i w:val="0"/>
                <w:color w:val="444444"/>
                <w:sz w:val="19"/>
              </w:rPr>
              <w:t>New capability</w:t>
            </w:r>
          </w:p>
        </w:tc>
        <w:tc>
          <w:tcPr>
            <w:tcW w:type="dxa" w:w="1417"/>
            <w:shd w:val="clear" w:color="auto" w:fill="F0F4FF"/>
          </w:tcPr>
          <w:p>
            <w:pPr>
              <w:spacing w:before="50" w:after="50"/>
            </w:pPr>
            <w:r>
              <w:rPr>
                <w:rFonts w:ascii="Calibri" w:hAnsi="Calibri"/>
                <w:b w:val="0"/>
                <w:i w:val="0"/>
                <w:color w:val="444444"/>
                <w:sz w:val="19"/>
              </w:rPr>
              <w:t>Phase 2B</w:t>
            </w:r>
          </w:p>
        </w:tc>
      </w:tr>
      <w:tr>
        <w:tc>
          <w:tcPr>
            <w:tcW w:type="dxa" w:w="2268"/>
            <w:shd w:val="clear" w:color="auto" w:fill="FFFFFF"/>
          </w:tcPr>
          <w:p>
            <w:pPr>
              <w:spacing w:before="50" w:after="50"/>
            </w:pPr>
            <w:r>
              <w:rPr>
                <w:rFonts w:ascii="Calibri" w:hAnsi="Calibri"/>
                <w:b/>
                <w:i w:val="0"/>
                <w:color w:val="444444"/>
                <w:sz w:val="19"/>
              </w:rPr>
              <w:t>AWS CloudWatch</w:t>
            </w:r>
          </w:p>
        </w:tc>
        <w:tc>
          <w:tcPr>
            <w:tcW w:type="dxa" w:w="3118"/>
            <w:shd w:val="clear" w:color="auto" w:fill="FFFFFF"/>
          </w:tcPr>
          <w:p>
            <w:pPr>
              <w:spacing w:before="50" w:after="50"/>
            </w:pPr>
            <w:r>
              <w:rPr>
                <w:rFonts w:ascii="Calibri" w:hAnsi="Calibri"/>
                <w:b w:val="0"/>
                <w:i w:val="0"/>
                <w:color w:val="444444"/>
                <w:sz w:val="19"/>
              </w:rPr>
              <w:t>Monitoring, logging, uptime alerts, dashboards</w:t>
            </w:r>
          </w:p>
        </w:tc>
        <w:tc>
          <w:tcPr>
            <w:tcW w:type="dxa" w:w="1984"/>
            <w:shd w:val="clear" w:color="auto" w:fill="FFFFFF"/>
          </w:tcPr>
          <w:p>
            <w:pPr>
              <w:spacing w:before="50" w:after="50"/>
            </w:pPr>
            <w:r>
              <w:rPr>
                <w:rFonts w:ascii="Calibri" w:hAnsi="Calibri"/>
                <w:b w:val="0"/>
                <w:i w:val="0"/>
                <w:color w:val="444444"/>
                <w:sz w:val="19"/>
              </w:rPr>
              <w:t>New capability</w:t>
            </w:r>
          </w:p>
        </w:tc>
        <w:tc>
          <w:tcPr>
            <w:tcW w:type="dxa" w:w="1417"/>
            <w:shd w:val="clear" w:color="auto" w:fill="FFFFFF"/>
          </w:tcPr>
          <w:p>
            <w:pPr>
              <w:spacing w:before="50" w:after="50"/>
            </w:pPr>
            <w:r>
              <w:rPr>
                <w:rFonts w:ascii="Calibri" w:hAnsi="Calibri"/>
                <w:b w:val="0"/>
                <w:i w:val="0"/>
                <w:color w:val="444444"/>
                <w:sz w:val="19"/>
              </w:rPr>
              <w:t>Phase 2B</w:t>
            </w:r>
          </w:p>
        </w:tc>
      </w:tr>
      <w:tr>
        <w:tc>
          <w:tcPr>
            <w:tcW w:type="dxa" w:w="2268"/>
            <w:shd w:val="clear" w:color="auto" w:fill="F0F4FF"/>
          </w:tcPr>
          <w:p>
            <w:pPr>
              <w:spacing w:before="50" w:after="50"/>
            </w:pPr>
            <w:r>
              <w:rPr>
                <w:rFonts w:ascii="Calibri" w:hAnsi="Calibri"/>
                <w:b/>
                <w:i w:val="0"/>
                <w:color w:val="444444"/>
                <w:sz w:val="19"/>
              </w:rPr>
              <w:t>AWS Secrets Manager</w:t>
            </w:r>
          </w:p>
        </w:tc>
        <w:tc>
          <w:tcPr>
            <w:tcW w:type="dxa" w:w="3118"/>
            <w:shd w:val="clear" w:color="auto" w:fill="F0F4FF"/>
          </w:tcPr>
          <w:p>
            <w:pPr>
              <w:spacing w:before="50" w:after="50"/>
            </w:pPr>
            <w:r>
              <w:rPr>
                <w:rFonts w:ascii="Calibri" w:hAnsi="Calibri"/>
                <w:b w:val="0"/>
                <w:i w:val="0"/>
                <w:color w:val="444444"/>
                <w:sz w:val="19"/>
              </w:rPr>
              <w:t>Secure storage for API keys, database credentials</w:t>
            </w:r>
          </w:p>
        </w:tc>
        <w:tc>
          <w:tcPr>
            <w:tcW w:type="dxa" w:w="1984"/>
            <w:shd w:val="clear" w:color="auto" w:fill="F0F4FF"/>
          </w:tcPr>
          <w:p>
            <w:pPr>
              <w:spacing w:before="50" w:after="50"/>
            </w:pPr>
            <w:r>
              <w:rPr>
                <w:rFonts w:ascii="Calibri" w:hAnsi="Calibri"/>
                <w:b w:val="0"/>
                <w:i w:val="0"/>
                <w:color w:val="444444"/>
                <w:sz w:val="19"/>
              </w:rPr>
              <w:t>Environment variables</w:t>
            </w:r>
          </w:p>
        </w:tc>
        <w:tc>
          <w:tcPr>
            <w:tcW w:type="dxa" w:w="1417"/>
            <w:shd w:val="clear" w:color="auto" w:fill="F0F4FF"/>
          </w:tcPr>
          <w:p>
            <w:pPr>
              <w:spacing w:before="50" w:after="50"/>
            </w:pPr>
            <w:r>
              <w:rPr>
                <w:rFonts w:ascii="Calibri" w:hAnsi="Calibri"/>
                <w:b w:val="0"/>
                <w:i w:val="0"/>
                <w:color w:val="444444"/>
                <w:sz w:val="19"/>
              </w:rPr>
              <w:t>Phase 2A</w:t>
            </w:r>
          </w:p>
        </w:tc>
      </w:tr>
      <w:tr>
        <w:tc>
          <w:tcPr>
            <w:tcW w:type="dxa" w:w="2268"/>
            <w:shd w:val="clear" w:color="auto" w:fill="FFFFFF"/>
          </w:tcPr>
          <w:p>
            <w:pPr>
              <w:spacing w:before="50" w:after="50"/>
            </w:pPr>
            <w:r>
              <w:rPr>
                <w:rFonts w:ascii="Calibri" w:hAnsi="Calibri"/>
                <w:b/>
                <w:i w:val="0"/>
                <w:color w:val="444444"/>
                <w:sz w:val="19"/>
              </w:rPr>
              <w:t>AWS KMS</w:t>
            </w:r>
          </w:p>
        </w:tc>
        <w:tc>
          <w:tcPr>
            <w:tcW w:type="dxa" w:w="3118"/>
            <w:shd w:val="clear" w:color="auto" w:fill="FFFFFF"/>
          </w:tcPr>
          <w:p>
            <w:pPr>
              <w:spacing w:before="50" w:after="50"/>
            </w:pPr>
            <w:r>
              <w:rPr>
                <w:rFonts w:ascii="Calibri" w:hAnsi="Calibri"/>
                <w:b w:val="0"/>
                <w:i w:val="0"/>
                <w:color w:val="444444"/>
                <w:sz w:val="19"/>
              </w:rPr>
              <w:t>Encryption key management for data at rest and in transit</w:t>
            </w:r>
          </w:p>
        </w:tc>
        <w:tc>
          <w:tcPr>
            <w:tcW w:type="dxa" w:w="1984"/>
            <w:shd w:val="clear" w:color="auto" w:fill="FFFFFF"/>
          </w:tcPr>
          <w:p>
            <w:pPr>
              <w:spacing w:before="50" w:after="50"/>
            </w:pPr>
            <w:r>
              <w:rPr>
                <w:rFonts w:ascii="Calibri" w:hAnsi="Calibri"/>
                <w:b w:val="0"/>
                <w:i w:val="0"/>
                <w:color w:val="444444"/>
                <w:sz w:val="19"/>
              </w:rPr>
              <w:t>New capability</w:t>
            </w:r>
          </w:p>
        </w:tc>
        <w:tc>
          <w:tcPr>
            <w:tcW w:type="dxa" w:w="1417"/>
            <w:shd w:val="clear" w:color="auto" w:fill="FFFFFF"/>
          </w:tcPr>
          <w:p>
            <w:pPr>
              <w:spacing w:before="50" w:after="50"/>
            </w:pPr>
            <w:r>
              <w:rPr>
                <w:rFonts w:ascii="Calibri" w:hAnsi="Calibri"/>
                <w:b w:val="0"/>
                <w:i w:val="0"/>
                <w:color w:val="444444"/>
                <w:sz w:val="19"/>
              </w:rPr>
              <w:t>Phase 2B</w:t>
            </w:r>
          </w:p>
        </w:tc>
      </w:tr>
      <w:tr>
        <w:tc>
          <w:tcPr>
            <w:tcW w:type="dxa" w:w="2268"/>
            <w:shd w:val="clear" w:color="auto" w:fill="F0F4FF"/>
          </w:tcPr>
          <w:p>
            <w:pPr>
              <w:spacing w:before="50" w:after="50"/>
            </w:pPr>
            <w:r>
              <w:rPr>
                <w:rFonts w:ascii="Calibri" w:hAnsi="Calibri"/>
                <w:b/>
                <w:i w:val="0"/>
                <w:color w:val="444444"/>
                <w:sz w:val="19"/>
              </w:rPr>
              <w:t>AWS Backup</w:t>
            </w:r>
          </w:p>
        </w:tc>
        <w:tc>
          <w:tcPr>
            <w:tcW w:type="dxa" w:w="3118"/>
            <w:shd w:val="clear" w:color="auto" w:fill="F0F4FF"/>
          </w:tcPr>
          <w:p>
            <w:pPr>
              <w:spacing w:before="50" w:after="50"/>
            </w:pPr>
            <w:r>
              <w:rPr>
                <w:rFonts w:ascii="Calibri" w:hAnsi="Calibri"/>
                <w:b w:val="0"/>
                <w:i w:val="0"/>
                <w:color w:val="444444"/>
                <w:sz w:val="19"/>
              </w:rPr>
              <w:t>Automated database backups with point-in-time recovery</w:t>
            </w:r>
          </w:p>
        </w:tc>
        <w:tc>
          <w:tcPr>
            <w:tcW w:type="dxa" w:w="1984"/>
            <w:shd w:val="clear" w:color="auto" w:fill="F0F4FF"/>
          </w:tcPr>
          <w:p>
            <w:pPr>
              <w:spacing w:before="50" w:after="50"/>
            </w:pPr>
            <w:r>
              <w:rPr>
                <w:rFonts w:ascii="Calibri" w:hAnsi="Calibri"/>
                <w:b w:val="0"/>
                <w:i w:val="0"/>
                <w:color w:val="444444"/>
                <w:sz w:val="19"/>
              </w:rPr>
              <w:t>Augments Supabase</w:t>
            </w:r>
          </w:p>
        </w:tc>
        <w:tc>
          <w:tcPr>
            <w:tcW w:type="dxa" w:w="1417"/>
            <w:shd w:val="clear" w:color="auto" w:fill="F0F4FF"/>
          </w:tcPr>
          <w:p>
            <w:pPr>
              <w:spacing w:before="50" w:after="50"/>
            </w:pPr>
            <w:r>
              <w:rPr>
                <w:rFonts w:ascii="Calibri" w:hAnsi="Calibri"/>
                <w:b w:val="0"/>
                <w:i w:val="0"/>
                <w:color w:val="444444"/>
                <w:sz w:val="19"/>
              </w:rPr>
              <w:t>Phase 2A</w:t>
            </w:r>
          </w:p>
        </w:tc>
      </w:tr>
    </w:tbl>
    <w:p/>
    <w:p>
      <w:pPr>
        <w:spacing w:before="200" w:after="80"/>
      </w:pPr>
      <w:r>
        <w:rPr>
          <w:rFonts w:ascii="Calibri" w:hAnsi="Calibri"/>
          <w:b/>
          <w:i w:val="0"/>
          <w:color w:val="2563EB"/>
          <w:sz w:val="28"/>
          <w:u w:val="none"/>
        </w:rPr>
        <w:t>2.2  Security Architecture</w:t>
      </w:r>
    </w:p>
    <w:p>
      <w:pPr>
        <w:spacing w:before="60" w:after="80"/>
      </w:pPr>
      <w:r>
        <w:rPr>
          <w:rFonts w:ascii="Calibri" w:hAnsi="Calibri"/>
          <w:b w:val="0"/>
          <w:i w:val="0"/>
          <w:color w:val="444444"/>
          <w:sz w:val="21"/>
        </w:rPr>
        <w:t>SafeGuard360 processes sensitive personal data including employee travel itineraries, location data, and emergency contacts. The AWS security architecture must be designed to meet POPIA (South Africa), GDPR-equivalent obligations across operating jurisdictions, and ISO 27001 requirements.</w:t>
      </w:r>
    </w:p>
    <w:p>
      <w:pPr>
        <w:pStyle w:val="ListBullet"/>
        <w:spacing w:before="20" w:after="20"/>
      </w:pPr>
      <w:r>
        <w:rPr>
          <w:rFonts w:ascii="Calibri" w:hAnsi="Calibri"/>
          <w:b w:val="0"/>
          <w:i w:val="0"/>
          <w:color w:val="444444"/>
          <w:sz w:val="21"/>
        </w:rPr>
        <w:t>All data at rest encrypted using AWS KMS with customer-managed keys. Separate key aliases for user PII, itinerary data, and alert intelligence.</w:t>
      </w:r>
    </w:p>
    <w:p>
      <w:pPr>
        <w:pStyle w:val="ListBullet"/>
        <w:spacing w:before="20" w:after="20"/>
      </w:pPr>
      <w:r>
        <w:rPr>
          <w:rFonts w:ascii="Calibri" w:hAnsi="Calibri"/>
          <w:b w:val="0"/>
          <w:i w:val="0"/>
          <w:color w:val="444444"/>
          <w:sz w:val="21"/>
        </w:rPr>
        <w:t>All data in transit encrypted via TLS 1.3 minimum. HSTS enforced on all endpoints.</w:t>
      </w:r>
    </w:p>
    <w:p>
      <w:pPr>
        <w:pStyle w:val="ListBullet"/>
        <w:spacing w:before="20" w:after="20"/>
      </w:pPr>
      <w:r>
        <w:rPr>
          <w:rFonts w:ascii="Calibri" w:hAnsi="Calibri"/>
          <w:b w:val="0"/>
          <w:i w:val="0"/>
          <w:color w:val="444444"/>
          <w:sz w:val="21"/>
        </w:rPr>
        <w:t>AWS IAM roles with least-privilege principle. No shared credentials. Separate roles for Lambda functions, RDS access, and S3 operations.</w:t>
      </w:r>
    </w:p>
    <w:p>
      <w:pPr>
        <w:pStyle w:val="ListBullet"/>
        <w:spacing w:before="20" w:after="20"/>
      </w:pPr>
      <w:r>
        <w:rPr>
          <w:rFonts w:ascii="Calibri" w:hAnsi="Calibri"/>
          <w:b w:val="0"/>
          <w:i w:val="0"/>
          <w:color w:val="444444"/>
          <w:sz w:val="21"/>
        </w:rPr>
        <w:t>AWS GuardDuty enabled across all regions to detect anomalous API calls, compromised credentials, and unusual data access patterns.</w:t>
      </w:r>
    </w:p>
    <w:p>
      <w:pPr>
        <w:pStyle w:val="ListBullet"/>
        <w:spacing w:before="20" w:after="20"/>
      </w:pPr>
      <w:r>
        <w:rPr>
          <w:rFonts w:ascii="Calibri" w:hAnsi="Calibri"/>
          <w:b w:val="0"/>
          <w:i w:val="0"/>
          <w:color w:val="444444"/>
          <w:sz w:val="21"/>
        </w:rPr>
        <w:t>AWS WAF configured with rules blocking SQLi, XSS, rate-limiting, and geo-blocking for regions with no operational need.</w:t>
      </w:r>
    </w:p>
    <w:p>
      <w:pPr>
        <w:pStyle w:val="ListBullet"/>
        <w:spacing w:before="20" w:after="20"/>
      </w:pPr>
      <w:r>
        <w:rPr>
          <w:rFonts w:ascii="Calibri" w:hAnsi="Calibri"/>
          <w:b w:val="0"/>
          <w:i w:val="0"/>
          <w:color w:val="444444"/>
          <w:sz w:val="21"/>
        </w:rPr>
        <w:t>AWS CloudTrail enabled for full audit logging of all API calls — required for POPIA compliance and incident investigation.</w:t>
      </w:r>
    </w:p>
    <w:p>
      <w:pPr>
        <w:pStyle w:val="ListBullet"/>
        <w:spacing w:before="20" w:after="20"/>
      </w:pPr>
      <w:r>
        <w:rPr>
          <w:rFonts w:ascii="Calibri" w:hAnsi="Calibri"/>
          <w:b w:val="0"/>
          <w:i w:val="0"/>
          <w:color w:val="444444"/>
          <w:sz w:val="21"/>
        </w:rPr>
        <w:t>Cognito user pools with mandatory MFA for all admin users. Traveller accounts require email verification.</w:t>
      </w:r>
    </w:p>
    <w:p>
      <w:pPr>
        <w:pStyle w:val="ListBullet"/>
        <w:spacing w:before="20" w:after="20"/>
      </w:pPr>
      <w:r>
        <w:rPr>
          <w:rFonts w:ascii="Calibri" w:hAnsi="Calibri"/>
          <w:b w:val="0"/>
          <w:i w:val="0"/>
          <w:color w:val="444444"/>
          <w:sz w:val="21"/>
        </w:rPr>
        <w:t>VPC isolation — RDS databases run in private subnets with no public internet exposure. Lambda functions access RDS via VPC endpoints.</w:t>
      </w:r>
    </w:p>
    <w:p/>
    <w:p>
      <w:pPr>
        <w:spacing w:before="200" w:after="80"/>
      </w:pPr>
      <w:r>
        <w:rPr>
          <w:rFonts w:ascii="Calibri" w:hAnsi="Calibri"/>
          <w:b/>
          <w:i w:val="0"/>
          <w:color w:val="2563EB"/>
          <w:sz w:val="28"/>
          <w:u w:val="none"/>
        </w:rPr>
        <w:t>2.3  Notification Stack</w:t>
      </w:r>
    </w:p>
    <w:p>
      <w:pPr>
        <w:spacing w:before="60" w:after="80"/>
      </w:pPr>
      <w:r>
        <w:rPr>
          <w:rFonts w:ascii="Calibri" w:hAnsi="Calibri"/>
          <w:b w:val="0"/>
          <w:i w:val="0"/>
          <w:color w:val="444444"/>
          <w:sz w:val="21"/>
        </w:rPr>
        <w:t>The alert delivery stack must be multi-channel and reliable. When a risk event is detected at a traveller's location, the following notification cascade is triggered:</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984"/>
            <w:shd w:val="clear" w:color="auto" w:fill="1B3A6B"/>
          </w:tcPr>
          <w:p>
            <w:pPr>
              <w:jc w:val="left"/>
              <w:spacing w:before="60" w:after="60"/>
            </w:pPr>
            <w:r>
              <w:rPr>
                <w:rFonts w:ascii="Calibri" w:hAnsi="Calibri"/>
                <w:b/>
                <w:i w:val="0"/>
                <w:color w:val="FFFFFF"/>
                <w:sz w:val="19"/>
              </w:rPr>
              <w:t>Channel</w:t>
            </w:r>
          </w:p>
        </w:tc>
        <w:tc>
          <w:tcPr>
            <w:tcW w:type="dxa" w:w="1984"/>
            <w:shd w:val="clear" w:color="auto" w:fill="1B3A6B"/>
          </w:tcPr>
          <w:p>
            <w:pPr>
              <w:jc w:val="left"/>
              <w:spacing w:before="60" w:after="60"/>
            </w:pPr>
            <w:r>
              <w:rPr>
                <w:rFonts w:ascii="Calibri" w:hAnsi="Calibri"/>
                <w:b/>
                <w:i w:val="0"/>
                <w:color w:val="FFFFFF"/>
                <w:sz w:val="19"/>
              </w:rPr>
              <w:t>AWS Service</w:t>
            </w:r>
          </w:p>
        </w:tc>
        <w:tc>
          <w:tcPr>
            <w:tcW w:type="dxa" w:w="1984"/>
            <w:shd w:val="clear" w:color="auto" w:fill="1B3A6B"/>
          </w:tcPr>
          <w:p>
            <w:pPr>
              <w:jc w:val="left"/>
              <w:spacing w:before="60" w:after="60"/>
            </w:pPr>
            <w:r>
              <w:rPr>
                <w:rFonts w:ascii="Calibri" w:hAnsi="Calibri"/>
                <w:b/>
                <w:i w:val="0"/>
                <w:color w:val="FFFFFF"/>
                <w:sz w:val="19"/>
              </w:rPr>
              <w:t>Trigger</w:t>
            </w:r>
          </w:p>
        </w:tc>
        <w:tc>
          <w:tcPr>
            <w:tcW w:type="dxa" w:w="2551"/>
            <w:shd w:val="clear" w:color="auto" w:fill="1B3A6B"/>
          </w:tcPr>
          <w:p>
            <w:pPr>
              <w:jc w:val="left"/>
              <w:spacing w:before="60" w:after="60"/>
            </w:pPr>
            <w:r>
              <w:rPr>
                <w:rFonts w:ascii="Calibri" w:hAnsi="Calibri"/>
                <w:b/>
                <w:i w:val="0"/>
                <w:color w:val="FFFFFF"/>
                <w:sz w:val="19"/>
              </w:rPr>
              <w:t>Audience</w:t>
            </w:r>
          </w:p>
        </w:tc>
      </w:tr>
      <w:tr>
        <w:tc>
          <w:tcPr>
            <w:tcW w:type="dxa" w:w="1984"/>
            <w:shd w:val="clear" w:color="auto" w:fill="F0F4FF"/>
          </w:tcPr>
          <w:p>
            <w:pPr>
              <w:spacing w:before="50" w:after="50"/>
            </w:pPr>
            <w:r>
              <w:rPr>
                <w:rFonts w:ascii="Calibri" w:hAnsi="Calibri"/>
                <w:b/>
                <w:i w:val="0"/>
                <w:color w:val="444444"/>
                <w:sz w:val="19"/>
              </w:rPr>
              <w:t>In-app alert</w:t>
            </w:r>
          </w:p>
        </w:tc>
        <w:tc>
          <w:tcPr>
            <w:tcW w:type="dxa" w:w="1984"/>
            <w:shd w:val="clear" w:color="auto" w:fill="F0F4FF"/>
          </w:tcPr>
          <w:p>
            <w:pPr>
              <w:spacing w:before="50" w:after="50"/>
            </w:pPr>
            <w:r>
              <w:rPr>
                <w:rFonts w:ascii="Calibri" w:hAnsi="Calibri"/>
                <w:b w:val="0"/>
                <w:i w:val="0"/>
                <w:color w:val="444444"/>
                <w:sz w:val="19"/>
              </w:rPr>
              <w:t>WebSocket via API Gateway</w:t>
            </w:r>
          </w:p>
        </w:tc>
        <w:tc>
          <w:tcPr>
            <w:tcW w:type="dxa" w:w="1984"/>
            <w:shd w:val="clear" w:color="auto" w:fill="F0F4FF"/>
          </w:tcPr>
          <w:p>
            <w:pPr>
              <w:spacing w:before="50" w:after="50"/>
            </w:pPr>
            <w:r>
              <w:rPr>
                <w:rFonts w:ascii="Calibri" w:hAnsi="Calibri"/>
                <w:b w:val="0"/>
                <w:i w:val="0"/>
                <w:color w:val="444444"/>
                <w:sz w:val="19"/>
              </w:rPr>
              <w:t>Immediate on alert creation</w:t>
            </w:r>
          </w:p>
        </w:tc>
        <w:tc>
          <w:tcPr>
            <w:tcW w:type="dxa" w:w="2551"/>
            <w:shd w:val="clear" w:color="auto" w:fill="F0F4FF"/>
          </w:tcPr>
          <w:p>
            <w:pPr>
              <w:spacing w:before="50" w:after="50"/>
            </w:pPr>
            <w:r>
              <w:rPr>
                <w:rFonts w:ascii="Calibri" w:hAnsi="Calibri"/>
                <w:b w:val="0"/>
                <w:i w:val="0"/>
                <w:color w:val="444444"/>
                <w:sz w:val="19"/>
              </w:rPr>
              <w:t>Logged-in travellers &amp; admins</w:t>
            </w:r>
          </w:p>
        </w:tc>
      </w:tr>
      <w:tr>
        <w:tc>
          <w:tcPr>
            <w:tcW w:type="dxa" w:w="1984"/>
            <w:shd w:val="clear" w:color="auto" w:fill="FFFFFF"/>
          </w:tcPr>
          <w:p>
            <w:pPr>
              <w:spacing w:before="50" w:after="50"/>
            </w:pPr>
            <w:r>
              <w:rPr>
                <w:rFonts w:ascii="Calibri" w:hAnsi="Calibri"/>
                <w:b/>
                <w:i w:val="0"/>
                <w:color w:val="444444"/>
                <w:sz w:val="19"/>
              </w:rPr>
              <w:t>Push notification</w:t>
            </w:r>
          </w:p>
        </w:tc>
        <w:tc>
          <w:tcPr>
            <w:tcW w:type="dxa" w:w="1984"/>
            <w:shd w:val="clear" w:color="auto" w:fill="FFFFFF"/>
          </w:tcPr>
          <w:p>
            <w:pPr>
              <w:spacing w:before="50" w:after="50"/>
            </w:pPr>
            <w:r>
              <w:rPr>
                <w:rFonts w:ascii="Calibri" w:hAnsi="Calibri"/>
                <w:b w:val="0"/>
                <w:i w:val="0"/>
                <w:color w:val="444444"/>
                <w:sz w:val="19"/>
              </w:rPr>
              <w:t>AWS SNS + Firebase FCM</w:t>
            </w:r>
          </w:p>
        </w:tc>
        <w:tc>
          <w:tcPr>
            <w:tcW w:type="dxa" w:w="1984"/>
            <w:shd w:val="clear" w:color="auto" w:fill="FFFFFF"/>
          </w:tcPr>
          <w:p>
            <w:pPr>
              <w:spacing w:before="50" w:after="50"/>
            </w:pPr>
            <w:r>
              <w:rPr>
                <w:rFonts w:ascii="Calibri" w:hAnsi="Calibri"/>
                <w:b w:val="0"/>
                <w:i w:val="0"/>
                <w:color w:val="444444"/>
                <w:sz w:val="19"/>
              </w:rPr>
              <w:t>Immediate</w:t>
            </w:r>
          </w:p>
        </w:tc>
        <w:tc>
          <w:tcPr>
            <w:tcW w:type="dxa" w:w="2551"/>
            <w:shd w:val="clear" w:color="auto" w:fill="FFFFFF"/>
          </w:tcPr>
          <w:p>
            <w:pPr>
              <w:spacing w:before="50" w:after="50"/>
            </w:pPr>
            <w:r>
              <w:rPr>
                <w:rFonts w:ascii="Calibri" w:hAnsi="Calibri"/>
                <w:b w:val="0"/>
                <w:i w:val="0"/>
                <w:color w:val="444444"/>
                <w:sz w:val="19"/>
              </w:rPr>
              <w:t>Mobile app users (Phase 3)</w:t>
            </w:r>
          </w:p>
        </w:tc>
      </w:tr>
      <w:tr>
        <w:tc>
          <w:tcPr>
            <w:tcW w:type="dxa" w:w="1984"/>
            <w:shd w:val="clear" w:color="auto" w:fill="F0F4FF"/>
          </w:tcPr>
          <w:p>
            <w:pPr>
              <w:spacing w:before="50" w:after="50"/>
            </w:pPr>
            <w:r>
              <w:rPr>
                <w:rFonts w:ascii="Calibri" w:hAnsi="Calibri"/>
                <w:b/>
                <w:i w:val="0"/>
                <w:color w:val="444444"/>
                <w:sz w:val="19"/>
              </w:rPr>
              <w:t>SMS</w:t>
            </w:r>
          </w:p>
        </w:tc>
        <w:tc>
          <w:tcPr>
            <w:tcW w:type="dxa" w:w="1984"/>
            <w:shd w:val="clear" w:color="auto" w:fill="F0F4FF"/>
          </w:tcPr>
          <w:p>
            <w:pPr>
              <w:spacing w:before="50" w:after="50"/>
            </w:pPr>
            <w:r>
              <w:rPr>
                <w:rFonts w:ascii="Calibri" w:hAnsi="Calibri"/>
                <w:b w:val="0"/>
                <w:i w:val="0"/>
                <w:color w:val="444444"/>
                <w:sz w:val="19"/>
              </w:rPr>
              <w:t>AWS SNS (SMS)</w:t>
            </w:r>
          </w:p>
        </w:tc>
        <w:tc>
          <w:tcPr>
            <w:tcW w:type="dxa" w:w="1984"/>
            <w:shd w:val="clear" w:color="auto" w:fill="F0F4FF"/>
          </w:tcPr>
          <w:p>
            <w:pPr>
              <w:spacing w:before="50" w:after="50"/>
            </w:pPr>
            <w:r>
              <w:rPr>
                <w:rFonts w:ascii="Calibri" w:hAnsi="Calibri"/>
                <w:b w:val="0"/>
                <w:i w:val="0"/>
                <w:color w:val="444444"/>
                <w:sz w:val="19"/>
              </w:rPr>
              <w:t>Critical &amp; High severity</w:t>
            </w:r>
          </w:p>
        </w:tc>
        <w:tc>
          <w:tcPr>
            <w:tcW w:type="dxa" w:w="2551"/>
            <w:shd w:val="clear" w:color="auto" w:fill="F0F4FF"/>
          </w:tcPr>
          <w:p>
            <w:pPr>
              <w:spacing w:before="50" w:after="50"/>
            </w:pPr>
            <w:r>
              <w:rPr>
                <w:rFonts w:ascii="Calibri" w:hAnsi="Calibri"/>
                <w:b w:val="0"/>
                <w:i w:val="0"/>
                <w:color w:val="444444"/>
                <w:sz w:val="19"/>
              </w:rPr>
              <w:t>All affected travellers</w:t>
            </w:r>
          </w:p>
        </w:tc>
      </w:tr>
      <w:tr>
        <w:tc>
          <w:tcPr>
            <w:tcW w:type="dxa" w:w="1984"/>
            <w:shd w:val="clear" w:color="auto" w:fill="FFFFFF"/>
          </w:tcPr>
          <w:p>
            <w:pPr>
              <w:spacing w:before="50" w:after="50"/>
            </w:pPr>
            <w:r>
              <w:rPr>
                <w:rFonts w:ascii="Calibri" w:hAnsi="Calibri"/>
                <w:b/>
                <w:i w:val="0"/>
                <w:color w:val="444444"/>
                <w:sz w:val="19"/>
              </w:rPr>
              <w:t>Email</w:t>
            </w:r>
          </w:p>
        </w:tc>
        <w:tc>
          <w:tcPr>
            <w:tcW w:type="dxa" w:w="1984"/>
            <w:shd w:val="clear" w:color="auto" w:fill="FFFFFF"/>
          </w:tcPr>
          <w:p>
            <w:pPr>
              <w:spacing w:before="50" w:after="50"/>
            </w:pPr>
            <w:r>
              <w:rPr>
                <w:rFonts w:ascii="Calibri" w:hAnsi="Calibri"/>
                <w:b w:val="0"/>
                <w:i w:val="0"/>
                <w:color w:val="444444"/>
                <w:sz w:val="19"/>
              </w:rPr>
              <w:t>AWS SES</w:t>
            </w:r>
          </w:p>
        </w:tc>
        <w:tc>
          <w:tcPr>
            <w:tcW w:type="dxa" w:w="1984"/>
            <w:shd w:val="clear" w:color="auto" w:fill="FFFFFF"/>
          </w:tcPr>
          <w:p>
            <w:pPr>
              <w:spacing w:before="50" w:after="50"/>
            </w:pPr>
            <w:r>
              <w:rPr>
                <w:rFonts w:ascii="Calibri" w:hAnsi="Calibri"/>
                <w:b w:val="0"/>
                <w:i w:val="0"/>
                <w:color w:val="444444"/>
                <w:sz w:val="19"/>
              </w:rPr>
              <w:t>All severity levels</w:t>
            </w:r>
          </w:p>
        </w:tc>
        <w:tc>
          <w:tcPr>
            <w:tcW w:type="dxa" w:w="2551"/>
            <w:shd w:val="clear" w:color="auto" w:fill="FFFFFF"/>
          </w:tcPr>
          <w:p>
            <w:pPr>
              <w:spacing w:before="50" w:after="50"/>
            </w:pPr>
            <w:r>
              <w:rPr>
                <w:rFonts w:ascii="Calibri" w:hAnsi="Calibri"/>
                <w:b w:val="0"/>
                <w:i w:val="0"/>
                <w:color w:val="444444"/>
                <w:sz w:val="19"/>
              </w:rPr>
              <w:t>Traveller + manager + security desk</w:t>
            </w:r>
          </w:p>
        </w:tc>
      </w:tr>
      <w:tr>
        <w:tc>
          <w:tcPr>
            <w:tcW w:type="dxa" w:w="1984"/>
            <w:shd w:val="clear" w:color="auto" w:fill="F0F4FF"/>
          </w:tcPr>
          <w:p>
            <w:pPr>
              <w:spacing w:before="50" w:after="50"/>
            </w:pPr>
            <w:r>
              <w:rPr>
                <w:rFonts w:ascii="Calibri" w:hAnsi="Calibri"/>
                <w:b/>
                <w:i w:val="0"/>
                <w:color w:val="444444"/>
                <w:sz w:val="19"/>
              </w:rPr>
              <w:t>Escalation</w:t>
            </w:r>
          </w:p>
        </w:tc>
        <w:tc>
          <w:tcPr>
            <w:tcW w:type="dxa" w:w="1984"/>
            <w:shd w:val="clear" w:color="auto" w:fill="F0F4FF"/>
          </w:tcPr>
          <w:p>
            <w:pPr>
              <w:spacing w:before="50" w:after="50"/>
            </w:pPr>
            <w:r>
              <w:rPr>
                <w:rFonts w:ascii="Calibri" w:hAnsi="Calibri"/>
                <w:b w:val="0"/>
                <w:i w:val="0"/>
                <w:color w:val="444444"/>
                <w:sz w:val="19"/>
              </w:rPr>
              <w:t>AWS SNS → SES + SMS</w:t>
            </w:r>
          </w:p>
        </w:tc>
        <w:tc>
          <w:tcPr>
            <w:tcW w:type="dxa" w:w="1984"/>
            <w:shd w:val="clear" w:color="auto" w:fill="F0F4FF"/>
          </w:tcPr>
          <w:p>
            <w:pPr>
              <w:spacing w:before="50" w:after="50"/>
            </w:pPr>
            <w:r>
              <w:rPr>
                <w:rFonts w:ascii="Calibri" w:hAnsi="Calibri"/>
                <w:b w:val="0"/>
                <w:i w:val="0"/>
                <w:color w:val="444444"/>
                <w:sz w:val="19"/>
              </w:rPr>
              <w:t>Missed check-in after 30 min</w:t>
            </w:r>
          </w:p>
        </w:tc>
        <w:tc>
          <w:tcPr>
            <w:tcW w:type="dxa" w:w="2551"/>
            <w:shd w:val="clear" w:color="auto" w:fill="F0F4FF"/>
          </w:tcPr>
          <w:p>
            <w:pPr>
              <w:spacing w:before="50" w:after="50"/>
            </w:pPr>
            <w:r>
              <w:rPr>
                <w:rFonts w:ascii="Calibri" w:hAnsi="Calibri"/>
                <w:b w:val="0"/>
                <w:i w:val="0"/>
                <w:color w:val="444444"/>
                <w:sz w:val="19"/>
              </w:rPr>
              <w:t>Security desk + emergency contact</w:t>
            </w:r>
          </w:p>
        </w:tc>
      </w:tr>
    </w:tbl>
    <w:p/>
    <w:p>
      <w:pPr>
        <w:spacing w:before="200" w:after="80"/>
      </w:pPr>
      <w:r>
        <w:rPr>
          <w:rFonts w:ascii="Calibri" w:hAnsi="Calibri"/>
          <w:b/>
          <w:i w:val="0"/>
          <w:color w:val="2563EB"/>
          <w:sz w:val="28"/>
          <w:u w:val="none"/>
        </w:rPr>
        <w:t>2.4  AWS Region Selection</w:t>
      </w:r>
    </w:p>
    <w:p>
      <w:pPr>
        <w:spacing w:before="60" w:after="80"/>
      </w:pPr>
      <w:r>
        <w:rPr>
          <w:rFonts w:ascii="Calibri" w:hAnsi="Calibri"/>
          <w:b w:val="0"/>
          <w:i w:val="0"/>
          <w:color w:val="444444"/>
          <w:sz w:val="21"/>
        </w:rPr>
        <w:t>For a pan-African platform, primary deployment in the AWS Cape Town region (af-south-1) is recommended. This provides the lowest latency for South African operations and satisfies data residency requirements for POPIA. A secondary region in EU Frankfurt (eu-central-1) or London (eu-west-2) provides the disaster recovery failover target.</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1B3A6B"/>
          </w:tcPr>
          <w:p>
            <w:pPr>
              <w:jc w:val="left"/>
              <w:spacing w:before="60" w:after="60"/>
            </w:pPr>
            <w:r>
              <w:rPr>
                <w:rFonts w:ascii="Calibri" w:hAnsi="Calibri"/>
                <w:b/>
                <w:i w:val="0"/>
                <w:color w:val="FFFFFF"/>
                <w:sz w:val="19"/>
              </w:rPr>
              <w:t>Region</w:t>
            </w:r>
          </w:p>
        </w:tc>
        <w:tc>
          <w:tcPr>
            <w:tcW w:type="dxa" w:w="2268"/>
            <w:shd w:val="clear" w:color="auto" w:fill="1B3A6B"/>
          </w:tcPr>
          <w:p>
            <w:pPr>
              <w:jc w:val="left"/>
              <w:spacing w:before="60" w:after="60"/>
            </w:pPr>
            <w:r>
              <w:rPr>
                <w:rFonts w:ascii="Calibri" w:hAnsi="Calibri"/>
                <w:b/>
                <w:i w:val="0"/>
                <w:color w:val="FFFFFF"/>
                <w:sz w:val="19"/>
              </w:rPr>
              <w:t>Role</w:t>
            </w:r>
          </w:p>
        </w:tc>
        <w:tc>
          <w:tcPr>
            <w:tcW w:type="dxa" w:w="4535"/>
            <w:shd w:val="clear" w:color="auto" w:fill="1B3A6B"/>
          </w:tcPr>
          <w:p>
            <w:pPr>
              <w:jc w:val="left"/>
              <w:spacing w:before="60" w:after="60"/>
            </w:pPr>
            <w:r>
              <w:rPr>
                <w:rFonts w:ascii="Calibri" w:hAnsi="Calibri"/>
                <w:b/>
                <w:i w:val="0"/>
                <w:color w:val="FFFFFF"/>
                <w:sz w:val="19"/>
              </w:rPr>
              <w:t>Services Deployed</w:t>
            </w:r>
          </w:p>
        </w:tc>
      </w:tr>
      <w:tr>
        <w:tc>
          <w:tcPr>
            <w:tcW w:type="dxa" w:w="2551"/>
            <w:shd w:val="clear" w:color="auto" w:fill="F0F4FF"/>
          </w:tcPr>
          <w:p>
            <w:pPr>
              <w:spacing w:before="50" w:after="50"/>
            </w:pPr>
            <w:r>
              <w:rPr>
                <w:rFonts w:ascii="Calibri" w:hAnsi="Calibri"/>
                <w:b/>
                <w:i w:val="0"/>
                <w:color w:val="444444"/>
                <w:sz w:val="19"/>
              </w:rPr>
              <w:t>af-south-1 (Cape Town)</w:t>
            </w:r>
          </w:p>
        </w:tc>
        <w:tc>
          <w:tcPr>
            <w:tcW w:type="dxa" w:w="2268"/>
            <w:shd w:val="clear" w:color="auto" w:fill="F0F4FF"/>
          </w:tcPr>
          <w:p>
            <w:pPr>
              <w:spacing w:before="50" w:after="50"/>
            </w:pPr>
            <w:r>
              <w:rPr>
                <w:rFonts w:ascii="Calibri" w:hAnsi="Calibri"/>
                <w:b w:val="0"/>
                <w:i w:val="0"/>
                <w:color w:val="444444"/>
                <w:sz w:val="19"/>
              </w:rPr>
              <w:t>Primary — Production</w:t>
            </w:r>
          </w:p>
        </w:tc>
        <w:tc>
          <w:tcPr>
            <w:tcW w:type="dxa" w:w="4535"/>
            <w:shd w:val="clear" w:color="auto" w:fill="F0F4FF"/>
          </w:tcPr>
          <w:p>
            <w:pPr>
              <w:spacing w:before="50" w:after="50"/>
            </w:pPr>
            <w:r>
              <w:rPr>
                <w:rFonts w:ascii="Calibri" w:hAnsi="Calibri"/>
                <w:b w:val="0"/>
                <w:i w:val="0"/>
                <w:color w:val="444444"/>
                <w:sz w:val="19"/>
              </w:rPr>
              <w:t>All services: RDS, Lambda, S3, Cognito, API Gateway, CloudFront, GuardDuty</w:t>
            </w:r>
          </w:p>
        </w:tc>
      </w:tr>
      <w:tr>
        <w:tc>
          <w:tcPr>
            <w:tcW w:type="dxa" w:w="2551"/>
            <w:shd w:val="clear" w:color="auto" w:fill="FFFFFF"/>
          </w:tcPr>
          <w:p>
            <w:pPr>
              <w:spacing w:before="50" w:after="50"/>
            </w:pPr>
            <w:r>
              <w:rPr>
                <w:rFonts w:ascii="Calibri" w:hAnsi="Calibri"/>
                <w:b/>
                <w:i w:val="0"/>
                <w:color w:val="444444"/>
                <w:sz w:val="19"/>
              </w:rPr>
              <w:t>eu-central-1 (Frankfurt)</w:t>
            </w:r>
          </w:p>
        </w:tc>
        <w:tc>
          <w:tcPr>
            <w:tcW w:type="dxa" w:w="2268"/>
            <w:shd w:val="clear" w:color="auto" w:fill="FFFFFF"/>
          </w:tcPr>
          <w:p>
            <w:pPr>
              <w:spacing w:before="50" w:after="50"/>
            </w:pPr>
            <w:r>
              <w:rPr>
                <w:rFonts w:ascii="Calibri" w:hAnsi="Calibri"/>
                <w:b w:val="0"/>
                <w:i w:val="0"/>
                <w:color w:val="444444"/>
                <w:sz w:val="19"/>
              </w:rPr>
              <w:t>Secondary — DR Failover</w:t>
            </w:r>
          </w:p>
        </w:tc>
        <w:tc>
          <w:tcPr>
            <w:tcW w:type="dxa" w:w="4535"/>
            <w:shd w:val="clear" w:color="auto" w:fill="FFFFFF"/>
          </w:tcPr>
          <w:p>
            <w:pPr>
              <w:spacing w:before="50" w:after="50"/>
            </w:pPr>
            <w:r>
              <w:rPr>
                <w:rFonts w:ascii="Calibri" w:hAnsi="Calibri"/>
                <w:b w:val="0"/>
                <w:i w:val="0"/>
                <w:color w:val="444444"/>
                <w:sz w:val="19"/>
              </w:rPr>
              <w:t>RDS Read Replica, S3 Cross-Region Replication, Lambda (cold standby)</w:t>
            </w:r>
          </w:p>
        </w:tc>
      </w:tr>
      <w:tr>
        <w:tc>
          <w:tcPr>
            <w:tcW w:type="dxa" w:w="2551"/>
            <w:shd w:val="clear" w:color="auto" w:fill="F0F4FF"/>
          </w:tcPr>
          <w:p>
            <w:pPr>
              <w:spacing w:before="50" w:after="50"/>
            </w:pPr>
            <w:r>
              <w:rPr>
                <w:rFonts w:ascii="Calibri" w:hAnsi="Calibri"/>
                <w:b/>
                <w:i w:val="0"/>
                <w:color w:val="444444"/>
                <w:sz w:val="19"/>
              </w:rPr>
              <w:t>us-east-1 (N. Virginia)</w:t>
            </w:r>
          </w:p>
        </w:tc>
        <w:tc>
          <w:tcPr>
            <w:tcW w:type="dxa" w:w="2268"/>
            <w:shd w:val="clear" w:color="auto" w:fill="F0F4FF"/>
          </w:tcPr>
          <w:p>
            <w:pPr>
              <w:spacing w:before="50" w:after="50"/>
            </w:pPr>
            <w:r>
              <w:rPr>
                <w:rFonts w:ascii="Calibri" w:hAnsi="Calibri"/>
                <w:b w:val="0"/>
                <w:i w:val="0"/>
                <w:color w:val="444444"/>
                <w:sz w:val="19"/>
              </w:rPr>
              <w:t>Global — CDN Edge</w:t>
            </w:r>
          </w:p>
        </w:tc>
        <w:tc>
          <w:tcPr>
            <w:tcW w:type="dxa" w:w="4535"/>
            <w:shd w:val="clear" w:color="auto" w:fill="F0F4FF"/>
          </w:tcPr>
          <w:p>
            <w:pPr>
              <w:spacing w:before="50" w:after="50"/>
            </w:pPr>
            <w:r>
              <w:rPr>
                <w:rFonts w:ascii="Calibri" w:hAnsi="Calibri"/>
                <w:b w:val="0"/>
                <w:i w:val="0"/>
                <w:color w:val="444444"/>
                <w:sz w:val="19"/>
              </w:rPr>
              <w:t>CloudFront distribution (global PoPs), Route 53 DNS</w:t>
            </w:r>
          </w:p>
        </w:tc>
      </w:tr>
    </w:tbl>
    <w:p/>
    <w:p>
      <w:pPr>
        <w:spacing w:before="80" w:after="80"/>
        <w:pBdr>
          <w:bottom w:val="single" w:sz="6" w:space="1" w:color="1B3A6B"/>
        </w:pBdr>
      </w:pPr>
    </w:p>
    <w:p>
      <w:pPr>
        <w:spacing w:before="200" w:after="80"/>
      </w:pPr>
      <w:r>
        <w:rPr>
          <w:rFonts w:ascii="Calibri" w:hAnsi="Calibri"/>
          <w:b/>
          <w:i w:val="0"/>
          <w:color w:val="1B3A6B"/>
          <w:sz w:val="36"/>
        </w:rPr>
        <w:t>03  Failsafe &amp; Redundancy Architecture</w:t>
      </w:r>
    </w:p>
    <w:p>
      <w:pPr>
        <w:spacing w:before="60" w:after="80"/>
      </w:pPr>
      <w:r>
        <w:rPr>
          <w:rFonts w:ascii="Calibri" w:hAnsi="Calibri"/>
          <w:b w:val="0"/>
          <w:i w:val="0"/>
          <w:color w:val="444444"/>
          <w:sz w:val="21"/>
        </w:rPr>
        <w:t>A duty of care platform must be held to a higher availability standard than a standard enterprise SaaS product. If the platform goes offline during an active incident, the organisation loses situational awareness at precisely the moment it needs it most. The failsafe architecture is designed around a 99.9% uptime target (less than 9 hours downtime per year) with full emergency functionality maintained even during partial outages.</w:t>
      </w:r>
    </w:p>
    <w:p>
      <w:pPr>
        <w:spacing w:before="200" w:after="80"/>
      </w:pPr>
      <w:r>
        <w:rPr>
          <w:rFonts w:ascii="Calibri" w:hAnsi="Calibri"/>
          <w:b/>
          <w:i w:val="0"/>
          <w:color w:val="2563EB"/>
          <w:sz w:val="28"/>
          <w:u w:val="none"/>
        </w:rPr>
        <w:t>3.1  Redundancy Layers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984"/>
            <w:shd w:val="clear" w:color="auto" w:fill="1B3A6B"/>
          </w:tcPr>
          <w:p>
            <w:pPr>
              <w:jc w:val="left"/>
              <w:spacing w:before="60" w:after="60"/>
            </w:pPr>
            <w:r>
              <w:rPr>
                <w:rFonts w:ascii="Calibri" w:hAnsi="Calibri"/>
                <w:b/>
                <w:i w:val="0"/>
                <w:color w:val="FFFFFF"/>
                <w:sz w:val="19"/>
              </w:rPr>
              <w:t>Layer</w:t>
            </w:r>
          </w:p>
        </w:tc>
        <w:tc>
          <w:tcPr>
            <w:tcW w:type="dxa" w:w="2268"/>
            <w:shd w:val="clear" w:color="auto" w:fill="1B3A6B"/>
          </w:tcPr>
          <w:p>
            <w:pPr>
              <w:jc w:val="left"/>
              <w:spacing w:before="60" w:after="60"/>
            </w:pPr>
            <w:r>
              <w:rPr>
                <w:rFonts w:ascii="Calibri" w:hAnsi="Calibri"/>
                <w:b/>
                <w:i w:val="0"/>
                <w:color w:val="FFFFFF"/>
                <w:sz w:val="19"/>
              </w:rPr>
              <w:t>Risk Mitigated</w:t>
            </w:r>
          </w:p>
        </w:tc>
        <w:tc>
          <w:tcPr>
            <w:tcW w:type="dxa" w:w="3685"/>
            <w:shd w:val="clear" w:color="auto" w:fill="1B3A6B"/>
          </w:tcPr>
          <w:p>
            <w:pPr>
              <w:jc w:val="left"/>
              <w:spacing w:before="60" w:after="60"/>
            </w:pPr>
            <w:r>
              <w:rPr>
                <w:rFonts w:ascii="Calibri" w:hAnsi="Calibri"/>
                <w:b/>
                <w:i w:val="0"/>
                <w:color w:val="FFFFFF"/>
                <w:sz w:val="19"/>
              </w:rPr>
              <w:t>Implementation</w:t>
            </w:r>
          </w:p>
        </w:tc>
        <w:tc>
          <w:tcPr>
            <w:tcW w:type="dxa" w:w="1701"/>
            <w:shd w:val="clear" w:color="auto" w:fill="1B3A6B"/>
          </w:tcPr>
          <w:p>
            <w:pPr>
              <w:jc w:val="left"/>
              <w:spacing w:before="60" w:after="60"/>
            </w:pPr>
            <w:r>
              <w:rPr>
                <w:rFonts w:ascii="Calibri" w:hAnsi="Calibri"/>
                <w:b/>
                <w:i w:val="0"/>
                <w:color w:val="FFFFFF"/>
                <w:sz w:val="19"/>
              </w:rPr>
              <w:t>RTO / RPO</w:t>
            </w:r>
          </w:p>
        </w:tc>
      </w:tr>
      <w:tr>
        <w:tc>
          <w:tcPr>
            <w:tcW w:type="dxa" w:w="1984"/>
            <w:shd w:val="clear" w:color="auto" w:fill="F0F4FF"/>
          </w:tcPr>
          <w:p>
            <w:pPr>
              <w:spacing w:before="50" w:after="50"/>
            </w:pPr>
            <w:r>
              <w:rPr>
                <w:rFonts w:ascii="Calibri" w:hAnsi="Calibri"/>
                <w:b/>
                <w:i w:val="0"/>
                <w:color w:val="444444"/>
                <w:sz w:val="19"/>
              </w:rPr>
              <w:t>Database</w:t>
            </w:r>
          </w:p>
        </w:tc>
        <w:tc>
          <w:tcPr>
            <w:tcW w:type="dxa" w:w="2268"/>
            <w:shd w:val="clear" w:color="auto" w:fill="F0F4FF"/>
          </w:tcPr>
          <w:p>
            <w:pPr>
              <w:spacing w:before="50" w:after="50"/>
            </w:pPr>
            <w:r>
              <w:rPr>
                <w:rFonts w:ascii="Calibri" w:hAnsi="Calibri"/>
                <w:b w:val="0"/>
                <w:i w:val="0"/>
                <w:color w:val="444444"/>
                <w:sz w:val="19"/>
              </w:rPr>
              <w:t>RDS instance failure</w:t>
            </w:r>
          </w:p>
        </w:tc>
        <w:tc>
          <w:tcPr>
            <w:tcW w:type="dxa" w:w="3685"/>
            <w:shd w:val="clear" w:color="auto" w:fill="F0F4FF"/>
          </w:tcPr>
          <w:p>
            <w:pPr>
              <w:spacing w:before="50" w:after="50"/>
            </w:pPr>
            <w:r>
              <w:rPr>
                <w:rFonts w:ascii="Calibri" w:hAnsi="Calibri"/>
                <w:b w:val="0"/>
                <w:i w:val="0"/>
                <w:color w:val="444444"/>
                <w:sz w:val="19"/>
              </w:rPr>
              <w:t>Multi-AZ RDS deployment — automatic failover to standby replica within same region</w:t>
            </w:r>
          </w:p>
        </w:tc>
        <w:tc>
          <w:tcPr>
            <w:tcW w:type="dxa" w:w="1701"/>
            <w:shd w:val="clear" w:color="auto" w:fill="F0F4FF"/>
          </w:tcPr>
          <w:p>
            <w:pPr>
              <w:spacing w:before="50" w:after="50"/>
            </w:pPr>
            <w:r>
              <w:rPr>
                <w:rFonts w:ascii="Calibri" w:hAnsi="Calibri"/>
                <w:b w:val="0"/>
                <w:i w:val="0"/>
                <w:color w:val="444444"/>
                <w:sz w:val="19"/>
              </w:rPr>
              <w:t>RTO: &lt;2 min / RPO: ~0</w:t>
            </w:r>
          </w:p>
        </w:tc>
      </w:tr>
      <w:tr>
        <w:tc>
          <w:tcPr>
            <w:tcW w:type="dxa" w:w="1984"/>
            <w:shd w:val="clear" w:color="auto" w:fill="FFFFFF"/>
          </w:tcPr>
          <w:p>
            <w:pPr>
              <w:spacing w:before="50" w:after="50"/>
            </w:pPr>
            <w:r>
              <w:rPr>
                <w:rFonts w:ascii="Calibri" w:hAnsi="Calibri"/>
                <w:b/>
                <w:i w:val="0"/>
                <w:color w:val="444444"/>
                <w:sz w:val="19"/>
              </w:rPr>
              <w:t>Cross-region DB</w:t>
            </w:r>
          </w:p>
        </w:tc>
        <w:tc>
          <w:tcPr>
            <w:tcW w:type="dxa" w:w="2268"/>
            <w:shd w:val="clear" w:color="auto" w:fill="FFFFFF"/>
          </w:tcPr>
          <w:p>
            <w:pPr>
              <w:spacing w:before="50" w:after="50"/>
            </w:pPr>
            <w:r>
              <w:rPr>
                <w:rFonts w:ascii="Calibri" w:hAnsi="Calibri"/>
                <w:b w:val="0"/>
                <w:i w:val="0"/>
                <w:color w:val="444444"/>
                <w:sz w:val="19"/>
              </w:rPr>
              <w:t>Cape Town region outage</w:t>
            </w:r>
          </w:p>
        </w:tc>
        <w:tc>
          <w:tcPr>
            <w:tcW w:type="dxa" w:w="3685"/>
            <w:shd w:val="clear" w:color="auto" w:fill="FFFFFF"/>
          </w:tcPr>
          <w:p>
            <w:pPr>
              <w:spacing w:before="50" w:after="50"/>
            </w:pPr>
            <w:r>
              <w:rPr>
                <w:rFonts w:ascii="Calibri" w:hAnsi="Calibri"/>
                <w:b w:val="0"/>
                <w:i w:val="0"/>
                <w:color w:val="444444"/>
                <w:sz w:val="19"/>
              </w:rPr>
              <w:t>RDS Read Replica in Frankfurt — promoted to primary on region failure</w:t>
            </w:r>
          </w:p>
        </w:tc>
        <w:tc>
          <w:tcPr>
            <w:tcW w:type="dxa" w:w="1701"/>
            <w:shd w:val="clear" w:color="auto" w:fill="FFFFFF"/>
          </w:tcPr>
          <w:p>
            <w:pPr>
              <w:spacing w:before="50" w:after="50"/>
            </w:pPr>
            <w:r>
              <w:rPr>
                <w:rFonts w:ascii="Calibri" w:hAnsi="Calibri"/>
                <w:b w:val="0"/>
                <w:i w:val="0"/>
                <w:color w:val="444444"/>
                <w:sz w:val="19"/>
              </w:rPr>
              <w:t>RTO: &lt;15 min / RPO: &lt;5 min</w:t>
            </w:r>
          </w:p>
        </w:tc>
      </w:tr>
      <w:tr>
        <w:tc>
          <w:tcPr>
            <w:tcW w:type="dxa" w:w="1984"/>
            <w:shd w:val="clear" w:color="auto" w:fill="F0F4FF"/>
          </w:tcPr>
          <w:p>
            <w:pPr>
              <w:spacing w:before="50" w:after="50"/>
            </w:pPr>
            <w:r>
              <w:rPr>
                <w:rFonts w:ascii="Calibri" w:hAnsi="Calibri"/>
                <w:b/>
                <w:i w:val="0"/>
                <w:color w:val="444444"/>
                <w:sz w:val="19"/>
              </w:rPr>
              <w:t>Application</w:t>
            </w:r>
          </w:p>
        </w:tc>
        <w:tc>
          <w:tcPr>
            <w:tcW w:type="dxa" w:w="2268"/>
            <w:shd w:val="clear" w:color="auto" w:fill="F0F4FF"/>
          </w:tcPr>
          <w:p>
            <w:pPr>
              <w:spacing w:before="50" w:after="50"/>
            </w:pPr>
            <w:r>
              <w:rPr>
                <w:rFonts w:ascii="Calibri" w:hAnsi="Calibri"/>
                <w:b w:val="0"/>
                <w:i w:val="0"/>
                <w:color w:val="444444"/>
                <w:sz w:val="19"/>
              </w:rPr>
              <w:t>Lambda / API Gateway failure</w:t>
            </w:r>
          </w:p>
        </w:tc>
        <w:tc>
          <w:tcPr>
            <w:tcW w:type="dxa" w:w="3685"/>
            <w:shd w:val="clear" w:color="auto" w:fill="F0F4FF"/>
          </w:tcPr>
          <w:p>
            <w:pPr>
              <w:spacing w:before="50" w:after="50"/>
            </w:pPr>
            <w:r>
              <w:rPr>
                <w:rFonts w:ascii="Calibri" w:hAnsi="Calibri"/>
                <w:b w:val="0"/>
                <w:i w:val="0"/>
                <w:color w:val="444444"/>
                <w:sz w:val="19"/>
              </w:rPr>
              <w:t>AWS auto-scales Lambda; API Gateway is fully managed with 99.95% SLA</w:t>
            </w:r>
          </w:p>
        </w:tc>
        <w:tc>
          <w:tcPr>
            <w:tcW w:type="dxa" w:w="1701"/>
            <w:shd w:val="clear" w:color="auto" w:fill="F0F4FF"/>
          </w:tcPr>
          <w:p>
            <w:pPr>
              <w:spacing w:before="50" w:after="50"/>
            </w:pPr>
            <w:r>
              <w:rPr>
                <w:rFonts w:ascii="Calibri" w:hAnsi="Calibri"/>
                <w:b w:val="0"/>
                <w:i w:val="0"/>
                <w:color w:val="444444"/>
                <w:sz w:val="19"/>
              </w:rPr>
              <w:t>Managed by AWS</w:t>
            </w:r>
          </w:p>
        </w:tc>
      </w:tr>
      <w:tr>
        <w:tc>
          <w:tcPr>
            <w:tcW w:type="dxa" w:w="1984"/>
            <w:shd w:val="clear" w:color="auto" w:fill="FFFFFF"/>
          </w:tcPr>
          <w:p>
            <w:pPr>
              <w:spacing w:before="50" w:after="50"/>
            </w:pPr>
            <w:r>
              <w:rPr>
                <w:rFonts w:ascii="Calibri" w:hAnsi="Calibri"/>
                <w:b/>
                <w:i w:val="0"/>
                <w:color w:val="444444"/>
                <w:sz w:val="19"/>
              </w:rPr>
              <w:t>Frontend</w:t>
            </w:r>
          </w:p>
        </w:tc>
        <w:tc>
          <w:tcPr>
            <w:tcW w:type="dxa" w:w="2268"/>
            <w:shd w:val="clear" w:color="auto" w:fill="FFFFFF"/>
          </w:tcPr>
          <w:p>
            <w:pPr>
              <w:spacing w:before="50" w:after="50"/>
            </w:pPr>
            <w:r>
              <w:rPr>
                <w:rFonts w:ascii="Calibri" w:hAnsi="Calibri"/>
                <w:b w:val="0"/>
                <w:i w:val="0"/>
                <w:color w:val="444444"/>
                <w:sz w:val="19"/>
              </w:rPr>
              <w:t>Vercel / hosting failure</w:t>
            </w:r>
          </w:p>
        </w:tc>
        <w:tc>
          <w:tcPr>
            <w:tcW w:type="dxa" w:w="3685"/>
            <w:shd w:val="clear" w:color="auto" w:fill="FFFFFF"/>
          </w:tcPr>
          <w:p>
            <w:pPr>
              <w:spacing w:before="50" w:after="50"/>
            </w:pPr>
            <w:r>
              <w:rPr>
                <w:rFonts w:ascii="Calibri" w:hAnsi="Calibri"/>
                <w:b w:val="0"/>
                <w:i w:val="0"/>
                <w:color w:val="444444"/>
                <w:sz w:val="19"/>
              </w:rPr>
              <w:t>Static frontend served via CloudFront from S3 — no single server to fail</w:t>
            </w:r>
          </w:p>
        </w:tc>
        <w:tc>
          <w:tcPr>
            <w:tcW w:type="dxa" w:w="1701"/>
            <w:shd w:val="clear" w:color="auto" w:fill="FFFFFF"/>
          </w:tcPr>
          <w:p>
            <w:pPr>
              <w:spacing w:before="50" w:after="50"/>
            </w:pPr>
            <w:r>
              <w:rPr>
                <w:rFonts w:ascii="Calibri" w:hAnsi="Calibri"/>
                <w:b w:val="0"/>
                <w:i w:val="0"/>
                <w:color w:val="444444"/>
                <w:sz w:val="19"/>
              </w:rPr>
              <w:t>RTO: ~0 (CDN cached)</w:t>
            </w:r>
          </w:p>
        </w:tc>
      </w:tr>
      <w:tr>
        <w:tc>
          <w:tcPr>
            <w:tcW w:type="dxa" w:w="1984"/>
            <w:shd w:val="clear" w:color="auto" w:fill="F0F4FF"/>
          </w:tcPr>
          <w:p>
            <w:pPr>
              <w:spacing w:before="50" w:after="50"/>
            </w:pPr>
            <w:r>
              <w:rPr>
                <w:rFonts w:ascii="Calibri" w:hAnsi="Calibri"/>
                <w:b/>
                <w:i w:val="0"/>
                <w:color w:val="444444"/>
                <w:sz w:val="19"/>
              </w:rPr>
              <w:t>DNS</w:t>
            </w:r>
          </w:p>
        </w:tc>
        <w:tc>
          <w:tcPr>
            <w:tcW w:type="dxa" w:w="2268"/>
            <w:shd w:val="clear" w:color="auto" w:fill="F0F4FF"/>
          </w:tcPr>
          <w:p>
            <w:pPr>
              <w:spacing w:before="50" w:after="50"/>
            </w:pPr>
            <w:r>
              <w:rPr>
                <w:rFonts w:ascii="Calibri" w:hAnsi="Calibri"/>
                <w:b w:val="0"/>
                <w:i w:val="0"/>
                <w:color w:val="444444"/>
                <w:sz w:val="19"/>
              </w:rPr>
              <w:t>Single DNS point of failure</w:t>
            </w:r>
          </w:p>
        </w:tc>
        <w:tc>
          <w:tcPr>
            <w:tcW w:type="dxa" w:w="3685"/>
            <w:shd w:val="clear" w:color="auto" w:fill="F0F4FF"/>
          </w:tcPr>
          <w:p>
            <w:pPr>
              <w:spacing w:before="50" w:after="50"/>
            </w:pPr>
            <w:r>
              <w:rPr>
                <w:rFonts w:ascii="Calibri" w:hAnsi="Calibri"/>
                <w:b w:val="0"/>
                <w:i w:val="0"/>
                <w:color w:val="444444"/>
                <w:sz w:val="19"/>
              </w:rPr>
              <w:t>AWS Route 53 with health-check routing — fails over to secondary region automatically</w:t>
            </w:r>
          </w:p>
        </w:tc>
        <w:tc>
          <w:tcPr>
            <w:tcW w:type="dxa" w:w="1701"/>
            <w:shd w:val="clear" w:color="auto" w:fill="F0F4FF"/>
          </w:tcPr>
          <w:p>
            <w:pPr>
              <w:spacing w:before="50" w:after="50"/>
            </w:pPr>
            <w:r>
              <w:rPr>
                <w:rFonts w:ascii="Calibri" w:hAnsi="Calibri"/>
                <w:b w:val="0"/>
                <w:i w:val="0"/>
                <w:color w:val="444444"/>
                <w:sz w:val="19"/>
              </w:rPr>
              <w:t>RTO: &lt;60 sec</w:t>
            </w:r>
          </w:p>
        </w:tc>
      </w:tr>
      <w:tr>
        <w:tc>
          <w:tcPr>
            <w:tcW w:type="dxa" w:w="1984"/>
            <w:shd w:val="clear" w:color="auto" w:fill="FFFFFF"/>
          </w:tcPr>
          <w:p>
            <w:pPr>
              <w:spacing w:before="50" w:after="50"/>
            </w:pPr>
            <w:r>
              <w:rPr>
                <w:rFonts w:ascii="Calibri" w:hAnsi="Calibri"/>
                <w:b/>
                <w:i w:val="0"/>
                <w:color w:val="444444"/>
                <w:sz w:val="19"/>
              </w:rPr>
              <w:t>Intelligence feeds</w:t>
            </w:r>
          </w:p>
        </w:tc>
        <w:tc>
          <w:tcPr>
            <w:tcW w:type="dxa" w:w="2268"/>
            <w:shd w:val="clear" w:color="auto" w:fill="FFFFFF"/>
          </w:tcPr>
          <w:p>
            <w:pPr>
              <w:spacing w:before="50" w:after="50"/>
            </w:pPr>
            <w:r>
              <w:rPr>
                <w:rFonts w:ascii="Calibri" w:hAnsi="Calibri"/>
                <w:b w:val="0"/>
                <w:i w:val="0"/>
                <w:color w:val="444444"/>
                <w:sz w:val="19"/>
              </w:rPr>
              <w:t>Feed provider outage</w:t>
            </w:r>
          </w:p>
        </w:tc>
        <w:tc>
          <w:tcPr>
            <w:tcW w:type="dxa" w:w="3685"/>
            <w:shd w:val="clear" w:color="auto" w:fill="FFFFFF"/>
          </w:tcPr>
          <w:p>
            <w:pPr>
              <w:spacing w:before="50" w:after="50"/>
            </w:pPr>
            <w:r>
              <w:rPr>
                <w:rFonts w:ascii="Calibri" w:hAnsi="Calibri"/>
                <w:b w:val="0"/>
                <w:i w:val="0"/>
                <w:color w:val="444444"/>
                <w:sz w:val="19"/>
              </w:rPr>
              <w:t>Last-known-good alert cache maintained in RDS. Alerts stay active until explicitly resolved</w:t>
            </w:r>
          </w:p>
        </w:tc>
        <w:tc>
          <w:tcPr>
            <w:tcW w:type="dxa" w:w="1701"/>
            <w:shd w:val="clear" w:color="auto" w:fill="FFFFFF"/>
          </w:tcPr>
          <w:p>
            <w:pPr>
              <w:spacing w:before="50" w:after="50"/>
            </w:pPr>
            <w:r>
              <w:rPr>
                <w:rFonts w:ascii="Calibri" w:hAnsi="Calibri"/>
                <w:b w:val="0"/>
                <w:i w:val="0"/>
                <w:color w:val="444444"/>
                <w:sz w:val="19"/>
              </w:rPr>
              <w:t>No visible impact</w:t>
            </w:r>
          </w:p>
        </w:tc>
      </w:tr>
      <w:tr>
        <w:tc>
          <w:tcPr>
            <w:tcW w:type="dxa" w:w="1984"/>
            <w:shd w:val="clear" w:color="auto" w:fill="F0F4FF"/>
          </w:tcPr>
          <w:p>
            <w:pPr>
              <w:spacing w:before="50" w:after="50"/>
            </w:pPr>
            <w:r>
              <w:rPr>
                <w:rFonts w:ascii="Calibri" w:hAnsi="Calibri"/>
                <w:b/>
                <w:i w:val="0"/>
                <w:color w:val="444444"/>
                <w:sz w:val="19"/>
              </w:rPr>
              <w:t>Notifications</w:t>
            </w:r>
          </w:p>
        </w:tc>
        <w:tc>
          <w:tcPr>
            <w:tcW w:type="dxa" w:w="2268"/>
            <w:shd w:val="clear" w:color="auto" w:fill="F0F4FF"/>
          </w:tcPr>
          <w:p>
            <w:pPr>
              <w:spacing w:before="50" w:after="50"/>
            </w:pPr>
            <w:r>
              <w:rPr>
                <w:rFonts w:ascii="Calibri" w:hAnsi="Calibri"/>
                <w:b w:val="0"/>
                <w:i w:val="0"/>
                <w:color w:val="444444"/>
                <w:sz w:val="19"/>
              </w:rPr>
              <w:t>SNS/SES outage</w:t>
            </w:r>
          </w:p>
        </w:tc>
        <w:tc>
          <w:tcPr>
            <w:tcW w:type="dxa" w:w="3685"/>
            <w:shd w:val="clear" w:color="auto" w:fill="F0F4FF"/>
          </w:tcPr>
          <w:p>
            <w:pPr>
              <w:spacing w:before="50" w:after="50"/>
            </w:pPr>
            <w:r>
              <w:rPr>
                <w:rFonts w:ascii="Calibri" w:hAnsi="Calibri"/>
                <w:b w:val="0"/>
                <w:i w:val="0"/>
                <w:color w:val="444444"/>
                <w:sz w:val="19"/>
              </w:rPr>
              <w:t>Fallback SMS via secondary provider (Twilio). Email fallback via SendGrid</w:t>
            </w:r>
          </w:p>
        </w:tc>
        <w:tc>
          <w:tcPr>
            <w:tcW w:type="dxa" w:w="1701"/>
            <w:shd w:val="clear" w:color="auto" w:fill="F0F4FF"/>
          </w:tcPr>
          <w:p>
            <w:pPr>
              <w:spacing w:before="50" w:after="50"/>
            </w:pPr>
            <w:r>
              <w:rPr>
                <w:rFonts w:ascii="Calibri" w:hAnsi="Calibri"/>
                <w:b w:val="0"/>
                <w:i w:val="0"/>
                <w:color w:val="444444"/>
                <w:sz w:val="19"/>
              </w:rPr>
              <w:t>Automatic</w:t>
            </w:r>
          </w:p>
        </w:tc>
      </w:tr>
      <w:tr>
        <w:tc>
          <w:tcPr>
            <w:tcW w:type="dxa" w:w="1984"/>
            <w:shd w:val="clear" w:color="auto" w:fill="FFFFFF"/>
          </w:tcPr>
          <w:p>
            <w:pPr>
              <w:spacing w:before="50" w:after="50"/>
            </w:pPr>
            <w:r>
              <w:rPr>
                <w:rFonts w:ascii="Calibri" w:hAnsi="Calibri"/>
                <w:b/>
                <w:i w:val="0"/>
                <w:color w:val="444444"/>
                <w:sz w:val="19"/>
              </w:rPr>
              <w:t>Authentication</w:t>
            </w:r>
          </w:p>
        </w:tc>
        <w:tc>
          <w:tcPr>
            <w:tcW w:type="dxa" w:w="2268"/>
            <w:shd w:val="clear" w:color="auto" w:fill="FFFFFF"/>
          </w:tcPr>
          <w:p>
            <w:pPr>
              <w:spacing w:before="50" w:after="50"/>
            </w:pPr>
            <w:r>
              <w:rPr>
                <w:rFonts w:ascii="Calibri" w:hAnsi="Calibri"/>
                <w:b w:val="0"/>
                <w:i w:val="0"/>
                <w:color w:val="444444"/>
                <w:sz w:val="19"/>
              </w:rPr>
              <w:t>Cognito outage</w:t>
            </w:r>
          </w:p>
        </w:tc>
        <w:tc>
          <w:tcPr>
            <w:tcW w:type="dxa" w:w="3685"/>
            <w:shd w:val="clear" w:color="auto" w:fill="FFFFFF"/>
          </w:tcPr>
          <w:p>
            <w:pPr>
              <w:spacing w:before="50" w:after="50"/>
            </w:pPr>
            <w:r>
              <w:rPr>
                <w:rFonts w:ascii="Calibri" w:hAnsi="Calibri"/>
                <w:b w:val="0"/>
                <w:i w:val="0"/>
                <w:color w:val="444444"/>
                <w:sz w:val="19"/>
              </w:rPr>
              <w:t>Short-lived JWT tokens cached client-side. Users stay logged in up to 24h without re-auth</w:t>
            </w:r>
          </w:p>
        </w:tc>
        <w:tc>
          <w:tcPr>
            <w:tcW w:type="dxa" w:w="1701"/>
            <w:shd w:val="clear" w:color="auto" w:fill="FFFFFF"/>
          </w:tcPr>
          <w:p>
            <w:pPr>
              <w:spacing w:before="50" w:after="50"/>
            </w:pPr>
            <w:r>
              <w:rPr>
                <w:rFonts w:ascii="Calibri" w:hAnsi="Calibri"/>
                <w:b w:val="0"/>
                <w:i w:val="0"/>
                <w:color w:val="444444"/>
                <w:sz w:val="19"/>
              </w:rPr>
              <w:t>RTO: transparent</w:t>
            </w:r>
          </w:p>
        </w:tc>
      </w:tr>
    </w:tbl>
    <w:p/>
    <w:p>
      <w:pPr>
        <w:spacing w:before="200" w:after="80"/>
      </w:pPr>
      <w:r>
        <w:rPr>
          <w:rFonts w:ascii="Calibri" w:hAnsi="Calibri"/>
          <w:b/>
          <w:i w:val="0"/>
          <w:color w:val="2563EB"/>
          <w:sz w:val="28"/>
          <w:u w:val="none"/>
        </w:rPr>
        <w:t>3.2  Offline Mode (PWA)</w:t>
      </w:r>
    </w:p>
    <w:p>
      <w:pPr>
        <w:spacing w:before="60" w:after="80"/>
      </w:pPr>
      <w:r>
        <w:rPr>
          <w:rFonts w:ascii="Calibri" w:hAnsi="Calibri"/>
          <w:b w:val="0"/>
          <w:i w:val="0"/>
          <w:color w:val="444444"/>
          <w:sz w:val="21"/>
        </w:rPr>
        <w:t>The React frontend should be progressively enhanced to operate as a Progressive Web App (PWA) with a service worker caching strategy. This ensures travellers retain access to critical information even when they have no internet connectivity — a realistic scenario in the DRC, rural Kenya, or during flight.</w:t>
      </w:r>
    </w:p>
    <w:p>
      <w:pPr>
        <w:pStyle w:val="ListBullet"/>
        <w:spacing w:before="20" w:after="20"/>
      </w:pPr>
      <w:r>
        <w:rPr>
          <w:rFonts w:ascii="Calibri" w:hAnsi="Calibri"/>
          <w:b w:val="0"/>
          <w:i w:val="0"/>
          <w:color w:val="444444"/>
          <w:sz w:val="21"/>
        </w:rPr>
        <w:t>Last-known itinerary data cached locally via IndexedDB on the traveller's device. Updated whenever connectivity is available.</w:t>
      </w:r>
    </w:p>
    <w:p>
      <w:pPr>
        <w:pStyle w:val="ListBullet"/>
        <w:spacing w:before="20" w:after="20"/>
      </w:pPr>
      <w:r>
        <w:rPr>
          <w:rFonts w:ascii="Calibri" w:hAnsi="Calibri"/>
          <w:b w:val="0"/>
          <w:i w:val="0"/>
          <w:color w:val="444444"/>
          <w:sz w:val="21"/>
        </w:rPr>
        <w:t>Active alerts for the traveller's current trip cached and readable offline.</w:t>
      </w:r>
    </w:p>
    <w:p>
      <w:pPr>
        <w:pStyle w:val="ListBullet"/>
        <w:spacing w:before="20" w:after="20"/>
      </w:pPr>
      <w:r>
        <w:rPr>
          <w:rFonts w:ascii="Calibri" w:hAnsi="Calibri"/>
          <w:b w:val="0"/>
          <w:i w:val="0"/>
          <w:color w:val="444444"/>
          <w:sz w:val="21"/>
        </w:rPr>
        <w:t>Emergency contacts list cached permanently — always accessible without connectivity.</w:t>
      </w:r>
    </w:p>
    <w:p>
      <w:pPr>
        <w:pStyle w:val="ListBullet"/>
        <w:spacing w:before="20" w:after="20"/>
      </w:pPr>
      <w:r>
        <w:rPr>
          <w:rFonts w:ascii="Calibri" w:hAnsi="Calibri"/>
          <w:b w:val="0"/>
          <w:i w:val="0"/>
          <w:color w:val="444444"/>
          <w:sz w:val="21"/>
        </w:rPr>
        <w:t>SOS location data queued locally if connectivity is lost during an SOS event. Transmitted automatically when connection is restored.</w:t>
      </w:r>
    </w:p>
    <w:p>
      <w:pPr>
        <w:pStyle w:val="ListBullet"/>
        <w:spacing w:before="20" w:after="20"/>
      </w:pPr>
      <w:r>
        <w:rPr>
          <w:rFonts w:ascii="Calibri" w:hAnsi="Calibri"/>
          <w:b w:val="0"/>
          <w:i w:val="0"/>
          <w:color w:val="444444"/>
          <w:sz w:val="21"/>
        </w:rPr>
        <w:t>Check-in acknowledgements queued offline and synced on reconnection. Escalation timer paused during verified network outage.</w:t>
      </w:r>
    </w:p>
    <w:p>
      <w:pPr>
        <w:pStyle w:val="ListBullet"/>
        <w:spacing w:before="20" w:after="20"/>
      </w:pPr>
      <w:r>
        <w:rPr>
          <w:rFonts w:ascii="Calibri" w:hAnsi="Calibri"/>
          <w:b w:val="0"/>
          <w:i w:val="0"/>
          <w:color w:val="444444"/>
          <w:sz w:val="21"/>
        </w:rPr>
        <w:t>Admin dashboard provides a connectivity indicator and a "last synced" timestamp so the security desk knows when data was last refreshed.</w:t>
      </w:r>
    </w:p>
    <w:p/>
    <w:p>
      <w:pPr>
        <w:spacing w:before="200" w:after="80"/>
      </w:pPr>
      <w:r>
        <w:rPr>
          <w:rFonts w:ascii="Calibri" w:hAnsi="Calibri"/>
          <w:b/>
          <w:i w:val="0"/>
          <w:color w:val="2563EB"/>
          <w:sz w:val="28"/>
          <w:u w:val="none"/>
        </w:rPr>
        <w:t>3.3  Health Monitoring &amp; Alerting</w:t>
      </w:r>
    </w:p>
    <w:p>
      <w:pPr>
        <w:spacing w:before="60" w:after="80"/>
      </w:pPr>
      <w:r>
        <w:rPr>
          <w:rFonts w:ascii="Calibri" w:hAnsi="Calibri"/>
          <w:b w:val="0"/>
          <w:i w:val="0"/>
          <w:color w:val="444444"/>
          <w:sz w:val="21"/>
        </w:rPr>
        <w:t>The platform itself must be monitored with the same rigour it applies to traveller safety. A self-monitoring stack ensures the team is aware of any degradation before clients are impacted.</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984"/>
            <w:shd w:val="clear" w:color="auto" w:fill="1B3A6B"/>
          </w:tcPr>
          <w:p>
            <w:pPr>
              <w:jc w:val="left"/>
              <w:spacing w:before="60" w:after="60"/>
            </w:pPr>
            <w:r>
              <w:rPr>
                <w:rFonts w:ascii="Calibri" w:hAnsi="Calibri"/>
                <w:b/>
                <w:i w:val="0"/>
                <w:color w:val="FFFFFF"/>
                <w:sz w:val="19"/>
              </w:rPr>
              <w:t>Monitor</w:t>
            </w:r>
          </w:p>
        </w:tc>
        <w:tc>
          <w:tcPr>
            <w:tcW w:type="dxa" w:w="1984"/>
            <w:shd w:val="clear" w:color="auto" w:fill="1B3A6B"/>
          </w:tcPr>
          <w:p>
            <w:pPr>
              <w:jc w:val="left"/>
              <w:spacing w:before="60" w:after="60"/>
            </w:pPr>
            <w:r>
              <w:rPr>
                <w:rFonts w:ascii="Calibri" w:hAnsi="Calibri"/>
                <w:b/>
                <w:i w:val="0"/>
                <w:color w:val="FFFFFF"/>
                <w:sz w:val="19"/>
              </w:rPr>
              <w:t>Tool</w:t>
            </w:r>
          </w:p>
        </w:tc>
        <w:tc>
          <w:tcPr>
            <w:tcW w:type="dxa" w:w="2835"/>
            <w:shd w:val="clear" w:color="auto" w:fill="1B3A6B"/>
          </w:tcPr>
          <w:p>
            <w:pPr>
              <w:jc w:val="left"/>
              <w:spacing w:before="60" w:after="60"/>
            </w:pPr>
            <w:r>
              <w:rPr>
                <w:rFonts w:ascii="Calibri" w:hAnsi="Calibri"/>
                <w:b/>
                <w:i w:val="0"/>
                <w:color w:val="FFFFFF"/>
                <w:sz w:val="19"/>
              </w:rPr>
              <w:t>Trigger</w:t>
            </w:r>
          </w:p>
        </w:tc>
        <w:tc>
          <w:tcPr>
            <w:tcW w:type="dxa" w:w="1984"/>
            <w:shd w:val="clear" w:color="auto" w:fill="1B3A6B"/>
          </w:tcPr>
          <w:p>
            <w:pPr>
              <w:jc w:val="left"/>
              <w:spacing w:before="60" w:after="60"/>
            </w:pPr>
            <w:r>
              <w:rPr>
                <w:rFonts w:ascii="Calibri" w:hAnsi="Calibri"/>
                <w:b/>
                <w:i w:val="0"/>
                <w:color w:val="FFFFFF"/>
                <w:sz w:val="19"/>
              </w:rPr>
              <w:t>Notification</w:t>
            </w:r>
          </w:p>
        </w:tc>
      </w:tr>
      <w:tr>
        <w:tc>
          <w:tcPr>
            <w:tcW w:type="dxa" w:w="1984"/>
            <w:shd w:val="clear" w:color="auto" w:fill="F0F4FF"/>
          </w:tcPr>
          <w:p>
            <w:pPr>
              <w:spacing w:before="50" w:after="50"/>
            </w:pPr>
            <w:r>
              <w:rPr>
                <w:rFonts w:ascii="Calibri" w:hAnsi="Calibri"/>
                <w:b/>
                <w:i w:val="0"/>
                <w:color w:val="444444"/>
                <w:sz w:val="19"/>
              </w:rPr>
              <w:t>API uptime</w:t>
            </w:r>
          </w:p>
        </w:tc>
        <w:tc>
          <w:tcPr>
            <w:tcW w:type="dxa" w:w="1984"/>
            <w:shd w:val="clear" w:color="auto" w:fill="F0F4FF"/>
          </w:tcPr>
          <w:p>
            <w:pPr>
              <w:spacing w:before="50" w:after="50"/>
            </w:pPr>
            <w:r>
              <w:rPr>
                <w:rFonts w:ascii="Calibri" w:hAnsi="Calibri"/>
                <w:b w:val="0"/>
                <w:i w:val="0"/>
                <w:color w:val="444444"/>
                <w:sz w:val="19"/>
              </w:rPr>
              <w:t>AWS CloudWatch Synthetics</w:t>
            </w:r>
          </w:p>
        </w:tc>
        <w:tc>
          <w:tcPr>
            <w:tcW w:type="dxa" w:w="2835"/>
            <w:shd w:val="clear" w:color="auto" w:fill="F0F4FF"/>
          </w:tcPr>
          <w:p>
            <w:pPr>
              <w:spacing w:before="50" w:after="50"/>
            </w:pPr>
            <w:r>
              <w:rPr>
                <w:rFonts w:ascii="Calibri" w:hAnsi="Calibri"/>
                <w:b w:val="0"/>
                <w:i w:val="0"/>
                <w:color w:val="444444"/>
                <w:sz w:val="19"/>
              </w:rPr>
              <w:t>Endpoint unresponsive for 60 sec</w:t>
            </w:r>
          </w:p>
        </w:tc>
        <w:tc>
          <w:tcPr>
            <w:tcW w:type="dxa" w:w="1984"/>
            <w:shd w:val="clear" w:color="auto" w:fill="F0F4FF"/>
          </w:tcPr>
          <w:p>
            <w:pPr>
              <w:spacing w:before="50" w:after="50"/>
            </w:pPr>
            <w:r>
              <w:rPr>
                <w:rFonts w:ascii="Calibri" w:hAnsi="Calibri"/>
                <w:b w:val="0"/>
                <w:i w:val="0"/>
                <w:color w:val="444444"/>
                <w:sz w:val="19"/>
              </w:rPr>
              <w:t>SMS + email to ops team</w:t>
            </w:r>
          </w:p>
        </w:tc>
      </w:tr>
      <w:tr>
        <w:tc>
          <w:tcPr>
            <w:tcW w:type="dxa" w:w="1984"/>
            <w:shd w:val="clear" w:color="auto" w:fill="FFFFFF"/>
          </w:tcPr>
          <w:p>
            <w:pPr>
              <w:spacing w:before="50" w:after="50"/>
            </w:pPr>
            <w:r>
              <w:rPr>
                <w:rFonts w:ascii="Calibri" w:hAnsi="Calibri"/>
                <w:b/>
                <w:i w:val="0"/>
                <w:color w:val="444444"/>
                <w:sz w:val="19"/>
              </w:rPr>
              <w:t>Database health</w:t>
            </w:r>
          </w:p>
        </w:tc>
        <w:tc>
          <w:tcPr>
            <w:tcW w:type="dxa" w:w="1984"/>
            <w:shd w:val="clear" w:color="auto" w:fill="FFFFFF"/>
          </w:tcPr>
          <w:p>
            <w:pPr>
              <w:spacing w:before="50" w:after="50"/>
            </w:pPr>
            <w:r>
              <w:rPr>
                <w:rFonts w:ascii="Calibri" w:hAnsi="Calibri"/>
                <w:b w:val="0"/>
                <w:i w:val="0"/>
                <w:color w:val="444444"/>
                <w:sz w:val="19"/>
              </w:rPr>
              <w:t>AWS RDS Enhanced Monitoring</w:t>
            </w:r>
          </w:p>
        </w:tc>
        <w:tc>
          <w:tcPr>
            <w:tcW w:type="dxa" w:w="2835"/>
            <w:shd w:val="clear" w:color="auto" w:fill="FFFFFF"/>
          </w:tcPr>
          <w:p>
            <w:pPr>
              <w:spacing w:before="50" w:after="50"/>
            </w:pPr>
            <w:r>
              <w:rPr>
                <w:rFonts w:ascii="Calibri" w:hAnsi="Calibri"/>
                <w:b w:val="0"/>
                <w:i w:val="0"/>
                <w:color w:val="444444"/>
                <w:sz w:val="19"/>
              </w:rPr>
              <w:t>CPU &gt;80%, connections &gt;90%, storage &lt;20%</w:t>
            </w:r>
          </w:p>
        </w:tc>
        <w:tc>
          <w:tcPr>
            <w:tcW w:type="dxa" w:w="1984"/>
            <w:shd w:val="clear" w:color="auto" w:fill="FFFFFF"/>
          </w:tcPr>
          <w:p>
            <w:pPr>
              <w:spacing w:before="50" w:after="50"/>
            </w:pPr>
            <w:r>
              <w:rPr>
                <w:rFonts w:ascii="Calibri" w:hAnsi="Calibri"/>
                <w:b w:val="0"/>
                <w:i w:val="0"/>
                <w:color w:val="444444"/>
                <w:sz w:val="19"/>
              </w:rPr>
              <w:t>CloudWatch alarm → SNS</w:t>
            </w:r>
          </w:p>
        </w:tc>
      </w:tr>
      <w:tr>
        <w:tc>
          <w:tcPr>
            <w:tcW w:type="dxa" w:w="1984"/>
            <w:shd w:val="clear" w:color="auto" w:fill="F0F4FF"/>
          </w:tcPr>
          <w:p>
            <w:pPr>
              <w:spacing w:before="50" w:after="50"/>
            </w:pPr>
            <w:r>
              <w:rPr>
                <w:rFonts w:ascii="Calibri" w:hAnsi="Calibri"/>
                <w:b/>
                <w:i w:val="0"/>
                <w:color w:val="444444"/>
                <w:sz w:val="19"/>
              </w:rPr>
              <w:t>Feed ingestion</w:t>
            </w:r>
          </w:p>
        </w:tc>
        <w:tc>
          <w:tcPr>
            <w:tcW w:type="dxa" w:w="1984"/>
            <w:shd w:val="clear" w:color="auto" w:fill="F0F4FF"/>
          </w:tcPr>
          <w:p>
            <w:pPr>
              <w:spacing w:before="50" w:after="50"/>
            </w:pPr>
            <w:r>
              <w:rPr>
                <w:rFonts w:ascii="Calibri" w:hAnsi="Calibri"/>
                <w:b w:val="0"/>
                <w:i w:val="0"/>
                <w:color w:val="444444"/>
                <w:sz w:val="19"/>
              </w:rPr>
              <w:t>CloudWatch custom metric</w:t>
            </w:r>
          </w:p>
        </w:tc>
        <w:tc>
          <w:tcPr>
            <w:tcW w:type="dxa" w:w="2835"/>
            <w:shd w:val="clear" w:color="auto" w:fill="F0F4FF"/>
          </w:tcPr>
          <w:p>
            <w:pPr>
              <w:spacing w:before="50" w:after="50"/>
            </w:pPr>
            <w:r>
              <w:rPr>
                <w:rFonts w:ascii="Calibri" w:hAnsi="Calibri"/>
                <w:b w:val="0"/>
                <w:i w:val="0"/>
                <w:color w:val="444444"/>
                <w:sz w:val="19"/>
              </w:rPr>
              <w:t>No new alerts ingested from a feed in &gt;12 hours</w:t>
            </w:r>
          </w:p>
        </w:tc>
        <w:tc>
          <w:tcPr>
            <w:tcW w:type="dxa" w:w="1984"/>
            <w:shd w:val="clear" w:color="auto" w:fill="F0F4FF"/>
          </w:tcPr>
          <w:p>
            <w:pPr>
              <w:spacing w:before="50" w:after="50"/>
            </w:pPr>
            <w:r>
              <w:rPr>
                <w:rFonts w:ascii="Calibri" w:hAnsi="Calibri"/>
                <w:b w:val="0"/>
                <w:i w:val="0"/>
                <w:color w:val="444444"/>
                <w:sz w:val="19"/>
              </w:rPr>
              <w:t>Email to admin</w:t>
            </w:r>
          </w:p>
        </w:tc>
      </w:tr>
      <w:tr>
        <w:tc>
          <w:tcPr>
            <w:tcW w:type="dxa" w:w="1984"/>
            <w:shd w:val="clear" w:color="auto" w:fill="FFFFFF"/>
          </w:tcPr>
          <w:p>
            <w:pPr>
              <w:spacing w:before="50" w:after="50"/>
            </w:pPr>
            <w:r>
              <w:rPr>
                <w:rFonts w:ascii="Calibri" w:hAnsi="Calibri"/>
                <w:b/>
                <w:i w:val="0"/>
                <w:color w:val="444444"/>
                <w:sz w:val="19"/>
              </w:rPr>
              <w:t>Lambda errors</w:t>
            </w:r>
          </w:p>
        </w:tc>
        <w:tc>
          <w:tcPr>
            <w:tcW w:type="dxa" w:w="1984"/>
            <w:shd w:val="clear" w:color="auto" w:fill="FFFFFF"/>
          </w:tcPr>
          <w:p>
            <w:pPr>
              <w:spacing w:before="50" w:after="50"/>
            </w:pPr>
            <w:r>
              <w:rPr>
                <w:rFonts w:ascii="Calibri" w:hAnsi="Calibri"/>
                <w:b w:val="0"/>
                <w:i w:val="0"/>
                <w:color w:val="444444"/>
                <w:sz w:val="19"/>
              </w:rPr>
              <w:t>CloudWatch Logs Insights</w:t>
            </w:r>
          </w:p>
        </w:tc>
        <w:tc>
          <w:tcPr>
            <w:tcW w:type="dxa" w:w="2835"/>
            <w:shd w:val="clear" w:color="auto" w:fill="FFFFFF"/>
          </w:tcPr>
          <w:p>
            <w:pPr>
              <w:spacing w:before="50" w:after="50"/>
            </w:pPr>
            <w:r>
              <w:rPr>
                <w:rFonts w:ascii="Calibri" w:hAnsi="Calibri"/>
                <w:b w:val="0"/>
                <w:i w:val="0"/>
                <w:color w:val="444444"/>
                <w:sz w:val="19"/>
              </w:rPr>
              <w:t>Error rate &gt;1% in 5-min window</w:t>
            </w:r>
          </w:p>
        </w:tc>
        <w:tc>
          <w:tcPr>
            <w:tcW w:type="dxa" w:w="1984"/>
            <w:shd w:val="clear" w:color="auto" w:fill="FFFFFF"/>
          </w:tcPr>
          <w:p>
            <w:pPr>
              <w:spacing w:before="50" w:after="50"/>
            </w:pPr>
            <w:r>
              <w:rPr>
                <w:rFonts w:ascii="Calibri" w:hAnsi="Calibri"/>
                <w:b w:val="0"/>
                <w:i w:val="0"/>
                <w:color w:val="444444"/>
                <w:sz w:val="19"/>
              </w:rPr>
              <w:t>PagerDuty / SMS to on-call</w:t>
            </w:r>
          </w:p>
        </w:tc>
      </w:tr>
      <w:tr>
        <w:tc>
          <w:tcPr>
            <w:tcW w:type="dxa" w:w="1984"/>
            <w:shd w:val="clear" w:color="auto" w:fill="F0F4FF"/>
          </w:tcPr>
          <w:p>
            <w:pPr>
              <w:spacing w:before="50" w:after="50"/>
            </w:pPr>
            <w:r>
              <w:rPr>
                <w:rFonts w:ascii="Calibri" w:hAnsi="Calibri"/>
                <w:b/>
                <w:i w:val="0"/>
                <w:color w:val="444444"/>
                <w:sz w:val="19"/>
              </w:rPr>
              <w:t>Authentication failures</w:t>
            </w:r>
          </w:p>
        </w:tc>
        <w:tc>
          <w:tcPr>
            <w:tcW w:type="dxa" w:w="1984"/>
            <w:shd w:val="clear" w:color="auto" w:fill="F0F4FF"/>
          </w:tcPr>
          <w:p>
            <w:pPr>
              <w:spacing w:before="50" w:after="50"/>
            </w:pPr>
            <w:r>
              <w:rPr>
                <w:rFonts w:ascii="Calibri" w:hAnsi="Calibri"/>
                <w:b w:val="0"/>
                <w:i w:val="0"/>
                <w:color w:val="444444"/>
                <w:sz w:val="19"/>
              </w:rPr>
              <w:t>Cognito CloudWatch logs</w:t>
            </w:r>
          </w:p>
        </w:tc>
        <w:tc>
          <w:tcPr>
            <w:tcW w:type="dxa" w:w="2835"/>
            <w:shd w:val="clear" w:color="auto" w:fill="F0F4FF"/>
          </w:tcPr>
          <w:p>
            <w:pPr>
              <w:spacing w:before="50" w:after="50"/>
            </w:pPr>
            <w:r>
              <w:rPr>
                <w:rFonts w:ascii="Calibri" w:hAnsi="Calibri"/>
                <w:b w:val="0"/>
                <w:i w:val="0"/>
                <w:color w:val="444444"/>
                <w:sz w:val="19"/>
              </w:rPr>
              <w:t>&gt;10 failed logins from same IP in 1 min</w:t>
            </w:r>
          </w:p>
        </w:tc>
        <w:tc>
          <w:tcPr>
            <w:tcW w:type="dxa" w:w="1984"/>
            <w:shd w:val="clear" w:color="auto" w:fill="F0F4FF"/>
          </w:tcPr>
          <w:p>
            <w:pPr>
              <w:spacing w:before="50" w:after="50"/>
            </w:pPr>
            <w:r>
              <w:rPr>
                <w:rFonts w:ascii="Calibri" w:hAnsi="Calibri"/>
                <w:b w:val="0"/>
                <w:i w:val="0"/>
                <w:color w:val="444444"/>
                <w:sz w:val="19"/>
              </w:rPr>
              <w:t>GuardDuty + block via WAF</w:t>
            </w:r>
          </w:p>
        </w:tc>
      </w:tr>
      <w:tr>
        <w:tc>
          <w:tcPr>
            <w:tcW w:type="dxa" w:w="1984"/>
            <w:shd w:val="clear" w:color="auto" w:fill="FFFFFF"/>
          </w:tcPr>
          <w:p>
            <w:pPr>
              <w:spacing w:before="50" w:after="50"/>
            </w:pPr>
            <w:r>
              <w:rPr>
                <w:rFonts w:ascii="Calibri" w:hAnsi="Calibri"/>
                <w:b/>
                <w:i w:val="0"/>
                <w:color w:val="444444"/>
                <w:sz w:val="19"/>
              </w:rPr>
              <w:t>Scheduled check-ins</w:t>
            </w:r>
          </w:p>
        </w:tc>
        <w:tc>
          <w:tcPr>
            <w:tcW w:type="dxa" w:w="1984"/>
            <w:shd w:val="clear" w:color="auto" w:fill="FFFFFF"/>
          </w:tcPr>
          <w:p>
            <w:pPr>
              <w:spacing w:before="50" w:after="50"/>
            </w:pPr>
            <w:r>
              <w:rPr>
                <w:rFonts w:ascii="Calibri" w:hAnsi="Calibri"/>
                <w:b w:val="0"/>
                <w:i w:val="0"/>
                <w:color w:val="444444"/>
                <w:sz w:val="19"/>
              </w:rPr>
              <w:t>EventBridge + Lambda</w:t>
            </w:r>
          </w:p>
        </w:tc>
        <w:tc>
          <w:tcPr>
            <w:tcW w:type="dxa" w:w="2835"/>
            <w:shd w:val="clear" w:color="auto" w:fill="FFFFFF"/>
          </w:tcPr>
          <w:p>
            <w:pPr>
              <w:spacing w:before="50" w:after="50"/>
            </w:pPr>
            <w:r>
              <w:rPr>
                <w:rFonts w:ascii="Calibri" w:hAnsi="Calibri"/>
                <w:b w:val="0"/>
                <w:i w:val="0"/>
                <w:color w:val="444444"/>
                <w:sz w:val="19"/>
              </w:rPr>
              <w:t>Check-in overdue by 30 min</w:t>
            </w:r>
          </w:p>
        </w:tc>
        <w:tc>
          <w:tcPr>
            <w:tcW w:type="dxa" w:w="1984"/>
            <w:shd w:val="clear" w:color="auto" w:fill="FFFFFF"/>
          </w:tcPr>
          <w:p>
            <w:pPr>
              <w:spacing w:before="50" w:after="50"/>
            </w:pPr>
            <w:r>
              <w:rPr>
                <w:rFonts w:ascii="Calibri" w:hAnsi="Calibri"/>
                <w:b w:val="0"/>
                <w:i w:val="0"/>
                <w:color w:val="444444"/>
                <w:sz w:val="19"/>
              </w:rPr>
              <w:t>Escalation to security desk</w:t>
            </w:r>
          </w:p>
        </w:tc>
      </w:tr>
      <w:tr>
        <w:tc>
          <w:tcPr>
            <w:tcW w:type="dxa" w:w="1984"/>
            <w:shd w:val="clear" w:color="auto" w:fill="F0F4FF"/>
          </w:tcPr>
          <w:p>
            <w:pPr>
              <w:spacing w:before="50" w:after="50"/>
            </w:pPr>
            <w:r>
              <w:rPr>
                <w:rFonts w:ascii="Calibri" w:hAnsi="Calibri"/>
                <w:b/>
                <w:i w:val="0"/>
                <w:color w:val="444444"/>
                <w:sz w:val="19"/>
              </w:rPr>
              <w:t>Replication lag</w:t>
            </w:r>
          </w:p>
        </w:tc>
        <w:tc>
          <w:tcPr>
            <w:tcW w:type="dxa" w:w="1984"/>
            <w:shd w:val="clear" w:color="auto" w:fill="F0F4FF"/>
          </w:tcPr>
          <w:p>
            <w:pPr>
              <w:spacing w:before="50" w:after="50"/>
            </w:pPr>
            <w:r>
              <w:rPr>
                <w:rFonts w:ascii="Calibri" w:hAnsi="Calibri"/>
                <w:b w:val="0"/>
                <w:i w:val="0"/>
                <w:color w:val="444444"/>
                <w:sz w:val="19"/>
              </w:rPr>
              <w:t>RDS CloudWatch</w:t>
            </w:r>
          </w:p>
        </w:tc>
        <w:tc>
          <w:tcPr>
            <w:tcW w:type="dxa" w:w="2835"/>
            <w:shd w:val="clear" w:color="auto" w:fill="F0F4FF"/>
          </w:tcPr>
          <w:p>
            <w:pPr>
              <w:spacing w:before="50" w:after="50"/>
            </w:pPr>
            <w:r>
              <w:rPr>
                <w:rFonts w:ascii="Calibri" w:hAnsi="Calibri"/>
                <w:b w:val="0"/>
                <w:i w:val="0"/>
                <w:color w:val="444444"/>
                <w:sz w:val="19"/>
              </w:rPr>
              <w:t>Frankfurt replica lag &gt;5 min</w:t>
            </w:r>
          </w:p>
        </w:tc>
        <w:tc>
          <w:tcPr>
            <w:tcW w:type="dxa" w:w="1984"/>
            <w:shd w:val="clear" w:color="auto" w:fill="F0F4FF"/>
          </w:tcPr>
          <w:p>
            <w:pPr>
              <w:spacing w:before="50" w:after="50"/>
            </w:pPr>
            <w:r>
              <w:rPr>
                <w:rFonts w:ascii="Calibri" w:hAnsi="Calibri"/>
                <w:b w:val="0"/>
                <w:i w:val="0"/>
                <w:color w:val="444444"/>
                <w:sz w:val="19"/>
              </w:rPr>
              <w:t>CloudWatch alarm → SNS</w:t>
            </w:r>
          </w:p>
        </w:tc>
      </w:tr>
    </w:tbl>
    <w:p/>
    <w:p>
      <w:pPr>
        <w:spacing w:before="200" w:after="80"/>
      </w:pPr>
      <w:r>
        <w:rPr>
          <w:rFonts w:ascii="Calibri" w:hAnsi="Calibri"/>
          <w:b/>
          <w:i w:val="0"/>
          <w:color w:val="2563EB"/>
          <w:sz w:val="28"/>
          <w:u w:val="none"/>
        </w:rPr>
        <w:t>3.4  Incident Response Runbook</w:t>
      </w:r>
    </w:p>
    <w:p>
      <w:pPr>
        <w:spacing w:before="60" w:after="80"/>
      </w:pPr>
      <w:r>
        <w:rPr>
          <w:rFonts w:ascii="Calibri" w:hAnsi="Calibri"/>
          <w:b w:val="0"/>
          <w:i w:val="0"/>
          <w:color w:val="444444"/>
          <w:sz w:val="21"/>
        </w:rPr>
        <w:t>A documented runbook should be maintained alongside this architecture so the operations team can respond consistently to each failure scenario without depending on any single individual's knowledge.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984"/>
            <w:shd w:val="clear" w:color="auto" w:fill="1B3A6B"/>
          </w:tcPr>
          <w:p>
            <w:pPr>
              <w:jc w:val="left"/>
              <w:spacing w:before="60" w:after="60"/>
            </w:pPr>
            <w:r>
              <w:rPr>
                <w:rFonts w:ascii="Calibri" w:hAnsi="Calibri"/>
                <w:b/>
                <w:i w:val="0"/>
                <w:color w:val="FFFFFF"/>
                <w:sz w:val="19"/>
              </w:rPr>
              <w:t>Scenario</w:t>
            </w:r>
          </w:p>
        </w:tc>
        <w:tc>
          <w:tcPr>
            <w:tcW w:type="dxa" w:w="1984"/>
            <w:shd w:val="clear" w:color="auto" w:fill="1B3A6B"/>
          </w:tcPr>
          <w:p>
            <w:pPr>
              <w:jc w:val="left"/>
              <w:spacing w:before="60" w:after="60"/>
            </w:pPr>
            <w:r>
              <w:rPr>
                <w:rFonts w:ascii="Calibri" w:hAnsi="Calibri"/>
                <w:b/>
                <w:i w:val="0"/>
                <w:color w:val="FFFFFF"/>
                <w:sz w:val="19"/>
              </w:rPr>
              <w:t>Detection</w:t>
            </w:r>
          </w:p>
        </w:tc>
        <w:tc>
          <w:tcPr>
            <w:tcW w:type="dxa" w:w="2551"/>
            <w:shd w:val="clear" w:color="auto" w:fill="1B3A6B"/>
          </w:tcPr>
          <w:p>
            <w:pPr>
              <w:jc w:val="left"/>
              <w:spacing w:before="60" w:after="60"/>
            </w:pPr>
            <w:r>
              <w:rPr>
                <w:rFonts w:ascii="Calibri" w:hAnsi="Calibri"/>
                <w:b/>
                <w:i w:val="0"/>
                <w:color w:val="FFFFFF"/>
                <w:sz w:val="19"/>
              </w:rPr>
              <w:t>Automatic Response</w:t>
            </w:r>
          </w:p>
        </w:tc>
        <w:tc>
          <w:tcPr>
            <w:tcW w:type="dxa" w:w="2551"/>
            <w:shd w:val="clear" w:color="auto" w:fill="1B3A6B"/>
          </w:tcPr>
          <w:p>
            <w:pPr>
              <w:jc w:val="left"/>
              <w:spacing w:before="60" w:after="60"/>
            </w:pPr>
            <w:r>
              <w:rPr>
                <w:rFonts w:ascii="Calibri" w:hAnsi="Calibri"/>
                <w:b/>
                <w:i w:val="0"/>
                <w:color w:val="FFFFFF"/>
                <w:sz w:val="19"/>
              </w:rPr>
              <w:t>Manual Escalation</w:t>
            </w:r>
          </w:p>
        </w:tc>
      </w:tr>
      <w:tr>
        <w:tc>
          <w:tcPr>
            <w:tcW w:type="dxa" w:w="1984"/>
            <w:shd w:val="clear" w:color="auto" w:fill="F0F4FF"/>
          </w:tcPr>
          <w:p>
            <w:pPr>
              <w:spacing w:before="50" w:after="50"/>
            </w:pPr>
            <w:r>
              <w:rPr>
                <w:rFonts w:ascii="Calibri" w:hAnsi="Calibri"/>
                <w:b/>
                <w:i w:val="0"/>
                <w:color w:val="444444"/>
                <w:sz w:val="19"/>
              </w:rPr>
              <w:t>Primary database failure</w:t>
            </w:r>
          </w:p>
        </w:tc>
        <w:tc>
          <w:tcPr>
            <w:tcW w:type="dxa" w:w="1984"/>
            <w:shd w:val="clear" w:color="auto" w:fill="F0F4FF"/>
          </w:tcPr>
          <w:p>
            <w:pPr>
              <w:spacing w:before="50" w:after="50"/>
            </w:pPr>
            <w:r>
              <w:rPr>
                <w:rFonts w:ascii="Calibri" w:hAnsi="Calibri"/>
                <w:b w:val="0"/>
                <w:i w:val="0"/>
                <w:color w:val="444444"/>
                <w:sz w:val="19"/>
              </w:rPr>
              <w:t>RDS health check fails</w:t>
            </w:r>
          </w:p>
        </w:tc>
        <w:tc>
          <w:tcPr>
            <w:tcW w:type="dxa" w:w="2551"/>
            <w:shd w:val="clear" w:color="auto" w:fill="F0F4FF"/>
          </w:tcPr>
          <w:p>
            <w:pPr>
              <w:spacing w:before="50" w:after="50"/>
            </w:pPr>
            <w:r>
              <w:rPr>
                <w:rFonts w:ascii="Calibri" w:hAnsi="Calibri"/>
                <w:b w:val="0"/>
                <w:i w:val="0"/>
                <w:color w:val="444444"/>
                <w:sz w:val="19"/>
              </w:rPr>
              <w:t>Multi-AZ failover — automatic (&lt;2 min)</w:t>
            </w:r>
          </w:p>
        </w:tc>
        <w:tc>
          <w:tcPr>
            <w:tcW w:type="dxa" w:w="2551"/>
            <w:shd w:val="clear" w:color="auto" w:fill="F0F4FF"/>
          </w:tcPr>
          <w:p>
            <w:pPr>
              <w:spacing w:before="50" w:after="50"/>
            </w:pPr>
            <w:r>
              <w:rPr>
                <w:rFonts w:ascii="Calibri" w:hAnsi="Calibri"/>
                <w:b w:val="0"/>
                <w:i w:val="0"/>
                <w:color w:val="444444"/>
                <w:sz w:val="19"/>
              </w:rPr>
              <w:t>Verify failover, notify clients if &gt;5 min</w:t>
            </w:r>
          </w:p>
        </w:tc>
      </w:tr>
      <w:tr>
        <w:tc>
          <w:tcPr>
            <w:tcW w:type="dxa" w:w="1984"/>
            <w:shd w:val="clear" w:color="auto" w:fill="FFFFFF"/>
          </w:tcPr>
          <w:p>
            <w:pPr>
              <w:spacing w:before="50" w:after="50"/>
            </w:pPr>
            <w:r>
              <w:rPr>
                <w:rFonts w:ascii="Calibri" w:hAnsi="Calibri"/>
                <w:b/>
                <w:i w:val="0"/>
                <w:color w:val="444444"/>
                <w:sz w:val="19"/>
              </w:rPr>
              <w:t>Cape Town region outage</w:t>
            </w:r>
          </w:p>
        </w:tc>
        <w:tc>
          <w:tcPr>
            <w:tcW w:type="dxa" w:w="1984"/>
            <w:shd w:val="clear" w:color="auto" w:fill="FFFFFF"/>
          </w:tcPr>
          <w:p>
            <w:pPr>
              <w:spacing w:before="50" w:after="50"/>
            </w:pPr>
            <w:r>
              <w:rPr>
                <w:rFonts w:ascii="Calibri" w:hAnsi="Calibri"/>
                <w:b w:val="0"/>
                <w:i w:val="0"/>
                <w:color w:val="444444"/>
                <w:sz w:val="19"/>
              </w:rPr>
              <w:t>Route 53 health check fails</w:t>
            </w:r>
          </w:p>
        </w:tc>
        <w:tc>
          <w:tcPr>
            <w:tcW w:type="dxa" w:w="2551"/>
            <w:shd w:val="clear" w:color="auto" w:fill="FFFFFF"/>
          </w:tcPr>
          <w:p>
            <w:pPr>
              <w:spacing w:before="50" w:after="50"/>
            </w:pPr>
            <w:r>
              <w:rPr>
                <w:rFonts w:ascii="Calibri" w:hAnsi="Calibri"/>
                <w:b w:val="0"/>
                <w:i w:val="0"/>
                <w:color w:val="444444"/>
                <w:sz w:val="19"/>
              </w:rPr>
              <w:t>DNS failover to Frankfurt replica</w:t>
            </w:r>
          </w:p>
        </w:tc>
        <w:tc>
          <w:tcPr>
            <w:tcW w:type="dxa" w:w="2551"/>
            <w:shd w:val="clear" w:color="auto" w:fill="FFFFFF"/>
          </w:tcPr>
          <w:p>
            <w:pPr>
              <w:spacing w:before="50" w:after="50"/>
            </w:pPr>
            <w:r>
              <w:rPr>
                <w:rFonts w:ascii="Calibri" w:hAnsi="Calibri"/>
                <w:b w:val="0"/>
                <w:i w:val="0"/>
                <w:color w:val="444444"/>
                <w:sz w:val="19"/>
              </w:rPr>
              <w:t>Promote replica to primary, update app config</w:t>
            </w:r>
          </w:p>
        </w:tc>
      </w:tr>
      <w:tr>
        <w:tc>
          <w:tcPr>
            <w:tcW w:type="dxa" w:w="1984"/>
            <w:shd w:val="clear" w:color="auto" w:fill="F0F4FF"/>
          </w:tcPr>
          <w:p>
            <w:pPr>
              <w:spacing w:before="50" w:after="50"/>
            </w:pPr>
            <w:r>
              <w:rPr>
                <w:rFonts w:ascii="Calibri" w:hAnsi="Calibri"/>
                <w:b/>
                <w:i w:val="0"/>
                <w:color w:val="444444"/>
                <w:sz w:val="19"/>
              </w:rPr>
              <w:t>Intelligence feed stops updating</w:t>
            </w:r>
          </w:p>
        </w:tc>
        <w:tc>
          <w:tcPr>
            <w:tcW w:type="dxa" w:w="1984"/>
            <w:shd w:val="clear" w:color="auto" w:fill="F0F4FF"/>
          </w:tcPr>
          <w:p>
            <w:pPr>
              <w:spacing w:before="50" w:after="50"/>
            </w:pPr>
            <w:r>
              <w:rPr>
                <w:rFonts w:ascii="Calibri" w:hAnsi="Calibri"/>
                <w:b w:val="0"/>
                <w:i w:val="0"/>
                <w:color w:val="444444"/>
                <w:sz w:val="19"/>
              </w:rPr>
              <w:t>CloudWatch metric alarm</w:t>
            </w:r>
          </w:p>
        </w:tc>
        <w:tc>
          <w:tcPr>
            <w:tcW w:type="dxa" w:w="2551"/>
            <w:shd w:val="clear" w:color="auto" w:fill="F0F4FF"/>
          </w:tcPr>
          <w:p>
            <w:pPr>
              <w:spacing w:before="50" w:after="50"/>
            </w:pPr>
            <w:r>
              <w:rPr>
                <w:rFonts w:ascii="Calibri" w:hAnsi="Calibri"/>
                <w:b w:val="0"/>
                <w:i w:val="0"/>
                <w:color w:val="444444"/>
                <w:sz w:val="19"/>
              </w:rPr>
              <w:t>Last-known alerts remain active</w:t>
            </w:r>
          </w:p>
        </w:tc>
        <w:tc>
          <w:tcPr>
            <w:tcW w:type="dxa" w:w="2551"/>
            <w:shd w:val="clear" w:color="auto" w:fill="F0F4FF"/>
          </w:tcPr>
          <w:p>
            <w:pPr>
              <w:spacing w:before="50" w:after="50"/>
            </w:pPr>
            <w:r>
              <w:rPr>
                <w:rFonts w:ascii="Calibri" w:hAnsi="Calibri"/>
                <w:b w:val="0"/>
                <w:i w:val="0"/>
                <w:color w:val="444444"/>
                <w:sz w:val="19"/>
              </w:rPr>
              <w:t>Investigate feed provider, send manual update to admins</w:t>
            </w:r>
          </w:p>
        </w:tc>
      </w:tr>
      <w:tr>
        <w:tc>
          <w:tcPr>
            <w:tcW w:type="dxa" w:w="1984"/>
            <w:shd w:val="clear" w:color="auto" w:fill="FFFFFF"/>
          </w:tcPr>
          <w:p>
            <w:pPr>
              <w:spacing w:before="50" w:after="50"/>
            </w:pPr>
            <w:r>
              <w:rPr>
                <w:rFonts w:ascii="Calibri" w:hAnsi="Calibri"/>
                <w:b/>
                <w:i w:val="0"/>
                <w:color w:val="444444"/>
                <w:sz w:val="19"/>
              </w:rPr>
              <w:t>Platform credential compromise</w:t>
            </w:r>
          </w:p>
        </w:tc>
        <w:tc>
          <w:tcPr>
            <w:tcW w:type="dxa" w:w="1984"/>
            <w:shd w:val="clear" w:color="auto" w:fill="FFFFFF"/>
          </w:tcPr>
          <w:p>
            <w:pPr>
              <w:spacing w:before="50" w:after="50"/>
            </w:pPr>
            <w:r>
              <w:rPr>
                <w:rFonts w:ascii="Calibri" w:hAnsi="Calibri"/>
                <w:b w:val="0"/>
                <w:i w:val="0"/>
                <w:color w:val="444444"/>
                <w:sz w:val="19"/>
              </w:rPr>
              <w:t>GuardDuty finding</w:t>
            </w:r>
          </w:p>
        </w:tc>
        <w:tc>
          <w:tcPr>
            <w:tcW w:type="dxa" w:w="2551"/>
            <w:shd w:val="clear" w:color="auto" w:fill="FFFFFF"/>
          </w:tcPr>
          <w:p>
            <w:pPr>
              <w:spacing w:before="50" w:after="50"/>
            </w:pPr>
            <w:r>
              <w:rPr>
                <w:rFonts w:ascii="Calibri" w:hAnsi="Calibri"/>
                <w:b w:val="0"/>
                <w:i w:val="0"/>
                <w:color w:val="444444"/>
                <w:sz w:val="19"/>
              </w:rPr>
              <w:t>WAF auto-blocks IP; high-severity IAM alarm</w:t>
            </w:r>
          </w:p>
        </w:tc>
        <w:tc>
          <w:tcPr>
            <w:tcW w:type="dxa" w:w="2551"/>
            <w:shd w:val="clear" w:color="auto" w:fill="FFFFFF"/>
          </w:tcPr>
          <w:p>
            <w:pPr>
              <w:spacing w:before="50" w:after="50"/>
            </w:pPr>
            <w:r>
              <w:rPr>
                <w:rFonts w:ascii="Calibri" w:hAnsi="Calibri"/>
                <w:b w:val="0"/>
                <w:i w:val="0"/>
                <w:color w:val="444444"/>
                <w:sz w:val="19"/>
              </w:rPr>
              <w:t>Rotate all secrets via Secrets Manager, audit CloudTrail</w:t>
            </w:r>
          </w:p>
        </w:tc>
      </w:tr>
      <w:tr>
        <w:tc>
          <w:tcPr>
            <w:tcW w:type="dxa" w:w="1984"/>
            <w:shd w:val="clear" w:color="auto" w:fill="F0F4FF"/>
          </w:tcPr>
          <w:p>
            <w:pPr>
              <w:spacing w:before="50" w:after="50"/>
            </w:pPr>
            <w:r>
              <w:rPr>
                <w:rFonts w:ascii="Calibri" w:hAnsi="Calibri"/>
                <w:b/>
                <w:i w:val="0"/>
                <w:color w:val="444444"/>
                <w:sz w:val="19"/>
              </w:rPr>
              <w:t>Mass notification failure (SNS/SES)</w:t>
            </w:r>
          </w:p>
        </w:tc>
        <w:tc>
          <w:tcPr>
            <w:tcW w:type="dxa" w:w="1984"/>
            <w:shd w:val="clear" w:color="auto" w:fill="F0F4FF"/>
          </w:tcPr>
          <w:p>
            <w:pPr>
              <w:spacing w:before="50" w:after="50"/>
            </w:pPr>
            <w:r>
              <w:rPr>
                <w:rFonts w:ascii="Calibri" w:hAnsi="Calibri"/>
                <w:b w:val="0"/>
                <w:i w:val="0"/>
                <w:color w:val="444444"/>
                <w:sz w:val="19"/>
              </w:rPr>
              <w:t>Delivery failure metric</w:t>
            </w:r>
          </w:p>
        </w:tc>
        <w:tc>
          <w:tcPr>
            <w:tcW w:type="dxa" w:w="2551"/>
            <w:shd w:val="clear" w:color="auto" w:fill="F0F4FF"/>
          </w:tcPr>
          <w:p>
            <w:pPr>
              <w:spacing w:before="50" w:after="50"/>
            </w:pPr>
            <w:r>
              <w:rPr>
                <w:rFonts w:ascii="Calibri" w:hAnsi="Calibri"/>
                <w:b w:val="0"/>
                <w:i w:val="0"/>
                <w:color w:val="444444"/>
                <w:sz w:val="19"/>
              </w:rPr>
              <w:t>Failover to Twilio / SendGrid</w:t>
            </w:r>
          </w:p>
        </w:tc>
        <w:tc>
          <w:tcPr>
            <w:tcW w:type="dxa" w:w="2551"/>
            <w:shd w:val="clear" w:color="auto" w:fill="F0F4FF"/>
          </w:tcPr>
          <w:p>
            <w:pPr>
              <w:spacing w:before="50" w:after="50"/>
            </w:pPr>
            <w:r>
              <w:rPr>
                <w:rFonts w:ascii="Calibri" w:hAnsi="Calibri"/>
                <w:b w:val="0"/>
                <w:i w:val="0"/>
                <w:color w:val="444444"/>
                <w:sz w:val="19"/>
              </w:rPr>
              <w:t>Manual outreach to affected travellers if critical</w:t>
            </w:r>
          </w:p>
        </w:tc>
      </w:tr>
      <w:tr>
        <w:tc>
          <w:tcPr>
            <w:tcW w:type="dxa" w:w="1984"/>
            <w:shd w:val="clear" w:color="auto" w:fill="FFFFFF"/>
          </w:tcPr>
          <w:p>
            <w:pPr>
              <w:spacing w:before="50" w:after="50"/>
            </w:pPr>
            <w:r>
              <w:rPr>
                <w:rFonts w:ascii="Calibri" w:hAnsi="Calibri"/>
                <w:b/>
                <w:i w:val="0"/>
                <w:color w:val="444444"/>
                <w:sz w:val="19"/>
              </w:rPr>
              <w:t>Frontend CDN outage (CloudFront)</w:t>
            </w:r>
          </w:p>
        </w:tc>
        <w:tc>
          <w:tcPr>
            <w:tcW w:type="dxa" w:w="1984"/>
            <w:shd w:val="clear" w:color="auto" w:fill="FFFFFF"/>
          </w:tcPr>
          <w:p>
            <w:pPr>
              <w:spacing w:before="50" w:after="50"/>
            </w:pPr>
            <w:r>
              <w:rPr>
                <w:rFonts w:ascii="Calibri" w:hAnsi="Calibri"/>
                <w:b w:val="0"/>
                <w:i w:val="0"/>
                <w:color w:val="444444"/>
                <w:sz w:val="19"/>
              </w:rPr>
              <w:t>Synthetic monitor fails</w:t>
            </w:r>
          </w:p>
        </w:tc>
        <w:tc>
          <w:tcPr>
            <w:tcW w:type="dxa" w:w="2551"/>
            <w:shd w:val="clear" w:color="auto" w:fill="FFFFFF"/>
          </w:tcPr>
          <w:p>
            <w:pPr>
              <w:spacing w:before="50" w:after="50"/>
            </w:pPr>
            <w:r>
              <w:rPr>
                <w:rFonts w:ascii="Calibri" w:hAnsi="Calibri"/>
                <w:b w:val="0"/>
                <w:i w:val="0"/>
                <w:color w:val="444444"/>
                <w:sz w:val="19"/>
              </w:rPr>
              <w:t>S3 static hosting as fallback</w:t>
            </w:r>
          </w:p>
        </w:tc>
        <w:tc>
          <w:tcPr>
            <w:tcW w:type="dxa" w:w="2551"/>
            <w:shd w:val="clear" w:color="auto" w:fill="FFFFFF"/>
          </w:tcPr>
          <w:p>
            <w:pPr>
              <w:spacing w:before="50" w:after="50"/>
            </w:pPr>
            <w:r>
              <w:rPr>
                <w:rFonts w:ascii="Calibri" w:hAnsi="Calibri"/>
                <w:b w:val="0"/>
                <w:i w:val="0"/>
                <w:color w:val="444444"/>
                <w:sz w:val="19"/>
              </w:rPr>
              <w:t>Check CloudFront status, repoint DNS if needed</w:t>
            </w:r>
          </w:p>
        </w:tc>
      </w:tr>
    </w:tbl>
    <w:p/>
    <w:p>
      <w:pPr>
        <w:spacing w:before="80" w:after="80"/>
        <w:pBdr>
          <w:bottom w:val="single" w:sz="6" w:space="1" w:color="1B3A6B"/>
        </w:pBdr>
      </w:pPr>
    </w:p>
    <w:p>
      <w:pPr>
        <w:spacing w:before="200" w:after="80"/>
      </w:pPr>
      <w:r>
        <w:rPr>
          <w:rFonts w:ascii="Calibri" w:hAnsi="Calibri"/>
          <w:b/>
          <w:i w:val="0"/>
          <w:color w:val="1B3A6B"/>
          <w:sz w:val="36"/>
        </w:rPr>
        <w:t>04  Recommended Implementation Sequence</w:t>
      </w:r>
    </w:p>
    <w:p>
      <w:pPr>
        <w:spacing w:before="60" w:after="80"/>
      </w:pPr>
      <w:r>
        <w:rPr>
          <w:rFonts w:ascii="Calibri" w:hAnsi="Calibri"/>
          <w:b w:val="0"/>
          <w:i w:val="0"/>
          <w:color w:val="444444"/>
          <w:sz w:val="21"/>
        </w:rPr>
        <w:t>The three workstreams should be implemented in the sequence below. Phase 2A prioritises security and reliability foundations; Phase 2B adds intelligence automation; Phase 2C adds commercial intelligence and mobile capability.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814"/>
            <w:shd w:val="clear" w:color="auto" w:fill="1B3A6B"/>
          </w:tcPr>
          <w:p>
            <w:pPr>
              <w:jc w:val="left"/>
              <w:spacing w:before="60" w:after="60"/>
            </w:pPr>
            <w:r>
              <w:rPr>
                <w:rFonts w:ascii="Calibri" w:hAnsi="Calibri"/>
                <w:b/>
                <w:i w:val="0"/>
                <w:color w:val="FFFFFF"/>
                <w:sz w:val="19"/>
              </w:rPr>
              <w:t>Phase</w:t>
            </w:r>
          </w:p>
        </w:tc>
        <w:tc>
          <w:tcPr>
            <w:tcW w:type="dxa" w:w="1417"/>
            <w:shd w:val="clear" w:color="auto" w:fill="1B3A6B"/>
          </w:tcPr>
          <w:p>
            <w:pPr>
              <w:jc w:val="left"/>
              <w:spacing w:before="60" w:after="60"/>
            </w:pPr>
            <w:r>
              <w:rPr>
                <w:rFonts w:ascii="Calibri" w:hAnsi="Calibri"/>
                <w:b/>
                <w:i w:val="0"/>
                <w:color w:val="FFFFFF"/>
                <w:sz w:val="19"/>
              </w:rPr>
              <w:t>Duration</w:t>
            </w:r>
          </w:p>
        </w:tc>
        <w:tc>
          <w:tcPr>
            <w:tcW w:type="dxa" w:w="2268"/>
            <w:shd w:val="clear" w:color="auto" w:fill="1B3A6B"/>
          </w:tcPr>
          <w:p>
            <w:pPr>
              <w:jc w:val="left"/>
              <w:spacing w:before="60" w:after="60"/>
            </w:pPr>
            <w:r>
              <w:rPr>
                <w:rFonts w:ascii="Calibri" w:hAnsi="Calibri"/>
                <w:b/>
                <w:i w:val="0"/>
                <w:color w:val="FFFFFF"/>
                <w:sz w:val="19"/>
              </w:rPr>
              <w:t>Workstream</w:t>
            </w:r>
          </w:p>
        </w:tc>
        <w:tc>
          <w:tcPr>
            <w:tcW w:type="dxa" w:w="4139"/>
            <w:shd w:val="clear" w:color="auto" w:fill="1B3A6B"/>
          </w:tcPr>
          <w:p>
            <w:pPr>
              <w:jc w:val="left"/>
              <w:spacing w:before="60" w:after="60"/>
            </w:pPr>
            <w:r>
              <w:rPr>
                <w:rFonts w:ascii="Calibri" w:hAnsi="Calibri"/>
                <w:b/>
                <w:i w:val="0"/>
                <w:color w:val="FFFFFF"/>
                <w:sz w:val="19"/>
              </w:rPr>
              <w:t>Key Deliverables</w:t>
            </w:r>
          </w:p>
        </w:tc>
      </w:tr>
      <w:tr>
        <w:tc>
          <w:tcPr>
            <w:tcW w:type="dxa" w:w="1814"/>
            <w:shd w:val="clear" w:color="auto" w:fill="F0F4FF"/>
          </w:tcPr>
          <w:p>
            <w:pPr>
              <w:spacing w:before="50" w:after="50"/>
            </w:pPr>
            <w:r>
              <w:rPr>
                <w:rFonts w:ascii="Calibri" w:hAnsi="Calibri"/>
                <w:b/>
                <w:i w:val="0"/>
                <w:color w:val="444444"/>
                <w:sz w:val="19"/>
              </w:rPr>
              <w:t>2A — Foundation</w:t>
            </w:r>
          </w:p>
        </w:tc>
        <w:tc>
          <w:tcPr>
            <w:tcW w:type="dxa" w:w="1417"/>
            <w:shd w:val="clear" w:color="auto" w:fill="F0F4FF"/>
          </w:tcPr>
          <w:p>
            <w:pPr>
              <w:spacing w:before="50" w:after="50"/>
            </w:pPr>
            <w:r>
              <w:rPr>
                <w:rFonts w:ascii="Calibri" w:hAnsi="Calibri"/>
                <w:b w:val="0"/>
                <w:i w:val="0"/>
                <w:color w:val="444444"/>
                <w:sz w:val="19"/>
              </w:rPr>
              <w:t>Weeks 1–4</w:t>
            </w:r>
          </w:p>
        </w:tc>
        <w:tc>
          <w:tcPr>
            <w:tcW w:type="dxa" w:w="2268"/>
            <w:shd w:val="clear" w:color="auto" w:fill="F0F4FF"/>
          </w:tcPr>
          <w:p>
            <w:pPr>
              <w:spacing w:before="50" w:after="50"/>
            </w:pPr>
            <w:r>
              <w:rPr>
                <w:rFonts w:ascii="Calibri" w:hAnsi="Calibri"/>
                <w:b w:val="0"/>
                <w:i w:val="0"/>
                <w:color w:val="444444"/>
                <w:sz w:val="19"/>
              </w:rPr>
              <w:t>AWS Infrastructure</w:t>
            </w:r>
          </w:p>
        </w:tc>
        <w:tc>
          <w:tcPr>
            <w:tcW w:type="dxa" w:w="4139"/>
            <w:shd w:val="clear" w:color="auto" w:fill="F0F4FF"/>
          </w:tcPr>
          <w:p>
            <w:pPr>
              <w:spacing w:before="50" w:after="50"/>
            </w:pPr>
            <w:r>
              <w:rPr>
                <w:rFonts w:ascii="Calibri" w:hAnsi="Calibri"/>
                <w:b w:val="0"/>
                <w:i w:val="0"/>
                <w:color w:val="444444"/>
                <w:sz w:val="19"/>
              </w:rPr>
              <w:t>Cognito auth, RDS migration, S3 storage, Secrets Manager, Multi-AZ, AWS Backup, CloudWatch baseline</w:t>
            </w:r>
          </w:p>
        </w:tc>
      </w:tr>
      <w:tr>
        <w:tc>
          <w:tcPr>
            <w:tcW w:type="dxa" w:w="1814"/>
            <w:shd w:val="clear" w:color="auto" w:fill="FFFFFF"/>
          </w:tcPr>
          <w:p>
            <w:pPr>
              <w:spacing w:before="50" w:after="50"/>
            </w:pPr>
            <w:r>
              <w:rPr>
                <w:rFonts w:ascii="Calibri" w:hAnsi="Calibri"/>
                <w:b/>
                <w:i w:val="0"/>
                <w:color w:val="444444"/>
                <w:sz w:val="19"/>
              </w:rPr>
              <w:t>2A — Foundation</w:t>
            </w:r>
          </w:p>
        </w:tc>
        <w:tc>
          <w:tcPr>
            <w:tcW w:type="dxa" w:w="1417"/>
            <w:shd w:val="clear" w:color="auto" w:fill="FFFFFF"/>
          </w:tcPr>
          <w:p>
            <w:pPr>
              <w:spacing w:before="50" w:after="50"/>
            </w:pPr>
            <w:r>
              <w:rPr>
                <w:rFonts w:ascii="Calibri" w:hAnsi="Calibri"/>
                <w:b w:val="0"/>
                <w:i w:val="0"/>
                <w:color w:val="444444"/>
                <w:sz w:val="19"/>
              </w:rPr>
              <w:t>Weeks 2–4</w:t>
            </w:r>
          </w:p>
        </w:tc>
        <w:tc>
          <w:tcPr>
            <w:tcW w:type="dxa" w:w="2268"/>
            <w:shd w:val="clear" w:color="auto" w:fill="FFFFFF"/>
          </w:tcPr>
          <w:p>
            <w:pPr>
              <w:spacing w:before="50" w:after="50"/>
            </w:pPr>
            <w:r>
              <w:rPr>
                <w:rFonts w:ascii="Calibri" w:hAnsi="Calibri"/>
                <w:b w:val="0"/>
                <w:i w:val="0"/>
                <w:color w:val="444444"/>
                <w:sz w:val="19"/>
              </w:rPr>
              <w:t>Free Intelligence Feeds</w:t>
            </w:r>
          </w:p>
        </w:tc>
        <w:tc>
          <w:tcPr>
            <w:tcW w:type="dxa" w:w="4139"/>
            <w:shd w:val="clear" w:color="auto" w:fill="FFFFFF"/>
          </w:tcPr>
          <w:p>
            <w:pPr>
              <w:spacing w:before="50" w:after="50"/>
            </w:pPr>
            <w:r>
              <w:rPr>
                <w:rFonts w:ascii="Calibri" w:hAnsi="Calibri"/>
                <w:b w:val="0"/>
                <w:i w:val="0"/>
                <w:color w:val="444444"/>
                <w:sz w:val="19"/>
              </w:rPr>
              <w:t>ACLED + GDELT ingestion via Lambda, normalisation pipeline, geo-matcher, alert deduplication live</w:t>
            </w:r>
          </w:p>
        </w:tc>
      </w:tr>
      <w:tr>
        <w:tc>
          <w:tcPr>
            <w:tcW w:type="dxa" w:w="1814"/>
            <w:shd w:val="clear" w:color="auto" w:fill="F0F4FF"/>
          </w:tcPr>
          <w:p>
            <w:pPr>
              <w:spacing w:before="50" w:after="50"/>
            </w:pPr>
            <w:r>
              <w:rPr>
                <w:rFonts w:ascii="Calibri" w:hAnsi="Calibri"/>
                <w:b/>
                <w:i w:val="0"/>
                <w:color w:val="444444"/>
                <w:sz w:val="19"/>
              </w:rPr>
              <w:t>2A — Foundation</w:t>
            </w:r>
          </w:p>
        </w:tc>
        <w:tc>
          <w:tcPr>
            <w:tcW w:type="dxa" w:w="1417"/>
            <w:shd w:val="clear" w:color="auto" w:fill="F0F4FF"/>
          </w:tcPr>
          <w:p>
            <w:pPr>
              <w:spacing w:before="50" w:after="50"/>
            </w:pPr>
            <w:r>
              <w:rPr>
                <w:rFonts w:ascii="Calibri" w:hAnsi="Calibri"/>
                <w:b w:val="0"/>
                <w:i w:val="0"/>
                <w:color w:val="444444"/>
                <w:sz w:val="19"/>
              </w:rPr>
              <w:t>Week 4</w:t>
            </w:r>
          </w:p>
        </w:tc>
        <w:tc>
          <w:tcPr>
            <w:tcW w:type="dxa" w:w="2268"/>
            <w:shd w:val="clear" w:color="auto" w:fill="F0F4FF"/>
          </w:tcPr>
          <w:p>
            <w:pPr>
              <w:spacing w:before="50" w:after="50"/>
            </w:pPr>
            <w:r>
              <w:rPr>
                <w:rFonts w:ascii="Calibri" w:hAnsi="Calibri"/>
                <w:b w:val="0"/>
                <w:i w:val="0"/>
                <w:color w:val="444444"/>
                <w:sz w:val="19"/>
              </w:rPr>
              <w:t>Failsafe Basics</w:t>
            </w:r>
          </w:p>
        </w:tc>
        <w:tc>
          <w:tcPr>
            <w:tcW w:type="dxa" w:w="4139"/>
            <w:shd w:val="clear" w:color="auto" w:fill="F0F4FF"/>
          </w:tcPr>
          <w:p>
            <w:pPr>
              <w:spacing w:before="50" w:after="50"/>
            </w:pPr>
            <w:r>
              <w:rPr>
                <w:rFonts w:ascii="Calibri" w:hAnsi="Calibri"/>
                <w:b w:val="0"/>
                <w:i w:val="0"/>
                <w:color w:val="444444"/>
                <w:sz w:val="19"/>
              </w:rPr>
              <w:t>Multi-AZ RDS, Route 53 health checks, Frankfurt read replica, CloudWatch alarms</w:t>
            </w:r>
          </w:p>
        </w:tc>
      </w:tr>
      <w:tr>
        <w:tc>
          <w:tcPr>
            <w:tcW w:type="dxa" w:w="1814"/>
            <w:shd w:val="clear" w:color="auto" w:fill="FFFFFF"/>
          </w:tcPr>
          <w:p>
            <w:pPr>
              <w:spacing w:before="50" w:after="50"/>
            </w:pPr>
            <w:r>
              <w:rPr>
                <w:rFonts w:ascii="Calibri" w:hAnsi="Calibri"/>
                <w:b/>
                <w:i w:val="0"/>
                <w:color w:val="444444"/>
                <w:sz w:val="19"/>
              </w:rPr>
              <w:t>2B — Intelligence</w:t>
            </w:r>
          </w:p>
        </w:tc>
        <w:tc>
          <w:tcPr>
            <w:tcW w:type="dxa" w:w="1417"/>
            <w:shd w:val="clear" w:color="auto" w:fill="FFFFFF"/>
          </w:tcPr>
          <w:p>
            <w:pPr>
              <w:spacing w:before="50" w:after="50"/>
            </w:pPr>
            <w:r>
              <w:rPr>
                <w:rFonts w:ascii="Calibri" w:hAnsi="Calibri"/>
                <w:b w:val="0"/>
                <w:i w:val="0"/>
                <w:color w:val="444444"/>
                <w:sz w:val="19"/>
              </w:rPr>
              <w:t>Weeks 5–8</w:t>
            </w:r>
          </w:p>
        </w:tc>
        <w:tc>
          <w:tcPr>
            <w:tcW w:type="dxa" w:w="2268"/>
            <w:shd w:val="clear" w:color="auto" w:fill="FFFFFF"/>
          </w:tcPr>
          <w:p>
            <w:pPr>
              <w:spacing w:before="50" w:after="50"/>
            </w:pPr>
            <w:r>
              <w:rPr>
                <w:rFonts w:ascii="Calibri" w:hAnsi="Calibri"/>
                <w:b w:val="0"/>
                <w:i w:val="0"/>
                <w:color w:val="444444"/>
                <w:sz w:val="19"/>
              </w:rPr>
              <w:t>AWS Security Layer</w:t>
            </w:r>
          </w:p>
        </w:tc>
        <w:tc>
          <w:tcPr>
            <w:tcW w:type="dxa" w:w="4139"/>
            <w:shd w:val="clear" w:color="auto" w:fill="FFFFFF"/>
          </w:tcPr>
          <w:p>
            <w:pPr>
              <w:spacing w:before="50" w:after="50"/>
            </w:pPr>
            <w:r>
              <w:rPr>
                <w:rFonts w:ascii="Calibri" w:hAnsi="Calibri"/>
                <w:b w:val="0"/>
                <w:i w:val="0"/>
                <w:color w:val="444444"/>
                <w:sz w:val="19"/>
              </w:rPr>
              <w:t>WAF, GuardDuty, CloudTrail, KMS encryption, VPC isolation, CloudFront CDN</w:t>
            </w:r>
          </w:p>
        </w:tc>
      </w:tr>
      <w:tr>
        <w:tc>
          <w:tcPr>
            <w:tcW w:type="dxa" w:w="1814"/>
            <w:shd w:val="clear" w:color="auto" w:fill="F0F4FF"/>
          </w:tcPr>
          <w:p>
            <w:pPr>
              <w:spacing w:before="50" w:after="50"/>
            </w:pPr>
            <w:r>
              <w:rPr>
                <w:rFonts w:ascii="Calibri" w:hAnsi="Calibri"/>
                <w:b/>
                <w:i w:val="0"/>
                <w:color w:val="444444"/>
                <w:sz w:val="19"/>
              </w:rPr>
              <w:t>2B — Intelligence</w:t>
            </w:r>
          </w:p>
        </w:tc>
        <w:tc>
          <w:tcPr>
            <w:tcW w:type="dxa" w:w="1417"/>
            <w:shd w:val="clear" w:color="auto" w:fill="F0F4FF"/>
          </w:tcPr>
          <w:p>
            <w:pPr>
              <w:spacing w:before="50" w:after="50"/>
            </w:pPr>
            <w:r>
              <w:rPr>
                <w:rFonts w:ascii="Calibri" w:hAnsi="Calibri"/>
                <w:b w:val="0"/>
                <w:i w:val="0"/>
                <w:color w:val="444444"/>
                <w:sz w:val="19"/>
              </w:rPr>
              <w:t>Weeks 5–8</w:t>
            </w:r>
          </w:p>
        </w:tc>
        <w:tc>
          <w:tcPr>
            <w:tcW w:type="dxa" w:w="2268"/>
            <w:shd w:val="clear" w:color="auto" w:fill="F0F4FF"/>
          </w:tcPr>
          <w:p>
            <w:pPr>
              <w:spacing w:before="50" w:after="50"/>
            </w:pPr>
            <w:r>
              <w:rPr>
                <w:rFonts w:ascii="Calibri" w:hAnsi="Calibri"/>
                <w:b w:val="0"/>
                <w:i w:val="0"/>
                <w:color w:val="444444"/>
                <w:sz w:val="19"/>
              </w:rPr>
              <w:t>Additional Free Feeds</w:t>
            </w:r>
          </w:p>
        </w:tc>
        <w:tc>
          <w:tcPr>
            <w:tcW w:type="dxa" w:w="4139"/>
            <w:shd w:val="clear" w:color="auto" w:fill="F0F4FF"/>
          </w:tcPr>
          <w:p>
            <w:pPr>
              <w:spacing w:before="50" w:after="50"/>
            </w:pPr>
            <w:r>
              <w:rPr>
                <w:rFonts w:ascii="Calibri" w:hAnsi="Calibri"/>
                <w:b w:val="0"/>
                <w:i w:val="0"/>
                <w:color w:val="444444"/>
                <w:sz w:val="19"/>
              </w:rPr>
              <w:t>WHO, ReliefWeb, NOTAM, NewsAPI — all piped through normalisation layer</w:t>
            </w:r>
          </w:p>
        </w:tc>
      </w:tr>
      <w:tr>
        <w:tc>
          <w:tcPr>
            <w:tcW w:type="dxa" w:w="1814"/>
            <w:shd w:val="clear" w:color="auto" w:fill="FFFFFF"/>
          </w:tcPr>
          <w:p>
            <w:pPr>
              <w:spacing w:before="50" w:after="50"/>
            </w:pPr>
            <w:r>
              <w:rPr>
                <w:rFonts w:ascii="Calibri" w:hAnsi="Calibri"/>
                <w:b/>
                <w:i w:val="0"/>
                <w:color w:val="444444"/>
                <w:sz w:val="19"/>
              </w:rPr>
              <w:t>2B — Intelligence</w:t>
            </w:r>
          </w:p>
        </w:tc>
        <w:tc>
          <w:tcPr>
            <w:tcW w:type="dxa" w:w="1417"/>
            <w:shd w:val="clear" w:color="auto" w:fill="FFFFFF"/>
          </w:tcPr>
          <w:p>
            <w:pPr>
              <w:spacing w:before="50" w:after="50"/>
            </w:pPr>
            <w:r>
              <w:rPr>
                <w:rFonts w:ascii="Calibri" w:hAnsi="Calibri"/>
                <w:b w:val="0"/>
                <w:i w:val="0"/>
                <w:color w:val="444444"/>
                <w:sz w:val="19"/>
              </w:rPr>
              <w:t>Weeks 7–8</w:t>
            </w:r>
          </w:p>
        </w:tc>
        <w:tc>
          <w:tcPr>
            <w:tcW w:type="dxa" w:w="2268"/>
            <w:shd w:val="clear" w:color="auto" w:fill="FFFFFF"/>
          </w:tcPr>
          <w:p>
            <w:pPr>
              <w:spacing w:before="50" w:after="50"/>
            </w:pPr>
            <w:r>
              <w:rPr>
                <w:rFonts w:ascii="Calibri" w:hAnsi="Calibri"/>
                <w:b w:val="0"/>
                <w:i w:val="0"/>
                <w:color w:val="444444"/>
                <w:sz w:val="19"/>
              </w:rPr>
              <w:t>Notification Stack</w:t>
            </w:r>
          </w:p>
        </w:tc>
        <w:tc>
          <w:tcPr>
            <w:tcW w:type="dxa" w:w="4139"/>
            <w:shd w:val="clear" w:color="auto" w:fill="FFFFFF"/>
          </w:tcPr>
          <w:p>
            <w:pPr>
              <w:spacing w:before="50" w:after="50"/>
            </w:pPr>
            <w:r>
              <w:rPr>
                <w:rFonts w:ascii="Calibri" w:hAnsi="Calibri"/>
                <w:b w:val="0"/>
                <w:i w:val="0"/>
                <w:color w:val="444444"/>
                <w:sz w:val="19"/>
              </w:rPr>
              <w:t>SNS SMS, SES email, escalation logic, missed check-in automation, Twilio fallback</w:t>
            </w:r>
          </w:p>
        </w:tc>
      </w:tr>
      <w:tr>
        <w:tc>
          <w:tcPr>
            <w:tcW w:type="dxa" w:w="1814"/>
            <w:shd w:val="clear" w:color="auto" w:fill="F0F4FF"/>
          </w:tcPr>
          <w:p>
            <w:pPr>
              <w:spacing w:before="50" w:after="50"/>
            </w:pPr>
            <w:r>
              <w:rPr>
                <w:rFonts w:ascii="Calibri" w:hAnsi="Calibri"/>
                <w:b/>
                <w:i w:val="0"/>
                <w:color w:val="444444"/>
                <w:sz w:val="19"/>
              </w:rPr>
              <w:t>2B — Intelligence</w:t>
            </w:r>
          </w:p>
        </w:tc>
        <w:tc>
          <w:tcPr>
            <w:tcW w:type="dxa" w:w="1417"/>
            <w:shd w:val="clear" w:color="auto" w:fill="F0F4FF"/>
          </w:tcPr>
          <w:p>
            <w:pPr>
              <w:spacing w:before="50" w:after="50"/>
            </w:pPr>
            <w:r>
              <w:rPr>
                <w:rFonts w:ascii="Calibri" w:hAnsi="Calibri"/>
                <w:b w:val="0"/>
                <w:i w:val="0"/>
                <w:color w:val="444444"/>
                <w:sz w:val="19"/>
              </w:rPr>
              <w:t>Week 8</w:t>
            </w:r>
          </w:p>
        </w:tc>
        <w:tc>
          <w:tcPr>
            <w:tcW w:type="dxa" w:w="2268"/>
            <w:shd w:val="clear" w:color="auto" w:fill="F0F4FF"/>
          </w:tcPr>
          <w:p>
            <w:pPr>
              <w:spacing w:before="50" w:after="50"/>
            </w:pPr>
            <w:r>
              <w:rPr>
                <w:rFonts w:ascii="Calibri" w:hAnsi="Calibri"/>
                <w:b w:val="0"/>
                <w:i w:val="0"/>
                <w:color w:val="444444"/>
                <w:sz w:val="19"/>
              </w:rPr>
              <w:t>PWA Offline Mode</w:t>
            </w:r>
          </w:p>
        </w:tc>
        <w:tc>
          <w:tcPr>
            <w:tcW w:type="dxa" w:w="4139"/>
            <w:shd w:val="clear" w:color="auto" w:fill="F0F4FF"/>
          </w:tcPr>
          <w:p>
            <w:pPr>
              <w:spacing w:before="50" w:after="50"/>
            </w:pPr>
            <w:r>
              <w:rPr>
                <w:rFonts w:ascii="Calibri" w:hAnsi="Calibri"/>
                <w:b w:val="0"/>
                <w:i w:val="0"/>
                <w:color w:val="444444"/>
                <w:sz w:val="19"/>
              </w:rPr>
              <w:t>Service worker, IndexedDB caching, offline itinerary + alerts + emergency contacts</w:t>
            </w:r>
          </w:p>
        </w:tc>
      </w:tr>
      <w:tr>
        <w:tc>
          <w:tcPr>
            <w:tcW w:type="dxa" w:w="1814"/>
            <w:shd w:val="clear" w:color="auto" w:fill="FFFFFF"/>
          </w:tcPr>
          <w:p>
            <w:pPr>
              <w:spacing w:before="50" w:after="50"/>
            </w:pPr>
            <w:r>
              <w:rPr>
                <w:rFonts w:ascii="Calibri" w:hAnsi="Calibri"/>
                <w:b/>
                <w:i w:val="0"/>
                <w:color w:val="444444"/>
                <w:sz w:val="19"/>
              </w:rPr>
              <w:t>2C — Scale</w:t>
            </w:r>
          </w:p>
        </w:tc>
        <w:tc>
          <w:tcPr>
            <w:tcW w:type="dxa" w:w="1417"/>
            <w:shd w:val="clear" w:color="auto" w:fill="FFFFFF"/>
          </w:tcPr>
          <w:p>
            <w:pPr>
              <w:spacing w:before="50" w:after="50"/>
            </w:pPr>
            <w:r>
              <w:rPr>
                <w:rFonts w:ascii="Calibri" w:hAnsi="Calibri"/>
                <w:b w:val="0"/>
                <w:i w:val="0"/>
                <w:color w:val="444444"/>
                <w:sz w:val="19"/>
              </w:rPr>
              <w:t>Weeks 9–12</w:t>
            </w:r>
          </w:p>
        </w:tc>
        <w:tc>
          <w:tcPr>
            <w:tcW w:type="dxa" w:w="2268"/>
            <w:shd w:val="clear" w:color="auto" w:fill="FFFFFF"/>
          </w:tcPr>
          <w:p>
            <w:pPr>
              <w:spacing w:before="50" w:after="50"/>
            </w:pPr>
            <w:r>
              <w:rPr>
                <w:rFonts w:ascii="Calibri" w:hAnsi="Calibri"/>
                <w:b w:val="0"/>
                <w:i w:val="0"/>
                <w:color w:val="444444"/>
                <w:sz w:val="19"/>
              </w:rPr>
              <w:t>Commercial Intelligence</w:t>
            </w:r>
          </w:p>
        </w:tc>
        <w:tc>
          <w:tcPr>
            <w:tcW w:type="dxa" w:w="4139"/>
            <w:shd w:val="clear" w:color="auto" w:fill="FFFFFF"/>
          </w:tcPr>
          <w:p>
            <w:pPr>
              <w:spacing w:before="50" w:after="50"/>
            </w:pPr>
            <w:r>
              <w:rPr>
                <w:rFonts w:ascii="Calibri" w:hAnsi="Calibri"/>
                <w:b w:val="0"/>
                <w:i w:val="0"/>
                <w:color w:val="444444"/>
                <w:sz w:val="19"/>
              </w:rPr>
              <w:t>Crisis24 or Healix API integration, analyst-curated alerts, country risk ratings</w:t>
            </w:r>
          </w:p>
        </w:tc>
      </w:tr>
      <w:tr>
        <w:tc>
          <w:tcPr>
            <w:tcW w:type="dxa" w:w="1814"/>
            <w:shd w:val="clear" w:color="auto" w:fill="F0F4FF"/>
          </w:tcPr>
          <w:p>
            <w:pPr>
              <w:spacing w:before="50" w:after="50"/>
            </w:pPr>
            <w:r>
              <w:rPr>
                <w:rFonts w:ascii="Calibri" w:hAnsi="Calibri"/>
                <w:b/>
                <w:i w:val="0"/>
                <w:color w:val="444444"/>
                <w:sz w:val="19"/>
              </w:rPr>
              <w:t>2C — Scale</w:t>
            </w:r>
          </w:p>
        </w:tc>
        <w:tc>
          <w:tcPr>
            <w:tcW w:type="dxa" w:w="1417"/>
            <w:shd w:val="clear" w:color="auto" w:fill="F0F4FF"/>
          </w:tcPr>
          <w:p>
            <w:pPr>
              <w:spacing w:before="50" w:after="50"/>
            </w:pPr>
            <w:r>
              <w:rPr>
                <w:rFonts w:ascii="Calibri" w:hAnsi="Calibri"/>
                <w:b w:val="0"/>
                <w:i w:val="0"/>
                <w:color w:val="444444"/>
                <w:sz w:val="19"/>
              </w:rPr>
              <w:t>Weeks 11–12</w:t>
            </w:r>
          </w:p>
        </w:tc>
        <w:tc>
          <w:tcPr>
            <w:tcW w:type="dxa" w:w="2268"/>
            <w:shd w:val="clear" w:color="auto" w:fill="F0F4FF"/>
          </w:tcPr>
          <w:p>
            <w:pPr>
              <w:spacing w:before="50" w:after="50"/>
            </w:pPr>
            <w:r>
              <w:rPr>
                <w:rFonts w:ascii="Calibri" w:hAnsi="Calibri"/>
                <w:b w:val="0"/>
                <w:i w:val="0"/>
                <w:color w:val="444444"/>
                <w:sz w:val="19"/>
              </w:rPr>
              <w:t>Mobile App (Phase 3 preview)</w:t>
            </w:r>
          </w:p>
        </w:tc>
        <w:tc>
          <w:tcPr>
            <w:tcW w:type="dxa" w:w="4139"/>
            <w:shd w:val="clear" w:color="auto" w:fill="F0F4FF"/>
          </w:tcPr>
          <w:p>
            <w:pPr>
              <w:spacing w:before="50" w:after="50"/>
            </w:pPr>
            <w:r>
              <w:rPr>
                <w:rFonts w:ascii="Calibri" w:hAnsi="Calibri"/>
                <w:b w:val="0"/>
                <w:i w:val="0"/>
                <w:color w:val="444444"/>
                <w:sz w:val="19"/>
              </w:rPr>
              <w:t>React Native build, push notifications via SNS, GPS SOS, background check-in</w:t>
            </w:r>
          </w:p>
        </w:tc>
      </w:tr>
      <w:tr>
        <w:tc>
          <w:tcPr>
            <w:tcW w:type="dxa" w:w="1814"/>
            <w:shd w:val="clear" w:color="auto" w:fill="FFFFFF"/>
          </w:tcPr>
          <w:p>
            <w:pPr>
              <w:spacing w:before="50" w:after="50"/>
            </w:pPr>
            <w:r>
              <w:rPr>
                <w:rFonts w:ascii="Calibri" w:hAnsi="Calibri"/>
                <w:b/>
                <w:i w:val="0"/>
                <w:color w:val="444444"/>
                <w:sz w:val="19"/>
              </w:rPr>
              <w:t>2C — Scale</w:t>
            </w:r>
          </w:p>
        </w:tc>
        <w:tc>
          <w:tcPr>
            <w:tcW w:type="dxa" w:w="1417"/>
            <w:shd w:val="clear" w:color="auto" w:fill="FFFFFF"/>
          </w:tcPr>
          <w:p>
            <w:pPr>
              <w:spacing w:before="50" w:after="50"/>
            </w:pPr>
            <w:r>
              <w:rPr>
                <w:rFonts w:ascii="Calibri" w:hAnsi="Calibri"/>
                <w:b w:val="0"/>
                <w:i w:val="0"/>
                <w:color w:val="444444"/>
                <w:sz w:val="19"/>
              </w:rPr>
              <w:t>Week 12</w:t>
            </w:r>
          </w:p>
        </w:tc>
        <w:tc>
          <w:tcPr>
            <w:tcW w:type="dxa" w:w="2268"/>
            <w:shd w:val="clear" w:color="auto" w:fill="FFFFFF"/>
          </w:tcPr>
          <w:p>
            <w:pPr>
              <w:spacing w:before="50" w:after="50"/>
            </w:pPr>
            <w:r>
              <w:rPr>
                <w:rFonts w:ascii="Calibri" w:hAnsi="Calibri"/>
                <w:b w:val="0"/>
                <w:i w:val="0"/>
                <w:color w:val="444444"/>
                <w:sz w:val="19"/>
              </w:rPr>
              <w:t>Incident Response Runbook</w:t>
            </w:r>
          </w:p>
        </w:tc>
        <w:tc>
          <w:tcPr>
            <w:tcW w:type="dxa" w:w="4139"/>
            <w:shd w:val="clear" w:color="auto" w:fill="FFFFFF"/>
          </w:tcPr>
          <w:p>
            <w:pPr>
              <w:spacing w:before="50" w:after="50"/>
            </w:pPr>
            <w:r>
              <w:rPr>
                <w:rFonts w:ascii="Calibri" w:hAnsi="Calibri"/>
                <w:b w:val="0"/>
                <w:i w:val="0"/>
                <w:color w:val="444444"/>
                <w:sz w:val="19"/>
              </w:rPr>
              <w:t>Documented runbook per scenario, tabletop simulation exercise, on-call rotation</w:t>
            </w:r>
          </w:p>
        </w:tc>
      </w:tr>
    </w:tbl>
    <w:p/>
    <w:p>
      <w:pPr>
        <w:spacing w:before="80" w:after="80"/>
        <w:pBdr>
          <w:bottom w:val="single" w:sz="6" w:space="1" w:color="1B3A6B"/>
        </w:pBdr>
      </w:pPr>
    </w:p>
    <w:p>
      <w:pPr>
        <w:spacing w:before="200" w:after="80"/>
      </w:pPr>
      <w:r>
        <w:rPr>
          <w:rFonts w:ascii="Calibri" w:hAnsi="Calibri"/>
          <w:b/>
          <w:i w:val="0"/>
          <w:color w:val="1B3A6B"/>
          <w:sz w:val="36"/>
        </w:rPr>
        <w:t>05  Indicative AWS Cost Estimate</w:t>
      </w:r>
    </w:p>
    <w:p>
      <w:pPr>
        <w:spacing w:before="60" w:after="80"/>
      </w:pPr>
      <w:r>
        <w:rPr>
          <w:rFonts w:ascii="Calibri" w:hAnsi="Calibri"/>
          <w:b w:val="0"/>
          <w:i w:val="0"/>
          <w:color w:val="444444"/>
          <w:sz w:val="21"/>
        </w:rPr>
        <w:t>The following is an indicative monthly cost estimate for the Phase 2 AWS infrastructure at pilot scale (up to 200 active users, 50 concurrent travellers). Costs will scale with usage volume and commercial intelligence feed subscriptions.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1B3A6B"/>
          </w:tcPr>
          <w:p>
            <w:pPr>
              <w:jc w:val="left"/>
              <w:spacing w:before="60" w:after="60"/>
            </w:pPr>
            <w:r>
              <w:rPr>
                <w:rFonts w:ascii="Calibri" w:hAnsi="Calibri"/>
                <w:b/>
                <w:i w:val="0"/>
                <w:color w:val="FFFFFF"/>
                <w:sz w:val="19"/>
              </w:rPr>
              <w:t>Service</w:t>
            </w:r>
          </w:p>
        </w:tc>
        <w:tc>
          <w:tcPr>
            <w:tcW w:type="dxa" w:w="3402"/>
            <w:shd w:val="clear" w:color="auto" w:fill="1B3A6B"/>
          </w:tcPr>
          <w:p>
            <w:pPr>
              <w:jc w:val="left"/>
              <w:spacing w:before="60" w:after="60"/>
            </w:pPr>
            <w:r>
              <w:rPr>
                <w:rFonts w:ascii="Calibri" w:hAnsi="Calibri"/>
                <w:b/>
                <w:i w:val="0"/>
                <w:color w:val="FFFFFF"/>
                <w:sz w:val="19"/>
              </w:rPr>
              <w:t>Configuration</w:t>
            </w:r>
          </w:p>
        </w:tc>
        <w:tc>
          <w:tcPr>
            <w:tcW w:type="dxa" w:w="2551"/>
            <w:shd w:val="clear" w:color="auto" w:fill="1B3A6B"/>
          </w:tcPr>
          <w:p>
            <w:pPr>
              <w:jc w:val="left"/>
              <w:spacing w:before="60" w:after="60"/>
            </w:pPr>
            <w:r>
              <w:rPr>
                <w:rFonts w:ascii="Calibri" w:hAnsi="Calibri"/>
                <w:b/>
                <w:i w:val="0"/>
                <w:color w:val="FFFFFF"/>
                <w:sz w:val="19"/>
              </w:rPr>
              <w:t>Est. Monthly Cost (USD)</w:t>
            </w:r>
          </w:p>
        </w:tc>
      </w:tr>
      <w:tr>
        <w:tc>
          <w:tcPr>
            <w:tcW w:type="dxa" w:w="2551"/>
            <w:shd w:val="clear" w:color="auto" w:fill="F0F4FF"/>
          </w:tcPr>
          <w:p>
            <w:pPr>
              <w:spacing w:before="50" w:after="50"/>
            </w:pPr>
            <w:r>
              <w:rPr>
                <w:rFonts w:ascii="Calibri" w:hAnsi="Calibri"/>
                <w:b/>
                <w:i w:val="0"/>
                <w:color w:val="444444"/>
                <w:sz w:val="19"/>
              </w:rPr>
              <w:t>AWS RDS (PostgreSQL)</w:t>
            </w:r>
          </w:p>
        </w:tc>
        <w:tc>
          <w:tcPr>
            <w:tcW w:type="dxa" w:w="3402"/>
            <w:shd w:val="clear" w:color="auto" w:fill="F0F4FF"/>
          </w:tcPr>
          <w:p>
            <w:pPr>
              <w:spacing w:before="50" w:after="50"/>
            </w:pPr>
            <w:r>
              <w:rPr>
                <w:rFonts w:ascii="Calibri" w:hAnsi="Calibri"/>
                <w:b w:val="0"/>
                <w:i w:val="0"/>
                <w:color w:val="444444"/>
                <w:sz w:val="19"/>
              </w:rPr>
              <w:t>db.t3.medium Multi-AZ, af-south-1</w:t>
            </w:r>
          </w:p>
        </w:tc>
        <w:tc>
          <w:tcPr>
            <w:tcW w:type="dxa" w:w="2551"/>
            <w:shd w:val="clear" w:color="auto" w:fill="F0F4FF"/>
          </w:tcPr>
          <w:p>
            <w:pPr>
              <w:spacing w:before="50" w:after="50"/>
            </w:pPr>
            <w:r>
              <w:rPr>
                <w:rFonts w:ascii="Calibri" w:hAnsi="Calibri"/>
                <w:b w:val="0"/>
                <w:i w:val="0"/>
                <w:color w:val="444444"/>
                <w:sz w:val="19"/>
              </w:rPr>
              <w:t>$120–160</w:t>
            </w:r>
          </w:p>
        </w:tc>
      </w:tr>
      <w:tr>
        <w:tc>
          <w:tcPr>
            <w:tcW w:type="dxa" w:w="2551"/>
            <w:shd w:val="clear" w:color="auto" w:fill="FFFFFF"/>
          </w:tcPr>
          <w:p>
            <w:pPr>
              <w:spacing w:before="50" w:after="50"/>
            </w:pPr>
            <w:r>
              <w:rPr>
                <w:rFonts w:ascii="Calibri" w:hAnsi="Calibri"/>
                <w:b/>
                <w:i w:val="0"/>
                <w:color w:val="444444"/>
                <w:sz w:val="19"/>
              </w:rPr>
              <w:t>AWS Lambda</w:t>
            </w:r>
          </w:p>
        </w:tc>
        <w:tc>
          <w:tcPr>
            <w:tcW w:type="dxa" w:w="3402"/>
            <w:shd w:val="clear" w:color="auto" w:fill="FFFFFF"/>
          </w:tcPr>
          <w:p>
            <w:pPr>
              <w:spacing w:before="50" w:after="50"/>
            </w:pPr>
            <w:r>
              <w:rPr>
                <w:rFonts w:ascii="Calibri" w:hAnsi="Calibri"/>
                <w:b w:val="0"/>
                <w:i w:val="0"/>
                <w:color w:val="444444"/>
                <w:sz w:val="19"/>
              </w:rPr>
              <w:t>5M invocations/month across all functions</w:t>
            </w:r>
          </w:p>
        </w:tc>
        <w:tc>
          <w:tcPr>
            <w:tcW w:type="dxa" w:w="2551"/>
            <w:shd w:val="clear" w:color="auto" w:fill="FFFFFF"/>
          </w:tcPr>
          <w:p>
            <w:pPr>
              <w:spacing w:before="50" w:after="50"/>
            </w:pPr>
            <w:r>
              <w:rPr>
                <w:rFonts w:ascii="Calibri" w:hAnsi="Calibri"/>
                <w:b w:val="0"/>
                <w:i w:val="0"/>
                <w:color w:val="444444"/>
                <w:sz w:val="19"/>
              </w:rPr>
              <w:t>$15–25</w:t>
            </w:r>
          </w:p>
        </w:tc>
      </w:tr>
      <w:tr>
        <w:tc>
          <w:tcPr>
            <w:tcW w:type="dxa" w:w="2551"/>
            <w:shd w:val="clear" w:color="auto" w:fill="F0F4FF"/>
          </w:tcPr>
          <w:p>
            <w:pPr>
              <w:spacing w:before="50" w:after="50"/>
            </w:pPr>
            <w:r>
              <w:rPr>
                <w:rFonts w:ascii="Calibri" w:hAnsi="Calibri"/>
                <w:b/>
                <w:i w:val="0"/>
                <w:color w:val="444444"/>
                <w:sz w:val="19"/>
              </w:rPr>
              <w:t>AWS API Gateway</w:t>
            </w:r>
          </w:p>
        </w:tc>
        <w:tc>
          <w:tcPr>
            <w:tcW w:type="dxa" w:w="3402"/>
            <w:shd w:val="clear" w:color="auto" w:fill="F0F4FF"/>
          </w:tcPr>
          <w:p>
            <w:pPr>
              <w:spacing w:before="50" w:after="50"/>
            </w:pPr>
            <w:r>
              <w:rPr>
                <w:rFonts w:ascii="Calibri" w:hAnsi="Calibri"/>
                <w:b w:val="0"/>
                <w:i w:val="0"/>
                <w:color w:val="444444"/>
                <w:sz w:val="19"/>
              </w:rPr>
              <w:t>10M API calls/month</w:t>
            </w:r>
          </w:p>
        </w:tc>
        <w:tc>
          <w:tcPr>
            <w:tcW w:type="dxa" w:w="2551"/>
            <w:shd w:val="clear" w:color="auto" w:fill="F0F4FF"/>
          </w:tcPr>
          <w:p>
            <w:pPr>
              <w:spacing w:before="50" w:after="50"/>
            </w:pPr>
            <w:r>
              <w:rPr>
                <w:rFonts w:ascii="Calibri" w:hAnsi="Calibri"/>
                <w:b w:val="0"/>
                <w:i w:val="0"/>
                <w:color w:val="444444"/>
                <w:sz w:val="19"/>
              </w:rPr>
              <w:t>$35–50</w:t>
            </w:r>
          </w:p>
        </w:tc>
      </w:tr>
      <w:tr>
        <w:tc>
          <w:tcPr>
            <w:tcW w:type="dxa" w:w="2551"/>
            <w:shd w:val="clear" w:color="auto" w:fill="FFFFFF"/>
          </w:tcPr>
          <w:p>
            <w:pPr>
              <w:spacing w:before="50" w:after="50"/>
            </w:pPr>
            <w:r>
              <w:rPr>
                <w:rFonts w:ascii="Calibri" w:hAnsi="Calibri"/>
                <w:b/>
                <w:i w:val="0"/>
                <w:color w:val="444444"/>
                <w:sz w:val="19"/>
              </w:rPr>
              <w:t>AWS Cognito</w:t>
            </w:r>
          </w:p>
        </w:tc>
        <w:tc>
          <w:tcPr>
            <w:tcW w:type="dxa" w:w="3402"/>
            <w:shd w:val="clear" w:color="auto" w:fill="FFFFFF"/>
          </w:tcPr>
          <w:p>
            <w:pPr>
              <w:spacing w:before="50" w:after="50"/>
            </w:pPr>
            <w:r>
              <w:rPr>
                <w:rFonts w:ascii="Calibri" w:hAnsi="Calibri"/>
                <w:b w:val="0"/>
                <w:i w:val="0"/>
                <w:color w:val="444444"/>
                <w:sz w:val="19"/>
              </w:rPr>
              <w:t>Up to 500 MAU (free tier)</w:t>
            </w:r>
          </w:p>
        </w:tc>
        <w:tc>
          <w:tcPr>
            <w:tcW w:type="dxa" w:w="2551"/>
            <w:shd w:val="clear" w:color="auto" w:fill="FFFFFF"/>
          </w:tcPr>
          <w:p>
            <w:pPr>
              <w:spacing w:before="50" w:after="50"/>
            </w:pPr>
            <w:r>
              <w:rPr>
                <w:rFonts w:ascii="Calibri" w:hAnsi="Calibri"/>
                <w:b w:val="0"/>
                <w:i w:val="0"/>
                <w:color w:val="444444"/>
                <w:sz w:val="19"/>
              </w:rPr>
              <w:t>$0</w:t>
            </w:r>
          </w:p>
        </w:tc>
      </w:tr>
      <w:tr>
        <w:tc>
          <w:tcPr>
            <w:tcW w:type="dxa" w:w="2551"/>
            <w:shd w:val="clear" w:color="auto" w:fill="F0F4FF"/>
          </w:tcPr>
          <w:p>
            <w:pPr>
              <w:spacing w:before="50" w:after="50"/>
            </w:pPr>
            <w:r>
              <w:rPr>
                <w:rFonts w:ascii="Calibri" w:hAnsi="Calibri"/>
                <w:b/>
                <w:i w:val="0"/>
                <w:color w:val="444444"/>
                <w:sz w:val="19"/>
              </w:rPr>
              <w:t>AWS S3</w:t>
            </w:r>
          </w:p>
        </w:tc>
        <w:tc>
          <w:tcPr>
            <w:tcW w:type="dxa" w:w="3402"/>
            <w:shd w:val="clear" w:color="auto" w:fill="F0F4FF"/>
          </w:tcPr>
          <w:p>
            <w:pPr>
              <w:spacing w:before="50" w:after="50"/>
            </w:pPr>
            <w:r>
              <w:rPr>
                <w:rFonts w:ascii="Calibri" w:hAnsi="Calibri"/>
                <w:b w:val="0"/>
                <w:i w:val="0"/>
                <w:color w:val="444444"/>
                <w:sz w:val="19"/>
              </w:rPr>
              <w:t>50 GB storage + transfer</w:t>
            </w:r>
          </w:p>
        </w:tc>
        <w:tc>
          <w:tcPr>
            <w:tcW w:type="dxa" w:w="2551"/>
            <w:shd w:val="clear" w:color="auto" w:fill="F0F4FF"/>
          </w:tcPr>
          <w:p>
            <w:pPr>
              <w:spacing w:before="50" w:after="50"/>
            </w:pPr>
            <w:r>
              <w:rPr>
                <w:rFonts w:ascii="Calibri" w:hAnsi="Calibri"/>
                <w:b w:val="0"/>
                <w:i w:val="0"/>
                <w:color w:val="444444"/>
                <w:sz w:val="19"/>
              </w:rPr>
              <w:t>$5–10</w:t>
            </w:r>
          </w:p>
        </w:tc>
      </w:tr>
      <w:tr>
        <w:tc>
          <w:tcPr>
            <w:tcW w:type="dxa" w:w="2551"/>
            <w:shd w:val="clear" w:color="auto" w:fill="FFFFFF"/>
          </w:tcPr>
          <w:p>
            <w:pPr>
              <w:spacing w:before="50" w:after="50"/>
            </w:pPr>
            <w:r>
              <w:rPr>
                <w:rFonts w:ascii="Calibri" w:hAnsi="Calibri"/>
                <w:b/>
                <w:i w:val="0"/>
                <w:color w:val="444444"/>
                <w:sz w:val="19"/>
              </w:rPr>
              <w:t>AWS CloudFront</w:t>
            </w:r>
          </w:p>
        </w:tc>
        <w:tc>
          <w:tcPr>
            <w:tcW w:type="dxa" w:w="3402"/>
            <w:shd w:val="clear" w:color="auto" w:fill="FFFFFF"/>
          </w:tcPr>
          <w:p>
            <w:pPr>
              <w:spacing w:before="50" w:after="50"/>
            </w:pPr>
            <w:r>
              <w:rPr>
                <w:rFonts w:ascii="Calibri" w:hAnsi="Calibri"/>
                <w:b w:val="0"/>
                <w:i w:val="0"/>
                <w:color w:val="444444"/>
                <w:sz w:val="19"/>
              </w:rPr>
              <w:t>100 GB data transfer/month</w:t>
            </w:r>
          </w:p>
        </w:tc>
        <w:tc>
          <w:tcPr>
            <w:tcW w:type="dxa" w:w="2551"/>
            <w:shd w:val="clear" w:color="auto" w:fill="FFFFFF"/>
          </w:tcPr>
          <w:p>
            <w:pPr>
              <w:spacing w:before="50" w:after="50"/>
            </w:pPr>
            <w:r>
              <w:rPr>
                <w:rFonts w:ascii="Calibri" w:hAnsi="Calibri"/>
                <w:b w:val="0"/>
                <w:i w:val="0"/>
                <w:color w:val="444444"/>
                <w:sz w:val="19"/>
              </w:rPr>
              <w:t>$15–20</w:t>
            </w:r>
          </w:p>
        </w:tc>
      </w:tr>
      <w:tr>
        <w:tc>
          <w:tcPr>
            <w:tcW w:type="dxa" w:w="2551"/>
            <w:shd w:val="clear" w:color="auto" w:fill="F0F4FF"/>
          </w:tcPr>
          <w:p>
            <w:pPr>
              <w:spacing w:before="50" w:after="50"/>
            </w:pPr>
            <w:r>
              <w:rPr>
                <w:rFonts w:ascii="Calibri" w:hAnsi="Calibri"/>
                <w:b/>
                <w:i w:val="0"/>
                <w:color w:val="444444"/>
                <w:sz w:val="19"/>
              </w:rPr>
              <w:t>AWS SNS (SMS)</w:t>
            </w:r>
          </w:p>
        </w:tc>
        <w:tc>
          <w:tcPr>
            <w:tcW w:type="dxa" w:w="3402"/>
            <w:shd w:val="clear" w:color="auto" w:fill="F0F4FF"/>
          </w:tcPr>
          <w:p>
            <w:pPr>
              <w:spacing w:before="50" w:after="50"/>
            </w:pPr>
            <w:r>
              <w:rPr>
                <w:rFonts w:ascii="Calibri" w:hAnsi="Calibri"/>
                <w:b w:val="0"/>
                <w:i w:val="0"/>
                <w:color w:val="444444"/>
                <w:sz w:val="19"/>
              </w:rPr>
              <w:t>500 SMS alerts/month (Africa rates)</w:t>
            </w:r>
          </w:p>
        </w:tc>
        <w:tc>
          <w:tcPr>
            <w:tcW w:type="dxa" w:w="2551"/>
            <w:shd w:val="clear" w:color="auto" w:fill="F0F4FF"/>
          </w:tcPr>
          <w:p>
            <w:pPr>
              <w:spacing w:before="50" w:after="50"/>
            </w:pPr>
            <w:r>
              <w:rPr>
                <w:rFonts w:ascii="Calibri" w:hAnsi="Calibri"/>
                <w:b w:val="0"/>
                <w:i w:val="0"/>
                <w:color w:val="444444"/>
                <w:sz w:val="19"/>
              </w:rPr>
              <w:t>$25–40</w:t>
            </w:r>
          </w:p>
        </w:tc>
      </w:tr>
      <w:tr>
        <w:tc>
          <w:tcPr>
            <w:tcW w:type="dxa" w:w="2551"/>
            <w:shd w:val="clear" w:color="auto" w:fill="FFFFFF"/>
          </w:tcPr>
          <w:p>
            <w:pPr>
              <w:spacing w:before="50" w:after="50"/>
            </w:pPr>
            <w:r>
              <w:rPr>
                <w:rFonts w:ascii="Calibri" w:hAnsi="Calibri"/>
                <w:b/>
                <w:i w:val="0"/>
                <w:color w:val="444444"/>
                <w:sz w:val="19"/>
              </w:rPr>
              <w:t>AWS SES (email)</w:t>
            </w:r>
          </w:p>
        </w:tc>
        <w:tc>
          <w:tcPr>
            <w:tcW w:type="dxa" w:w="3402"/>
            <w:shd w:val="clear" w:color="auto" w:fill="FFFFFF"/>
          </w:tcPr>
          <w:p>
            <w:pPr>
              <w:spacing w:before="50" w:after="50"/>
            </w:pPr>
            <w:r>
              <w:rPr>
                <w:rFonts w:ascii="Calibri" w:hAnsi="Calibri"/>
                <w:b w:val="0"/>
                <w:i w:val="0"/>
                <w:color w:val="444444"/>
                <w:sz w:val="19"/>
              </w:rPr>
              <w:t>10,000 emails/month</w:t>
            </w:r>
          </w:p>
        </w:tc>
        <w:tc>
          <w:tcPr>
            <w:tcW w:type="dxa" w:w="2551"/>
            <w:shd w:val="clear" w:color="auto" w:fill="FFFFFF"/>
          </w:tcPr>
          <w:p>
            <w:pPr>
              <w:spacing w:before="50" w:after="50"/>
            </w:pPr>
            <w:r>
              <w:rPr>
                <w:rFonts w:ascii="Calibri" w:hAnsi="Calibri"/>
                <w:b w:val="0"/>
                <w:i w:val="0"/>
                <w:color w:val="444444"/>
                <w:sz w:val="19"/>
              </w:rPr>
              <w:t>$1</w:t>
            </w:r>
          </w:p>
        </w:tc>
      </w:tr>
      <w:tr>
        <w:tc>
          <w:tcPr>
            <w:tcW w:type="dxa" w:w="2551"/>
            <w:shd w:val="clear" w:color="auto" w:fill="F0F4FF"/>
          </w:tcPr>
          <w:p>
            <w:pPr>
              <w:spacing w:before="50" w:after="50"/>
            </w:pPr>
            <w:r>
              <w:rPr>
                <w:rFonts w:ascii="Calibri" w:hAnsi="Calibri"/>
                <w:b/>
                <w:i w:val="0"/>
                <w:color w:val="444444"/>
                <w:sz w:val="19"/>
              </w:rPr>
              <w:t>AWS GuardDuty</w:t>
            </w:r>
          </w:p>
        </w:tc>
        <w:tc>
          <w:tcPr>
            <w:tcW w:type="dxa" w:w="3402"/>
            <w:shd w:val="clear" w:color="auto" w:fill="F0F4FF"/>
          </w:tcPr>
          <w:p>
            <w:pPr>
              <w:spacing w:before="50" w:after="50"/>
            </w:pPr>
            <w:r>
              <w:rPr>
                <w:rFonts w:ascii="Calibri" w:hAnsi="Calibri"/>
                <w:b w:val="0"/>
                <w:i w:val="0"/>
                <w:color w:val="444444"/>
                <w:sz w:val="19"/>
              </w:rPr>
              <w:t>Single region</w:t>
            </w:r>
          </w:p>
        </w:tc>
        <w:tc>
          <w:tcPr>
            <w:tcW w:type="dxa" w:w="2551"/>
            <w:shd w:val="clear" w:color="auto" w:fill="F0F4FF"/>
          </w:tcPr>
          <w:p>
            <w:pPr>
              <w:spacing w:before="50" w:after="50"/>
            </w:pPr>
            <w:r>
              <w:rPr>
                <w:rFonts w:ascii="Calibri" w:hAnsi="Calibri"/>
                <w:b w:val="0"/>
                <w:i w:val="0"/>
                <w:color w:val="444444"/>
                <w:sz w:val="19"/>
              </w:rPr>
              <w:t>$20–30</w:t>
            </w:r>
          </w:p>
        </w:tc>
      </w:tr>
      <w:tr>
        <w:tc>
          <w:tcPr>
            <w:tcW w:type="dxa" w:w="2551"/>
            <w:shd w:val="clear" w:color="auto" w:fill="FFFFFF"/>
          </w:tcPr>
          <w:p>
            <w:pPr>
              <w:spacing w:before="50" w:after="50"/>
            </w:pPr>
            <w:r>
              <w:rPr>
                <w:rFonts w:ascii="Calibri" w:hAnsi="Calibri"/>
                <w:b/>
                <w:i w:val="0"/>
                <w:color w:val="444444"/>
                <w:sz w:val="19"/>
              </w:rPr>
              <w:t>AWS WAF</w:t>
            </w:r>
          </w:p>
        </w:tc>
        <w:tc>
          <w:tcPr>
            <w:tcW w:type="dxa" w:w="3402"/>
            <w:shd w:val="clear" w:color="auto" w:fill="FFFFFF"/>
          </w:tcPr>
          <w:p>
            <w:pPr>
              <w:spacing w:before="50" w:after="50"/>
            </w:pPr>
            <w:r>
              <w:rPr>
                <w:rFonts w:ascii="Calibri" w:hAnsi="Calibri"/>
                <w:b w:val="0"/>
                <w:i w:val="0"/>
                <w:color w:val="444444"/>
                <w:sz w:val="19"/>
              </w:rPr>
              <w:t>Standard rules + custom rules</w:t>
            </w:r>
          </w:p>
        </w:tc>
        <w:tc>
          <w:tcPr>
            <w:tcW w:type="dxa" w:w="2551"/>
            <w:shd w:val="clear" w:color="auto" w:fill="FFFFFF"/>
          </w:tcPr>
          <w:p>
            <w:pPr>
              <w:spacing w:before="50" w:after="50"/>
            </w:pPr>
            <w:r>
              <w:rPr>
                <w:rFonts w:ascii="Calibri" w:hAnsi="Calibri"/>
                <w:b w:val="0"/>
                <w:i w:val="0"/>
                <w:color w:val="444444"/>
                <w:sz w:val="19"/>
              </w:rPr>
              <w:t>$15–20</w:t>
            </w:r>
          </w:p>
        </w:tc>
      </w:tr>
      <w:tr>
        <w:tc>
          <w:tcPr>
            <w:tcW w:type="dxa" w:w="2551"/>
            <w:shd w:val="clear" w:color="auto" w:fill="F0F4FF"/>
          </w:tcPr>
          <w:p>
            <w:pPr>
              <w:spacing w:before="50" w:after="50"/>
            </w:pPr>
            <w:r>
              <w:rPr>
                <w:rFonts w:ascii="Calibri" w:hAnsi="Calibri"/>
                <w:b/>
                <w:i w:val="0"/>
                <w:color w:val="444444"/>
                <w:sz w:val="19"/>
              </w:rPr>
              <w:t>AWS CloudWatch</w:t>
            </w:r>
          </w:p>
        </w:tc>
        <w:tc>
          <w:tcPr>
            <w:tcW w:type="dxa" w:w="3402"/>
            <w:shd w:val="clear" w:color="auto" w:fill="F0F4FF"/>
          </w:tcPr>
          <w:p>
            <w:pPr>
              <w:spacing w:before="50" w:after="50"/>
            </w:pPr>
            <w:r>
              <w:rPr>
                <w:rFonts w:ascii="Calibri" w:hAnsi="Calibri"/>
                <w:b w:val="0"/>
                <w:i w:val="0"/>
                <w:color w:val="444444"/>
                <w:sz w:val="19"/>
              </w:rPr>
              <w:t>Logs, metrics, alarms, synthetics</w:t>
            </w:r>
          </w:p>
        </w:tc>
        <w:tc>
          <w:tcPr>
            <w:tcW w:type="dxa" w:w="2551"/>
            <w:shd w:val="clear" w:color="auto" w:fill="F0F4FF"/>
          </w:tcPr>
          <w:p>
            <w:pPr>
              <w:spacing w:before="50" w:after="50"/>
            </w:pPr>
            <w:r>
              <w:rPr>
                <w:rFonts w:ascii="Calibri" w:hAnsi="Calibri"/>
                <w:b w:val="0"/>
                <w:i w:val="0"/>
                <w:color w:val="444444"/>
                <w:sz w:val="19"/>
              </w:rPr>
              <w:t>$20–30</w:t>
            </w:r>
          </w:p>
        </w:tc>
      </w:tr>
      <w:tr>
        <w:tc>
          <w:tcPr>
            <w:tcW w:type="dxa" w:w="2551"/>
            <w:shd w:val="clear" w:color="auto" w:fill="FFFFFF"/>
          </w:tcPr>
          <w:p>
            <w:pPr>
              <w:spacing w:before="50" w:after="50"/>
            </w:pPr>
            <w:r>
              <w:rPr>
                <w:rFonts w:ascii="Calibri" w:hAnsi="Calibri"/>
                <w:b/>
                <w:i w:val="0"/>
                <w:color w:val="444444"/>
                <w:sz w:val="19"/>
              </w:rPr>
              <w:t>AWS Secrets Manager</w:t>
            </w:r>
          </w:p>
        </w:tc>
        <w:tc>
          <w:tcPr>
            <w:tcW w:type="dxa" w:w="3402"/>
            <w:shd w:val="clear" w:color="auto" w:fill="FFFFFF"/>
          </w:tcPr>
          <w:p>
            <w:pPr>
              <w:spacing w:before="50" w:after="50"/>
            </w:pPr>
            <w:r>
              <w:rPr>
                <w:rFonts w:ascii="Calibri" w:hAnsi="Calibri"/>
                <w:b w:val="0"/>
                <w:i w:val="0"/>
                <w:color w:val="444444"/>
                <w:sz w:val="19"/>
              </w:rPr>
              <w:t>10 secrets</w:t>
            </w:r>
          </w:p>
        </w:tc>
        <w:tc>
          <w:tcPr>
            <w:tcW w:type="dxa" w:w="2551"/>
            <w:shd w:val="clear" w:color="auto" w:fill="FFFFFF"/>
          </w:tcPr>
          <w:p>
            <w:pPr>
              <w:spacing w:before="50" w:after="50"/>
            </w:pPr>
            <w:r>
              <w:rPr>
                <w:rFonts w:ascii="Calibri" w:hAnsi="Calibri"/>
                <w:b w:val="0"/>
                <w:i w:val="0"/>
                <w:color w:val="444444"/>
                <w:sz w:val="19"/>
              </w:rPr>
              <w:t>$4</w:t>
            </w:r>
          </w:p>
        </w:tc>
      </w:tr>
      <w:tr>
        <w:tc>
          <w:tcPr>
            <w:tcW w:type="dxa" w:w="2551"/>
            <w:shd w:val="clear" w:color="auto" w:fill="F0F4FF"/>
          </w:tcPr>
          <w:p>
            <w:pPr>
              <w:spacing w:before="50" w:after="50"/>
            </w:pPr>
            <w:r>
              <w:rPr>
                <w:rFonts w:ascii="Calibri" w:hAnsi="Calibri"/>
                <w:b/>
                <w:i w:val="0"/>
                <w:color w:val="444444"/>
                <w:sz w:val="19"/>
              </w:rPr>
              <w:t>Route 53</w:t>
            </w:r>
          </w:p>
        </w:tc>
        <w:tc>
          <w:tcPr>
            <w:tcW w:type="dxa" w:w="3402"/>
            <w:shd w:val="clear" w:color="auto" w:fill="F0F4FF"/>
          </w:tcPr>
          <w:p>
            <w:pPr>
              <w:spacing w:before="50" w:after="50"/>
            </w:pPr>
            <w:r>
              <w:rPr>
                <w:rFonts w:ascii="Calibri" w:hAnsi="Calibri"/>
                <w:b w:val="0"/>
                <w:i w:val="0"/>
                <w:color w:val="444444"/>
                <w:sz w:val="19"/>
              </w:rPr>
              <w:t>Hosted zone + health checks</w:t>
            </w:r>
          </w:p>
        </w:tc>
        <w:tc>
          <w:tcPr>
            <w:tcW w:type="dxa" w:w="2551"/>
            <w:shd w:val="clear" w:color="auto" w:fill="F0F4FF"/>
          </w:tcPr>
          <w:p>
            <w:pPr>
              <w:spacing w:before="50" w:after="50"/>
            </w:pPr>
            <w:r>
              <w:rPr>
                <w:rFonts w:ascii="Calibri" w:hAnsi="Calibri"/>
                <w:b w:val="0"/>
                <w:i w:val="0"/>
                <w:color w:val="444444"/>
                <w:sz w:val="19"/>
              </w:rPr>
              <w:t>$5</w:t>
            </w:r>
          </w:p>
        </w:tc>
      </w:tr>
      <w:tr>
        <w:tc>
          <w:tcPr>
            <w:tcW w:type="dxa" w:w="2551"/>
            <w:shd w:val="clear" w:color="auto" w:fill="FFFFFF"/>
          </w:tcPr>
          <w:p>
            <w:pPr>
              <w:spacing w:before="50" w:after="50"/>
            </w:pPr>
            <w:r>
              <w:rPr>
                <w:rFonts w:ascii="Calibri" w:hAnsi="Calibri"/>
                <w:b/>
                <w:i w:val="0"/>
                <w:color w:val="444444"/>
                <w:sz w:val="19"/>
              </w:rPr>
            </w:r>
          </w:p>
        </w:tc>
        <w:tc>
          <w:tcPr>
            <w:tcW w:type="dxa" w:w="3402"/>
            <w:shd w:val="clear" w:color="auto" w:fill="FFFFFF"/>
          </w:tcPr>
          <w:p>
            <w:pPr>
              <w:spacing w:before="50" w:after="50"/>
            </w:pPr>
            <w:r>
              <w:rPr>
                <w:rFonts w:ascii="Calibri" w:hAnsi="Calibri"/>
                <w:b w:val="0"/>
                <w:i w:val="0"/>
                <w:color w:val="444444"/>
                <w:sz w:val="19"/>
              </w:rPr>
              <w:t>TOTAL ESTIMATE (excl. commercial feeds)</w:t>
            </w:r>
          </w:p>
        </w:tc>
        <w:tc>
          <w:tcPr>
            <w:tcW w:type="dxa" w:w="2551"/>
            <w:shd w:val="clear" w:color="auto" w:fill="FFFFFF"/>
          </w:tcPr>
          <w:p>
            <w:pPr>
              <w:spacing w:before="50" w:after="50"/>
            </w:pPr>
            <w:r>
              <w:rPr>
                <w:rFonts w:ascii="Calibri" w:hAnsi="Calibri"/>
                <w:b w:val="0"/>
                <w:i w:val="0"/>
                <w:color w:val="444444"/>
                <w:sz w:val="19"/>
              </w:rPr>
              <w:t>$280–395 / month</w:t>
            </w:r>
          </w:p>
        </w:tc>
      </w:tr>
    </w:tbl>
    <w:p>
      <w:pPr>
        <w:spacing w:before="120" w:after="80"/>
      </w:pPr>
      <w:r>
        <w:rPr>
          <w:rFonts w:ascii="Calibri" w:hAnsi="Calibri"/>
          <w:b w:val="0"/>
          <w:i w:val="0"/>
          <w:color w:val="444444"/>
          <w:sz w:val="21"/>
        </w:rPr>
        <w:t>Commercial intelligence feeds (Crisis24, Healix, Control Risks) are separately negotiated on an enterprise subscription basis and are typically $500–$2,500/month depending on data volume and coverage scope.</w:t>
      </w:r>
    </w:p>
    <w:p/>
    <w:p>
      <w:pPr>
        <w:spacing w:before="80" w:after="80"/>
        <w:pBdr>
          <w:bottom w:val="single" w:sz="6" w:space="1" w:color="1B3A6B"/>
        </w:pBdr>
      </w:pPr>
    </w:p>
    <w:p>
      <w:pPr>
        <w:spacing w:before="200" w:after="80"/>
      </w:pPr>
      <w:r>
        <w:rPr>
          <w:rFonts w:ascii="Calibri" w:hAnsi="Calibri"/>
          <w:b/>
          <w:i w:val="0"/>
          <w:color w:val="1B3A6B"/>
          <w:sz w:val="36"/>
        </w:rPr>
        <w:t>06  Immediate Next Actions</w:t>
      </w:r>
    </w:p>
    <w:p>
      <w:pPr>
        <w:spacing w:before="60" w:after="80"/>
      </w:pPr>
      <w:r>
        <w:rPr>
          <w:rFonts w:ascii="Calibri" w:hAnsi="Calibri"/>
          <w:b w:val="0"/>
          <w:i w:val="0"/>
          <w:color w:val="444444"/>
          <w:sz w:val="21"/>
        </w:rPr>
        <w:t>To begin Phase 2A, the following actions should be initiated in order:</w:t>
      </w:r>
    </w:p>
    <w:p>
      <w:pPr>
        <w:spacing w:before="40" w:after="40"/>
      </w:pPr>
      <w:r>
        <w:rPr>
          <w:rFonts w:ascii="Calibri" w:hAnsi="Calibri"/>
          <w:b/>
          <w:i w:val="0"/>
          <w:color w:val="2563EB"/>
          <w:sz w:val="21"/>
        </w:rPr>
        <w:t xml:space="preserve">1.  </w:t>
      </w:r>
      <w:r>
        <w:rPr>
          <w:rFonts w:ascii="Calibri" w:hAnsi="Calibri"/>
          <w:b w:val="0"/>
          <w:i w:val="0"/>
          <w:color w:val="444444"/>
          <w:sz w:val="21"/>
        </w:rPr>
        <w:t>Create AWS account (if not existing) and enable AWS Organizations for governance. Enable af-south-1 region.</w:t>
      </w:r>
    </w:p>
    <w:p>
      <w:pPr>
        <w:spacing w:before="40" w:after="40"/>
      </w:pPr>
      <w:r>
        <w:rPr>
          <w:rFonts w:ascii="Calibri" w:hAnsi="Calibri"/>
          <w:b/>
          <w:i w:val="0"/>
          <w:color w:val="2563EB"/>
          <w:sz w:val="21"/>
        </w:rPr>
        <w:t xml:space="preserve">2.  </w:t>
      </w:r>
      <w:r>
        <w:rPr>
          <w:rFonts w:ascii="Calibri" w:hAnsi="Calibri"/>
          <w:b w:val="0"/>
          <w:i w:val="0"/>
          <w:color w:val="444444"/>
          <w:sz w:val="21"/>
        </w:rPr>
        <w:t>Set up AWS IAM Identity Centre with SSO. Create separate accounts for Dev, Staging, and Production environments.</w:t>
      </w:r>
    </w:p>
    <w:p>
      <w:pPr>
        <w:spacing w:before="40" w:after="40"/>
      </w:pPr>
      <w:r>
        <w:rPr>
          <w:rFonts w:ascii="Calibri" w:hAnsi="Calibri"/>
          <w:b/>
          <w:i w:val="0"/>
          <w:color w:val="2563EB"/>
          <w:sz w:val="21"/>
        </w:rPr>
        <w:t xml:space="preserve">3.  </w:t>
      </w:r>
      <w:r>
        <w:rPr>
          <w:rFonts w:ascii="Calibri" w:hAnsi="Calibri"/>
          <w:b w:val="0"/>
          <w:i w:val="0"/>
          <w:color w:val="444444"/>
          <w:sz w:val="21"/>
        </w:rPr>
        <w:t>Register for ACLED API access at acleddata.com — free for registered organisations. Approval typically within 48 hours.</w:t>
      </w:r>
    </w:p>
    <w:p>
      <w:pPr>
        <w:spacing w:before="40" w:after="40"/>
      </w:pPr>
      <w:r>
        <w:rPr>
          <w:rFonts w:ascii="Calibri" w:hAnsi="Calibri"/>
          <w:b/>
          <w:i w:val="0"/>
          <w:color w:val="2563EB"/>
          <w:sz w:val="21"/>
        </w:rPr>
        <w:t xml:space="preserve">4.  </w:t>
      </w:r>
      <w:r>
        <w:rPr>
          <w:rFonts w:ascii="Calibri" w:hAnsi="Calibri"/>
          <w:b w:val="0"/>
          <w:i w:val="0"/>
          <w:color w:val="444444"/>
          <w:sz w:val="21"/>
        </w:rPr>
        <w:t>Begin RDS PostgreSQL migration: export Supabase schema and data, import to RDS in af-south-1, validate row counts.</w:t>
      </w:r>
    </w:p>
    <w:p>
      <w:pPr>
        <w:spacing w:before="40" w:after="40"/>
      </w:pPr>
      <w:r>
        <w:rPr>
          <w:rFonts w:ascii="Calibri" w:hAnsi="Calibri"/>
          <w:b/>
          <w:i w:val="0"/>
          <w:color w:val="2563EB"/>
          <w:sz w:val="21"/>
        </w:rPr>
        <w:t xml:space="preserve">5.  </w:t>
      </w:r>
      <w:r>
        <w:rPr>
          <w:rFonts w:ascii="Calibri" w:hAnsi="Calibri"/>
          <w:b w:val="0"/>
          <w:i w:val="0"/>
          <w:color w:val="444444"/>
          <w:sz w:val="21"/>
        </w:rPr>
        <w:t>Configure AWS Cognito user pool. Import existing users from Supabase Auth. Test login flow end-to-end before cutover.</w:t>
      </w:r>
    </w:p>
    <w:p>
      <w:pPr>
        <w:spacing w:before="40" w:after="40"/>
      </w:pPr>
      <w:r>
        <w:rPr>
          <w:rFonts w:ascii="Calibri" w:hAnsi="Calibri"/>
          <w:b/>
          <w:i w:val="0"/>
          <w:color w:val="2563EB"/>
          <w:sz w:val="21"/>
        </w:rPr>
        <w:t xml:space="preserve">6.  </w:t>
      </w:r>
      <w:r>
        <w:rPr>
          <w:rFonts w:ascii="Calibri" w:hAnsi="Calibri"/>
          <w:b w:val="0"/>
          <w:i w:val="0"/>
          <w:color w:val="444444"/>
          <w:sz w:val="21"/>
        </w:rPr>
        <w:t>Deploy first Lambda function: ACLED feed collector. Test ingestion pipeline with a known past event.</w:t>
      </w:r>
    </w:p>
    <w:p>
      <w:pPr>
        <w:spacing w:before="40" w:after="40"/>
      </w:pPr>
      <w:r>
        <w:rPr>
          <w:rFonts w:ascii="Calibri" w:hAnsi="Calibri"/>
          <w:b/>
          <w:i w:val="0"/>
          <w:color w:val="2563EB"/>
          <w:sz w:val="21"/>
        </w:rPr>
        <w:t xml:space="preserve">7.  </w:t>
      </w:r>
      <w:r>
        <w:rPr>
          <w:rFonts w:ascii="Calibri" w:hAnsi="Calibri"/>
          <w:b w:val="0"/>
          <w:i w:val="0"/>
          <w:color w:val="444444"/>
          <w:sz w:val="21"/>
        </w:rPr>
        <w:t>Enable AWS GuardDuty, CloudTrail, and CloudWatch baseline alarms. Configure SNS notification to ops email.</w:t>
      </w:r>
    </w:p>
    <w:p>
      <w:pPr>
        <w:spacing w:before="40" w:after="40"/>
      </w:pPr>
      <w:r>
        <w:rPr>
          <w:rFonts w:ascii="Calibri" w:hAnsi="Calibri"/>
          <w:b/>
          <w:i w:val="0"/>
          <w:color w:val="2563EB"/>
          <w:sz w:val="21"/>
        </w:rPr>
        <w:t xml:space="preserve">8.  </w:t>
      </w:r>
      <w:r>
        <w:rPr>
          <w:rFonts w:ascii="Calibri" w:hAnsi="Calibri"/>
          <w:b w:val="0"/>
          <w:i w:val="0"/>
          <w:color w:val="444444"/>
          <w:sz w:val="21"/>
        </w:rPr>
        <w:t>Commission penetration test of current platform (pre-Phase 2) to establish a security baseline.</w:t>
      </w:r>
    </w:p>
    <w:p/>
    <w:p>
      <w:pPr>
        <w:spacing w:before="200" w:after="0"/>
        <w:jc w:val="center"/>
      </w:pPr>
      <w:r>
        <w:rPr>
          <w:rFonts w:ascii="Calibri" w:hAnsi="Calibri"/>
          <w:b w:val="0"/>
          <w:i/>
          <w:color w:val="888888"/>
          <w:sz w:val="17"/>
        </w:rPr>
        <w:t>SafeGuard360  ·  Phase 2 Technical Roadmap  ·  Confidential  ·  April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