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20"/>
        <w:jc w:val="center"/>
      </w:pPr>
      <w:r>
        <w:rPr>
          <w:rFonts w:ascii="Calibri" w:hAnsi="Calibri" w:eastAsia="Calibri"/>
          <w:b/>
          <w:color w:val="B07D18"/>
          <w:sz w:val="22"/>
        </w:rPr>
        <w:t>ZWISCHENSTAND 1</w:t>
      </w:r>
    </w:p>
    <w:p>
      <w:pPr>
        <w:spacing w:after="200"/>
        <w:jc w:val="center"/>
      </w:pPr>
      <w:r>
        <w:rPr>
          <w:rFonts w:ascii="Calibri" w:hAnsi="Calibri" w:eastAsia="Calibri"/>
          <w:b/>
          <w:color w:val="0B2545"/>
          <w:sz w:val="58"/>
        </w:rPr>
        <w:t>Deutschland im europäischen Stromnetz</w:t>
      </w:r>
    </w:p>
    <w:p>
      <w:pPr>
        <w:spacing w:after="640"/>
        <w:jc w:val="center"/>
      </w:pPr>
      <w:r>
        <w:rPr>
          <w:rFonts w:ascii="Calibri" w:hAnsi="Calibri" w:eastAsia="Calibri"/>
          <w:color w:val="1F4D78"/>
          <w:sz w:val="30"/>
        </w:rPr>
        <w:t>Interaktive Visualisierung von Erzeugung, Preisen und grenzüberschreitenden Stromflüssen</w:t>
      </w:r>
    </w:p>
    <w:p>
      <w:pPr>
        <w:spacing w:after="100"/>
        <w:jc w:val="center"/>
      </w:pPr>
      <w:r>
        <w:rPr>
          <w:rFonts w:ascii="Calibri" w:hAnsi="Calibri" w:eastAsia="Calibri"/>
          <w:b/>
          <w:color w:val="667085"/>
          <w:sz w:val="22"/>
        </w:rPr>
        <w:t>Modulleistung Informationsvisualisierung · Implementierung in Elm</w:t>
      </w:r>
    </w:p>
    <w:p>
      <w:pPr>
        <w:spacing w:after="1500"/>
        <w:jc w:val="center"/>
      </w:pPr>
      <w:r>
        <w:rPr>
          <w:rFonts w:ascii="Calibri" w:hAnsi="Calibri" w:eastAsia="Calibri"/>
          <w:i/>
          <w:color w:val="667085"/>
          <w:sz w:val="21"/>
        </w:rPr>
        <w:t>Arbeitsstand vom 26. Juli 2026</w:t>
      </w:r>
    </w:p>
    <w:p>
      <w:pPr>
        <w:spacing w:before="100" w:after="180" w:line="288" w:lineRule="auto"/>
        <w:ind w:left="115" w:right="115"/>
        <w:shd w:fill="EEF3F8"/>
        <w:pBdr>
          <w:left w:val="single" w:sz="18" w:space="8" w:color="2E74B5"/>
        </w:pBdr>
      </w:pPr>
      <w:r>
        <w:rPr>
          <w:rFonts w:ascii="Calibri" w:hAnsi="Calibri" w:eastAsia="Calibri"/>
          <w:b/>
          <w:color w:val="2E74B5"/>
          <w:sz w:val="20"/>
        </w:rPr>
        <w:t xml:space="preserve">Dokumentstatus. </w:t>
      </w:r>
      <w:r>
        <w:rPr>
          <w:rFonts w:ascii="Calibri" w:hAnsi="Calibri" w:eastAsia="Calibri"/>
          <w:color w:val="0B2545"/>
          <w:sz w:val="20"/>
        </w:rPr>
        <w:t>Dieser Zwischenstand legt Thema, Forschungsfragen, Analyseaufgaben, Visualisierungskonzept, Daten- und Systemplanung sowie die Zielgliederung des späteren Berichts fest. Ergebnisse der Implementierung und Evaluation werden nachgereicht.</w:t>
      </w:r>
    </w:p>
    <w:p>
      <w:pPr>
        <w:spacing w:before="360" w:after="0"/>
        <w:jc w:val="center"/>
      </w:pPr>
      <w:r>
        <w:rPr>
          <w:rFonts w:ascii="Calibri" w:hAnsi="Calibri" w:eastAsia="Calibri"/>
          <w:b/>
          <w:color w:val="0B2545"/>
          <w:sz w:val="21"/>
        </w:rPr>
        <w:t>Geplante Abgabe: 21. September 2026</w:t>
      </w:r>
    </w:p>
    <w:p>
      <w:r>
        <w:br w:type="page"/>
      </w:r>
    </w:p>
    <w:p>
      <w:pPr>
        <w:spacing w:after="100"/>
      </w:pPr>
      <w:r>
        <w:rPr>
          <w:rFonts w:ascii="Calibri" w:hAnsi="Calibri" w:eastAsia="Calibri"/>
          <w:b/>
          <w:color w:val="0B2545"/>
          <w:sz w:val="40"/>
        </w:rPr>
        <w:t>Inhaltsübersicht (vorläufig)</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900"/>
        <w:gridCol w:w="8460"/>
      </w:tblGrid>
      <w:tr>
        <w:trPr>
          <w:tblHeader w:val="true"/>
        </w:trPr>
        <w:tc>
          <w:tcPr>
            <w:tcW w:type="dxa" w:w="9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Nr.</w:t>
            </w:r>
          </w:p>
        </w:tc>
        <w:tc>
          <w:tcPr>
            <w:tcW w:type="dxa" w:w="846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Abschnitt</w:t>
            </w:r>
          </w:p>
        </w:tc>
      </w:tr>
      <w:tr>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1</w:t>
            </w:r>
          </w:p>
        </w:tc>
        <w:tc>
          <w:tcPr>
            <w:tcW w:type="dxa" w:w="84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Einleitung und Problemstellung</w:t>
            </w:r>
          </w:p>
        </w:tc>
      </w:tr>
      <w:tr>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2</w:t>
            </w:r>
          </w:p>
        </w:tc>
        <w:tc>
          <w:tcPr>
            <w:tcW w:type="dxa" w:w="84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Zielgruppe, Forschungsfragen und Analyseaufgaben</w:t>
            </w:r>
          </w:p>
        </w:tc>
      </w:tr>
      <w:tr>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3</w:t>
            </w:r>
          </w:p>
        </w:tc>
        <w:tc>
          <w:tcPr>
            <w:tcW w:type="dxa" w:w="84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Datenbasis und Datenaufbereitung</w:t>
            </w:r>
          </w:p>
        </w:tc>
      </w:tr>
      <w:tr>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4</w:t>
            </w:r>
          </w:p>
        </w:tc>
        <w:tc>
          <w:tcPr>
            <w:tcW w:type="dxa" w:w="84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Visualisierungskonzept</w:t>
            </w:r>
          </w:p>
        </w:tc>
      </w:tr>
      <w:tr>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5</w:t>
            </w:r>
          </w:p>
        </w:tc>
        <w:tc>
          <w:tcPr>
            <w:tcW w:type="dxa" w:w="84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Interaktionskonzept und koordinierte Ansichten</w:t>
            </w:r>
          </w:p>
        </w:tc>
      </w:tr>
      <w:tr>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6</w:t>
            </w:r>
          </w:p>
        </w:tc>
        <w:tc>
          <w:tcPr>
            <w:tcW w:type="dxa" w:w="84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Technisches Konzept der Elm-Anwendung</w:t>
            </w:r>
          </w:p>
        </w:tc>
      </w:tr>
      <w:tr>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7</w:t>
            </w:r>
          </w:p>
        </w:tc>
        <w:tc>
          <w:tcPr>
            <w:tcW w:type="dxa" w:w="84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Evaluationskonzept</w:t>
            </w:r>
          </w:p>
        </w:tc>
      </w:tr>
      <w:tr>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8</w:t>
            </w:r>
          </w:p>
        </w:tc>
        <w:tc>
          <w:tcPr>
            <w:tcW w:type="dxa" w:w="84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Projekt- und Arbeitsplan</w:t>
            </w:r>
          </w:p>
        </w:tc>
      </w:tr>
      <w:tr>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9</w:t>
            </w:r>
          </w:p>
        </w:tc>
        <w:tc>
          <w:tcPr>
            <w:tcW w:type="dxa" w:w="84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Risiken, Abgrenzung und offene Entscheidungen</w:t>
            </w:r>
          </w:p>
        </w:tc>
      </w:tr>
      <w:tr>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10</w:t>
            </w:r>
          </w:p>
        </w:tc>
        <w:tc>
          <w:tcPr>
            <w:tcW w:type="dxa" w:w="84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Zielgliederung des Abschlussberichts</w:t>
            </w:r>
          </w:p>
        </w:tc>
      </w:tr>
      <w:tr>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11</w:t>
            </w:r>
          </w:p>
        </w:tc>
        <w:tc>
          <w:tcPr>
            <w:tcW w:type="dxa" w:w="84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9"/>
              </w:rPr>
              <w:t>Fazit des Zwischenstands</w:t>
            </w:r>
          </w:p>
        </w:tc>
      </w:tr>
      <w:tr>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Lit.</w:t>
            </w:r>
          </w:p>
        </w:tc>
        <w:tc>
          <w:tcPr>
            <w:tcW w:type="dxa" w:w="84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9"/>
              </w:rPr>
              <w:t>Literatur und Datenquellen</w:t>
            </w:r>
          </w:p>
        </w:tc>
      </w:tr>
    </w:tbl>
    <w:p>
      <w:pPr>
        <w:spacing w:after="40"/>
      </w:pPr>
    </w:p>
    <w:p>
      <w:pPr>
        <w:pStyle w:val="Heading1"/>
      </w:pPr>
      <w:r>
        <w:t>Projektsteckbrief</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2700"/>
        <w:gridCol w:w="6660"/>
      </w:tblGrid>
      <w:tr>
        <w:trPr>
          <w:tblHeader w:val="true"/>
        </w:trPr>
        <w:tc>
          <w:tcPr>
            <w:tcW w:type="dxa" w:w="27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Aspekt</w:t>
            </w:r>
          </w:p>
        </w:tc>
        <w:tc>
          <w:tcPr>
            <w:tcW w:type="dxa" w:w="666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Festlegung für den Zwischenstand</w:t>
            </w:r>
          </w:p>
        </w:tc>
      </w:tr>
      <w:tr>
        <w:tc>
          <w:tcPr>
            <w:tcW w:type="dxa" w:w="27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Thema</w:t>
            </w:r>
          </w:p>
        </w:tc>
        <w:tc>
          <w:tcPr>
            <w:tcW w:type="dxa" w:w="66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Deutschlands Rolle im europäischen Stromnetz</w:t>
            </w:r>
          </w:p>
        </w:tc>
      </w:tr>
      <w:tr>
        <w:tc>
          <w:tcPr>
            <w:tcW w:type="dxa" w:w="27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Hauptfrage</w:t>
            </w:r>
          </w:p>
        </w:tc>
        <w:tc>
          <w:tcPr>
            <w:tcW w:type="dxa" w:w="66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Wann ist Deutschland Stromimporteur oder Stromexporteur, mit welchen Ländern findet der Austausch statt und wie hängen Flüsse, Erzeugungsmix und Preise zusammen?</w:t>
            </w:r>
          </w:p>
        </w:tc>
      </w:tr>
      <w:tr>
        <w:tc>
          <w:tcPr>
            <w:tcW w:type="dxa" w:w="27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Primäre Daten</w:t>
            </w:r>
          </w:p>
        </w:tc>
        <w:tc>
          <w:tcPr>
            <w:tcW w:type="dxa" w:w="66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Energy-Charts: cbpf, cbet, price und public_power</w:t>
            </w:r>
          </w:p>
        </w:tc>
      </w:tr>
      <w:tr>
        <w:tc>
          <w:tcPr>
            <w:tcW w:type="dxa" w:w="27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Visualisierungen</w:t>
            </w:r>
          </w:p>
        </w:tc>
        <w:tc>
          <w:tcPr>
            <w:tcW w:type="dxa" w:w="66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Stromflussnetz, Zeitreihen, Pixelmatrix, parallele Koordinaten</w:t>
            </w:r>
          </w:p>
        </w:tc>
      </w:tr>
      <w:tr>
        <w:tc>
          <w:tcPr>
            <w:tcW w:type="dxa" w:w="27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Implementierung</w:t>
            </w:r>
          </w:p>
        </w:tc>
        <w:tc>
          <w:tcPr>
            <w:tcW w:type="dxa" w:w="66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Elm, interaktive koordinierte Ansichten, SVG-basierte Darstellung</w:t>
            </w:r>
          </w:p>
        </w:tc>
      </w:tr>
      <w:tr>
        <w:tc>
          <w:tcPr>
            <w:tcW w:type="dxa" w:w="27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Vorläufiger Zeitraum</w:t>
            </w:r>
          </w:p>
        </w:tc>
        <w:tc>
          <w:tcPr>
            <w:tcW w:type="dxa" w:w="66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2022–2025, gemeinsame Stundenauflösung; Bestätigung nach Datenprüfung</w:t>
            </w:r>
          </w:p>
        </w:tc>
      </w:tr>
      <w:tr>
        <w:tc>
          <w:tcPr>
            <w:tcW w:type="dxa" w:w="27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Abgabe</w:t>
            </w:r>
          </w:p>
        </w:tc>
        <w:tc>
          <w:tcPr>
            <w:tcW w:type="dxa" w:w="66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21. September 2026</w:t>
            </w:r>
          </w:p>
        </w:tc>
      </w:tr>
    </w:tbl>
    <w:p>
      <w:pPr>
        <w:spacing w:after="40"/>
      </w:pPr>
    </w:p>
    <w:p>
      <w:r>
        <w:br w:type="page"/>
      </w:r>
    </w:p>
    <w:p>
      <w:pPr>
        <w:pStyle w:val="Heading1"/>
      </w:pPr>
      <w:r>
        <w:t>Einleitung und Problemstellung</w:t>
      </w:r>
    </w:p>
    <w:p>
      <w:r>
        <w:rPr>
          <w:rFonts w:ascii="Calibri" w:hAnsi="Calibri" w:eastAsia="Calibri"/>
          <w:i w:val="0"/>
        </w:rPr>
        <w:t>Das europäische Stromsystem ist ein Verbundsystem. Erzeugung und Verbrauch müssen fortlaufend ausgeglichen werden, während elektrische Energie gleichzeitig über Ländergrenzen gehandelt und physisch übertragen wird. Für Deutschland bedeutet dies, dass eine isolierte Betrachtung des nationalen Erzeugungsmixes zentrale Zusammenhänge ausblendet. Eine Phase hoher Windproduktion kann beispielsweise mit Exporten verbunden sein; in einer anderen Situation können geringe erneuerbare Erzeugung, höhere Preise und Importe gleichzeitig auftreten. Solche Zusammenhänge sind zeitabhängig, mehrdimensional und durch Netzbeziehungen geprägt.</w:t>
      </w:r>
    </w:p>
    <w:p>
      <w:r>
        <w:rPr>
          <w:rFonts w:ascii="Calibri" w:hAnsi="Calibri" w:eastAsia="Calibri"/>
          <w:i w:val="0"/>
        </w:rPr>
        <w:t>Die geplante Visual-Analytics-Anwendung soll diese Zusammenhänge explorierbar machen. Sie verbindet eine graphbasierte Darstellung der Länderbeziehungen mit einer zeitlichen Detailansicht, einer dichten Pixelübersicht und einer mehrdimensionalen Analyse. Der Schwerpunkt liegt nicht auf einer einzelnen Kennzahl, sondern auf dem Wechsel zwischen Überblick, Auswahl und Erklärung. Die Nutzerinnen und Nutzer sollen zunächst ungewöhnliche Zeiträume erkennen, anschließend beteiligte Länder und Flussrichtungen bestimmen und schließlich mögliche Zusammenhänge mit Strompreis und Erzeugungsmix untersuchen können.</w:t>
      </w:r>
    </w:p>
    <w:p>
      <w:pPr>
        <w:spacing w:before="100" w:after="180" w:line="288" w:lineRule="auto"/>
        <w:ind w:left="115" w:right="115"/>
        <w:shd w:fill="F4F6F9"/>
        <w:pBdr>
          <w:left w:val="single" w:sz="18" w:space="8" w:color="2E74B5"/>
        </w:pBdr>
      </w:pPr>
      <w:r>
        <w:rPr>
          <w:rFonts w:ascii="Calibri" w:hAnsi="Calibri" w:eastAsia="Calibri"/>
          <w:b/>
          <w:color w:val="2E74B5"/>
          <w:sz w:val="20"/>
        </w:rPr>
        <w:t xml:space="preserve">Leitidee. </w:t>
      </w:r>
      <w:r>
        <w:rPr>
          <w:rFonts w:ascii="Calibri" w:hAnsi="Calibri" w:eastAsia="Calibri"/>
          <w:color w:val="0B2545"/>
          <w:sz w:val="20"/>
        </w:rPr>
        <w:t>Eine Auswahl soll in jeder Ansicht dieselbe analytische Bedeutung besitzen. Zeitraum, Länderpaar und hervorgehobene Datenpunkte werden deshalb in einem gemeinsamen Anwendungszustand geführt.</w:t>
      </w:r>
    </w:p>
    <w:p>
      <w:pPr>
        <w:pStyle w:val="Heading2"/>
      </w:pPr>
      <w:r>
        <w:t>Motivation für die Themenwahl</w:t>
      </w:r>
    </w:p>
    <w:p>
      <w:r>
        <w:rPr>
          <w:rFonts w:ascii="Calibri" w:hAnsi="Calibri" w:eastAsia="Calibri"/>
          <w:i w:val="0"/>
        </w:rPr>
        <w:t>Die Themenwahl folgt von der Anwendung zu den Visualisierungstechniken. Das Stromnetz besitzt eine natürliche Graphstruktur, grenzüberschreitende Flüsse sind zeitabhängig, ein mehrjähriger Datenbestand erfordert eine verdichtete Übersicht und einzelne Zeitpunkte enthalten mehrere gleichzeitig relevante Merkmale. Damit ergeben sich die vier Visualisierungstechniken aus den Analyseaufgaben und nicht aus dem Wunsch, eine vorgegebene Liste möglichst einfach abzudecken.</w:t>
      </w:r>
    </w:p>
    <w:p>
      <w:r>
        <w:rPr>
          <w:rFonts w:ascii="Calibri" w:hAnsi="Calibri" w:eastAsia="Calibri"/>
          <w:i w:val="0"/>
        </w:rPr>
        <w:t>Die Energy-Charts-API stellt dafür passende Datensätze bereit. Der Endpunkt cbpf beschreibt physische grenzüberschreitende Flüsse, cbet den grenzüberschreitenden Handel, price den Day-Ahead-Preis und public_power die öffentliche Nettostromerzeugung nach Erzeugungsart [1]. Die Trennung zwischen Handel und physischem Fluss ist fachlich wichtig: Ein Handelsgeschäft muss nicht mit dem physikalischen Weg der elektrischen Energie identisch sein.</w:t>
      </w:r>
    </w:p>
    <w:p>
      <w:pPr>
        <w:pStyle w:val="Heading2"/>
      </w:pPr>
      <w:r>
        <w:t>Ziel und Beitrag des Projekts</w:t>
      </w:r>
    </w:p>
    <w:p>
      <w:r>
        <w:rPr>
          <w:rFonts w:ascii="Calibri" w:hAnsi="Calibri" w:eastAsia="Calibri"/>
          <w:i w:val="0"/>
        </w:rPr>
        <w:t>Ziel ist die Konzeption und Umsetzung eines interaktiven Werkzeugs, das Deutschlands Austausch mit anderen europäischen Ländern in einem wählbaren Zeitraum nachvollziehbar macht. Der Projektbeitrag besteht in der kohärenten Verbindung von vier komplementären Sichten, einer konsistenten Behandlung von Import- und Exportrichtungen sowie einer auf konkrete Analysefragen ausgerichteten Interaktion. Die Anwendung soll keine Netzsimulation und keine kausale Erklärung des Strommarkts liefern. Sie soll beobachtbare Muster sichtbar machen und fundierte Anschlussfragen ermöglichen.</w:t>
      </w:r>
    </w:p>
    <w:p>
      <w:pPr>
        <w:pStyle w:val="Heading1"/>
      </w:pPr>
      <w:r>
        <w:t>Zielgruppe, Forschungsfragen und Analyseaufgaben</w:t>
      </w:r>
    </w:p>
    <w:p>
      <w:pPr>
        <w:pStyle w:val="Heading2"/>
      </w:pPr>
      <w:r>
        <w:t>Zielgruppe und Nutzungskontext</w:t>
      </w:r>
    </w:p>
    <w:p>
      <w:r>
        <w:rPr>
          <w:rFonts w:ascii="Calibri" w:hAnsi="Calibri" w:eastAsia="Calibri"/>
          <w:i w:val="0"/>
        </w:rPr>
        <w:t>Die primäre Zielgruppe sind Studierende und fachlich interessierte Personen mit Grundkenntnissen zu Stromerzeugung und europäischen Ländern, jedoch ohne Zugang zu professioneller Energiemarktsoftware. Die Anwendung wird als Desktop-orientierte Webanwendung entwickelt. Sie soll sowohl eine freie Exploration als auch die Bearbeitung vorgegebener Analyseaufgaben unterstützen.</w:t>
      </w:r>
    </w:p>
    <w:p>
      <w:pPr>
        <w:pStyle w:val="Heading2"/>
      </w:pPr>
      <w:r>
        <w:t>Forschungsfragen</w:t>
      </w:r>
    </w:p>
    <w:p>
      <w:pPr>
        <w:spacing w:after="80" w:line="290" w:lineRule="auto"/>
        <w:ind w:left="540" w:hanging="279"/>
        <w:jc w:val="left"/>
        <w:numPr>
          <w:ilvl w:val="0"/>
          <w:numId w:val="44"/>
        </w:numPr>
      </w:pPr>
      <w:r>
        <w:rPr>
          <w:rFonts w:ascii="Calibri" w:hAnsi="Calibri" w:eastAsia="Calibri"/>
        </w:rPr>
        <w:t>F1: In welchen Zeiträumen ist Deutschland Nettoimporteur beziehungsweise Nettoexporteur, und wie stark sowie wie dauerhaft sind diese Zustände?</w:t>
      </w:r>
    </w:p>
    <w:p>
      <w:pPr>
        <w:spacing w:after="80" w:line="290" w:lineRule="auto"/>
        <w:ind w:left="540" w:hanging="279"/>
        <w:jc w:val="left"/>
        <w:numPr>
          <w:ilvl w:val="0"/>
          <w:numId w:val="44"/>
        </w:numPr>
      </w:pPr>
      <w:r>
        <w:rPr>
          <w:rFonts w:ascii="Calibri" w:hAnsi="Calibri" w:eastAsia="Calibri"/>
        </w:rPr>
        <w:t>F2: Welche Länder tragen in den ausgewählten Zeiträumen besonders stark zu den physischen Flüssen beziehungsweise zum Handel mit Deutschland bei?</w:t>
      </w:r>
    </w:p>
    <w:p>
      <w:pPr>
        <w:spacing w:after="80" w:line="290" w:lineRule="auto"/>
        <w:ind w:left="540" w:hanging="279"/>
        <w:jc w:val="left"/>
        <w:numPr>
          <w:ilvl w:val="0"/>
          <w:numId w:val="44"/>
        </w:numPr>
      </w:pPr>
      <w:r>
        <w:rPr>
          <w:rFonts w:ascii="Calibri" w:hAnsi="Calibri" w:eastAsia="Calibri"/>
        </w:rPr>
        <w:t>F3: Welche Muster bestehen gleichzeitig zwischen physischem Nettofluss, Handel, Day-Ahead-Preis und dem deutschen Erzeugungsmix?</w:t>
      </w:r>
    </w:p>
    <w:p>
      <w:r>
        <w:rPr>
          <w:rFonts w:ascii="Calibri" w:hAnsi="Calibri" w:eastAsia="Calibri"/>
          <w:i w:val="0"/>
        </w:rPr>
        <w:t>Die Fragen sind bewusst deskriptiv und explorativ formuliert. Aus zeitlichen Korrelationen werden keine kausalen Wirkungen abgeleitet. Aussagen wie „ein hoher Import verursacht einen hohen Preis“ wären mit den vorgesehenen Daten allein nicht belastbar.</w:t>
      </w:r>
    </w:p>
    <w:p>
      <w:pPr>
        <w:pStyle w:val="Heading2"/>
      </w:pPr>
      <w:r>
        <w:t>Analytische Aufgaben</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720"/>
        <w:gridCol w:w="1800"/>
        <w:gridCol w:w="6840"/>
      </w:tblGrid>
      <w:tr>
        <w:trPr>
          <w:tblHeader w:val="true"/>
        </w:trPr>
        <w:tc>
          <w:tcPr>
            <w:tcW w:type="dxa" w:w="72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ID</w:t>
            </w:r>
          </w:p>
        </w:tc>
        <w:tc>
          <w:tcPr>
            <w:tcW w:type="dxa" w:w="18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Aufgabentyp</w:t>
            </w:r>
          </w:p>
        </w:tc>
        <w:tc>
          <w:tcPr>
            <w:tcW w:type="dxa" w:w="684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Beschreibung</w:t>
            </w:r>
          </w:p>
        </w:tc>
      </w:tr>
      <w:tr>
        <w:tc>
          <w:tcPr>
            <w:tcW w:type="dxa" w:w="72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8"/>
              </w:rPr>
              <w:t>T1</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Überblick</w:t>
            </w:r>
          </w:p>
        </w:tc>
        <w:tc>
          <w:tcPr>
            <w:tcW w:type="dxa" w:w="684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Phasen überwiegender Importe oder Exporte in einem Jahr lokalisieren.</w:t>
            </w:r>
          </w:p>
        </w:tc>
      </w:tr>
      <w:tr>
        <w:tc>
          <w:tcPr>
            <w:tcW w:type="dxa" w:w="72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8"/>
              </w:rPr>
              <w:t>T2</w:t>
            </w:r>
          </w:p>
        </w:tc>
        <w:tc>
          <w:tcPr>
            <w:tcW w:type="dxa" w:w="18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Filtern</w:t>
            </w:r>
          </w:p>
        </w:tc>
        <w:tc>
          <w:tcPr>
            <w:tcW w:type="dxa" w:w="684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Zeitraum, Länderpaar, Flussart und Erzeugungsarten einschränken.</w:t>
            </w:r>
          </w:p>
        </w:tc>
      </w:tr>
      <w:tr>
        <w:tc>
          <w:tcPr>
            <w:tcW w:type="dxa" w:w="72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8"/>
              </w:rPr>
              <w:t>T3</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Identifizieren</w:t>
            </w:r>
          </w:p>
        </w:tc>
        <w:tc>
          <w:tcPr>
            <w:tcW w:type="dxa" w:w="684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stärkste Import- und Exportpartner eines Zeitpunkts bestimmen.</w:t>
            </w:r>
          </w:p>
        </w:tc>
      </w:tr>
      <w:tr>
        <w:tc>
          <w:tcPr>
            <w:tcW w:type="dxa" w:w="72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8"/>
              </w:rPr>
              <w:t>T4</w:t>
            </w:r>
          </w:p>
        </w:tc>
        <w:tc>
          <w:tcPr>
            <w:tcW w:type="dxa" w:w="18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Vergleichen</w:t>
            </w:r>
          </w:p>
        </w:tc>
        <w:tc>
          <w:tcPr>
            <w:tcW w:type="dxa" w:w="684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physischen Fluss und Handel für ein Länderpaar gegenüberstellen.</w:t>
            </w:r>
          </w:p>
        </w:tc>
      </w:tr>
      <w:tr>
        <w:tc>
          <w:tcPr>
            <w:tcW w:type="dxa" w:w="72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8"/>
              </w:rPr>
              <w:t>T5</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Korrelieren</w:t>
            </w:r>
          </w:p>
        </w:tc>
        <w:tc>
          <w:tcPr>
            <w:tcW w:type="dxa" w:w="684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gleichzeitige Muster von Preis, Flüssen und Erzeugungsarten untersuchen.</w:t>
            </w:r>
          </w:p>
        </w:tc>
      </w:tr>
      <w:tr>
        <w:tc>
          <w:tcPr>
            <w:tcW w:type="dxa" w:w="72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8"/>
              </w:rPr>
              <w:t>T6</w:t>
            </w:r>
          </w:p>
        </w:tc>
        <w:tc>
          <w:tcPr>
            <w:tcW w:type="dxa" w:w="18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Details abrufen</w:t>
            </w:r>
          </w:p>
        </w:tc>
        <w:tc>
          <w:tcPr>
            <w:tcW w:type="dxa" w:w="684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exakte Werte, Einheiten und Zeitstempel über Tooltips anzeigen.</w:t>
            </w:r>
          </w:p>
        </w:tc>
      </w:tr>
      <w:tr>
        <w:tc>
          <w:tcPr>
            <w:tcW w:type="dxa" w:w="72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8"/>
              </w:rPr>
              <w:t>T7</w:t>
            </w:r>
          </w:p>
        </w:tc>
        <w:tc>
          <w:tcPr>
            <w:tcW w:type="dxa" w:w="18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Kontext wechseln</w:t>
            </w:r>
          </w:p>
        </w:tc>
        <w:tc>
          <w:tcPr>
            <w:tcW w:type="dxa" w:w="684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von einer auffälligen Pixelzelle zur zeitlichen Detailansicht navigieren.</w:t>
            </w:r>
          </w:p>
        </w:tc>
      </w:tr>
    </w:tbl>
    <w:p>
      <w:pPr>
        <w:spacing w:after="40"/>
      </w:pPr>
    </w:p>
    <w:p>
      <w:pPr>
        <w:pStyle w:val="Heading2"/>
      </w:pPr>
      <w:r>
        <w:t>Erfolgskriterien</w:t>
      </w:r>
    </w:p>
    <w:p>
      <w:pPr>
        <w:spacing w:after="80" w:line="290" w:lineRule="auto"/>
        <w:ind w:left="540" w:hanging="279"/>
        <w:jc w:val="left"/>
        <w:numPr>
          <w:ilvl w:val="0"/>
          <w:numId w:val="43"/>
        </w:numPr>
      </w:pPr>
      <w:r>
        <w:rPr>
          <w:rFonts w:ascii="Calibri" w:hAnsi="Calibri" w:eastAsia="Calibri"/>
        </w:rPr>
        <w:t>Die vier Ansichten reagieren konsistent auf dieselbe Zeit- und Länderauswahl.</w:t>
      </w:r>
    </w:p>
    <w:p>
      <w:pPr>
        <w:spacing w:after="80" w:line="290" w:lineRule="auto"/>
        <w:ind w:left="540" w:hanging="279"/>
        <w:jc w:val="left"/>
        <w:numPr>
          <w:ilvl w:val="0"/>
          <w:numId w:val="43"/>
        </w:numPr>
      </w:pPr>
      <w:r>
        <w:rPr>
          <w:rFonts w:ascii="Calibri" w:hAnsi="Calibri" w:eastAsia="Calibri"/>
        </w:rPr>
        <w:t>Import und Export sind in allen Ansichten mit derselben Vorzeichen- und Farblogik dargestellt.</w:t>
      </w:r>
    </w:p>
    <w:p>
      <w:pPr>
        <w:spacing w:after="80" w:line="290" w:lineRule="auto"/>
        <w:ind w:left="540" w:hanging="279"/>
        <w:jc w:val="left"/>
        <w:numPr>
          <w:ilvl w:val="0"/>
          <w:numId w:val="43"/>
        </w:numPr>
      </w:pPr>
      <w:r>
        <w:rPr>
          <w:rFonts w:ascii="Calibri" w:hAnsi="Calibri" w:eastAsia="Calibri"/>
        </w:rPr>
        <w:t>Mindestens ein mehrjähriger Datenbestand kann als verdichtete Übersicht flüssig exploriert werden.</w:t>
      </w:r>
    </w:p>
    <w:p>
      <w:pPr>
        <w:spacing w:after="80" w:line="290" w:lineRule="auto"/>
        <w:ind w:left="540" w:hanging="279"/>
        <w:jc w:val="left"/>
        <w:numPr>
          <w:ilvl w:val="0"/>
          <w:numId w:val="43"/>
        </w:numPr>
      </w:pPr>
      <w:r>
        <w:rPr>
          <w:rFonts w:ascii="Calibri" w:hAnsi="Calibri" w:eastAsia="Calibri"/>
        </w:rPr>
        <w:t>Die Aufgaben T1 bis T7 sind ohne Wechsel in externe Werkzeuge lösbar.</w:t>
      </w:r>
    </w:p>
    <w:p>
      <w:pPr>
        <w:spacing w:after="80" w:line="290" w:lineRule="auto"/>
        <w:ind w:left="540" w:hanging="279"/>
        <w:jc w:val="left"/>
        <w:numPr>
          <w:ilvl w:val="0"/>
          <w:numId w:val="43"/>
        </w:numPr>
      </w:pPr>
      <w:r>
        <w:rPr>
          <w:rFonts w:ascii="Calibri" w:hAnsi="Calibri" w:eastAsia="Calibri"/>
        </w:rPr>
        <w:t>Fehlende oder nicht vergleichbare Werte werden sichtbar gekennzeichnet und nicht als Null interpretiert.</w:t>
      </w:r>
    </w:p>
    <w:p>
      <w:pPr>
        <w:pStyle w:val="Heading1"/>
      </w:pPr>
      <w:r>
        <w:t>Datenbasis und Datenaufbereitung</w:t>
      </w:r>
    </w:p>
    <w:p>
      <w:pPr>
        <w:pStyle w:val="Heading2"/>
      </w:pPr>
      <w:r>
        <w:t>Energy-Charts-Daten</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1080"/>
        <w:gridCol w:w="3600"/>
        <w:gridCol w:w="1080"/>
        <w:gridCol w:w="3600"/>
      </w:tblGrid>
      <w:tr>
        <w:trPr>
          <w:tblHeader w:val="true"/>
        </w:trPr>
        <w:tc>
          <w:tcPr>
            <w:tcW w:type="dxa" w:w="108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Endpunkt</w:t>
            </w:r>
          </w:p>
        </w:tc>
        <w:tc>
          <w:tcPr>
            <w:tcW w:type="dxa" w:w="36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Inhalt</w:t>
            </w:r>
          </w:p>
        </w:tc>
        <w:tc>
          <w:tcPr>
            <w:tcW w:type="dxa" w:w="108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Einheit</w:t>
            </w:r>
          </w:p>
        </w:tc>
        <w:tc>
          <w:tcPr>
            <w:tcW w:type="dxa" w:w="36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Verwendung</w:t>
            </w:r>
          </w:p>
        </w:tc>
      </w:tr>
      <w:tr>
        <w:tc>
          <w:tcPr>
            <w:tcW w:type="dxa" w:w="108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cbpf</w:t>
            </w:r>
          </w:p>
        </w:tc>
        <w:tc>
          <w:tcPr>
            <w:tcW w:type="dxa" w:w="36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Physische grenzüberschreitende Flüsse</w:t>
            </w:r>
          </w:p>
        </w:tc>
        <w:tc>
          <w:tcPr>
            <w:tcW w:type="dxa" w:w="108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GW</w:t>
            </w:r>
          </w:p>
        </w:tc>
        <w:tc>
          <w:tcPr>
            <w:tcW w:type="dxa" w:w="36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Netzwerk, Zeitreihe, Pixelmatrix</w:t>
            </w:r>
          </w:p>
        </w:tc>
      </w:tr>
      <w:tr>
        <w:tc>
          <w:tcPr>
            <w:tcW w:type="dxa" w:w="108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cbet</w:t>
            </w:r>
          </w:p>
        </w:tc>
        <w:tc>
          <w:tcPr>
            <w:tcW w:type="dxa" w:w="36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Grenzüberschreitender Stromhandel</w:t>
            </w:r>
          </w:p>
        </w:tc>
        <w:tc>
          <w:tcPr>
            <w:tcW w:type="dxa" w:w="108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GW</w:t>
            </w:r>
          </w:p>
        </w:tc>
        <w:tc>
          <w:tcPr>
            <w:tcW w:type="dxa" w:w="36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Zeitreihe, parallele Koordinaten</w:t>
            </w:r>
          </w:p>
        </w:tc>
      </w:tr>
      <w:tr>
        <w:tc>
          <w:tcPr>
            <w:tcW w:type="dxa" w:w="108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price</w:t>
            </w:r>
          </w:p>
        </w:tc>
        <w:tc>
          <w:tcPr>
            <w:tcW w:type="dxa" w:w="36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Day-Ahead-Preis der Gebotszone DE-LU</w:t>
            </w:r>
          </w:p>
        </w:tc>
        <w:tc>
          <w:tcPr>
            <w:tcW w:type="dxa" w:w="108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EUR/MWh</w:t>
            </w:r>
          </w:p>
        </w:tc>
        <w:tc>
          <w:tcPr>
            <w:tcW w:type="dxa" w:w="36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Zeitreihe, parallele Koordinaten</w:t>
            </w:r>
          </w:p>
        </w:tc>
      </w:tr>
      <w:tr>
        <w:tc>
          <w:tcPr>
            <w:tcW w:type="dxa" w:w="108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public_power</w:t>
            </w:r>
          </w:p>
        </w:tc>
        <w:tc>
          <w:tcPr>
            <w:tcW w:type="dxa" w:w="36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Öffentliche Nettostromerzeugung nach Erzeugungsart</w:t>
            </w:r>
          </w:p>
        </w:tc>
        <w:tc>
          <w:tcPr>
            <w:tcW w:type="dxa" w:w="108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MW</w:t>
            </w:r>
          </w:p>
        </w:tc>
        <w:tc>
          <w:tcPr>
            <w:tcW w:type="dxa" w:w="36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Zeitreihe, parallele Koordinaten</w:t>
            </w:r>
          </w:p>
        </w:tc>
      </w:tr>
    </w:tbl>
    <w:p>
      <w:pPr>
        <w:spacing w:after="40"/>
      </w:pPr>
    </w:p>
    <w:p>
      <w:r>
        <w:rPr>
          <w:rFonts w:ascii="Calibri" w:hAnsi="Calibri" w:eastAsia="Calibri"/>
          <w:i w:val="0"/>
        </w:rPr>
        <w:t>Nach der API-Konvention bedeuten bei cbpf und cbet positive Werte einen Import und negative Werte einen Export [1]. Diese Vorzeichenkonvention wird beim Einlesen dokumentiert und in eine domänenspezifische Repräsentation überführt. Die Oberfläche zeigt zusätzlich sprachliche Richtungsangaben, damit die Interpretation nicht allein vom Vorzeichen abhängt.</w:t>
      </w:r>
    </w:p>
    <w:p>
      <w:pPr>
        <w:pStyle w:val="Heading2"/>
      </w:pPr>
      <w:r>
        <w:t>Vorläufiger Untersuchungsumfang</w:t>
      </w:r>
    </w:p>
    <w:p>
      <w:r>
        <w:rPr>
          <w:rFonts w:ascii="Calibri" w:hAnsi="Calibri" w:eastAsia="Calibri"/>
          <w:i w:val="0"/>
        </w:rPr>
        <w:t>Für den Prototyp ist der Zeitraum 1. Januar 2022 bis 31. Dezember 2025 vorgesehen. Die Daten werden auf eine gemeinsame Stundenauflösung gebracht. Damit umfasst eine vollständige Zeitreihe ungefähr 35.000 Zeitpunkte pro Merkmal und ist groß genug, um Aggregation und dichte Übersichten zu begründen. Die endgültige Auswahl hängt von einem noch durchzuführenden Verfügbarkeitstest der Hochschul-Datenbank ab. Falls einzelne Reihen lückenhaft sind, wird ein zusammenhängender kürzerer Zeitraum bevorzugt, statt verschiedene Reihen unbemerkt mit unterschiedlichen Abdeckungen zu vergleichen.</w:t>
      </w:r>
    </w:p>
    <w:p>
      <w:pPr>
        <w:spacing w:before="100" w:after="180" w:line="288" w:lineRule="auto"/>
        <w:ind w:left="115" w:right="115"/>
        <w:shd w:fill="FFF7E8"/>
        <w:pBdr>
          <w:left w:val="single" w:sz="18" w:space="8" w:color="B07D18"/>
        </w:pBdr>
      </w:pPr>
      <w:r>
        <w:rPr>
          <w:rFonts w:ascii="Calibri" w:hAnsi="Calibri" w:eastAsia="Calibri"/>
          <w:b/>
          <w:color w:val="B07D18"/>
          <w:sz w:val="20"/>
        </w:rPr>
        <w:t xml:space="preserve">Offene Entscheidung D1. </w:t>
      </w:r>
      <w:r>
        <w:rPr>
          <w:rFonts w:ascii="Calibri" w:hAnsi="Calibri" w:eastAsia="Calibri"/>
          <w:color w:val="0B2545"/>
          <w:sz w:val="20"/>
        </w:rPr>
        <w:t>Der Datencheck muss klären, welche Länder in cbpf und cbet über den gesamten Zielzeitraum verfügbar sind und ob die Zeitraster ohne Informationsverlust auf Stundenwerte vereinheitlicht werden können.</w:t>
      </w:r>
    </w:p>
    <w:p>
      <w:pPr>
        <w:pStyle w:val="Heading2"/>
      </w:pPr>
      <w:r>
        <w:t>Aufbereitungsschritte</w:t>
      </w:r>
    </w:p>
    <w:p>
      <w:pPr>
        <w:spacing w:after="80" w:line="290" w:lineRule="auto"/>
        <w:ind w:left="540" w:hanging="279"/>
        <w:jc w:val="left"/>
        <w:numPr>
          <w:ilvl w:val="0"/>
          <w:numId w:val="44"/>
        </w:numPr>
      </w:pPr>
      <w:r>
        <w:rPr>
          <w:rFonts w:ascii="Calibri" w:hAnsi="Calibri" w:eastAsia="Calibri"/>
        </w:rPr>
        <w:t>Zeitstempel in eine einheitliche Zeitzone und auf Stundenintervalle normalisieren; Sommerzeitwechsel explizit behandeln.</w:t>
      </w:r>
    </w:p>
    <w:p>
      <w:pPr>
        <w:spacing w:after="80" w:line="290" w:lineRule="auto"/>
        <w:ind w:left="540" w:hanging="279"/>
        <w:jc w:val="left"/>
        <w:numPr>
          <w:ilvl w:val="0"/>
          <w:numId w:val="44"/>
        </w:numPr>
      </w:pPr>
      <w:r>
        <w:rPr>
          <w:rFonts w:ascii="Calibri" w:hAnsi="Calibri" w:eastAsia="Calibri"/>
        </w:rPr>
        <w:t>Einheiten vereinheitlichen und Metadaten zu Einheit, Quelle und Aggregation erhalten.</w:t>
      </w:r>
    </w:p>
    <w:p>
      <w:pPr>
        <w:spacing w:after="80" w:line="290" w:lineRule="auto"/>
        <w:ind w:left="540" w:hanging="279"/>
        <w:jc w:val="left"/>
        <w:numPr>
          <w:ilvl w:val="0"/>
          <w:numId w:val="44"/>
        </w:numPr>
      </w:pPr>
      <w:r>
        <w:rPr>
          <w:rFonts w:ascii="Calibri" w:hAnsi="Calibri" w:eastAsia="Calibri"/>
        </w:rPr>
        <w:t>Länderbezeichnungen auf stabile Codes abbilden; nur tatsächlich gelieferte Gegenparteien anzeigen.</w:t>
      </w:r>
    </w:p>
    <w:p>
      <w:pPr>
        <w:spacing w:after="80" w:line="290" w:lineRule="auto"/>
        <w:ind w:left="540" w:hanging="279"/>
        <w:jc w:val="left"/>
        <w:numPr>
          <w:ilvl w:val="0"/>
          <w:numId w:val="44"/>
        </w:numPr>
      </w:pPr>
      <w:r>
        <w:rPr>
          <w:rFonts w:ascii="Calibri" w:hAnsi="Calibri" w:eastAsia="Calibri"/>
        </w:rPr>
        <w:t>Für Deutschland je Zeitpunkt physischen Nettofluss und Nettohandel aus allen Länderreihen berechnen.</w:t>
      </w:r>
    </w:p>
    <w:p>
      <w:pPr>
        <w:spacing w:after="80" w:line="290" w:lineRule="auto"/>
        <w:ind w:left="540" w:hanging="279"/>
        <w:jc w:val="left"/>
        <w:numPr>
          <w:ilvl w:val="0"/>
          <w:numId w:val="44"/>
        </w:numPr>
      </w:pPr>
      <w:r>
        <w:rPr>
          <w:rFonts w:ascii="Calibri" w:hAnsi="Calibri" w:eastAsia="Calibri"/>
        </w:rPr>
        <w:t>Erzeugungsarten für die Anzeige gruppieren, ohne die Rohwerte zu überschreiben.</w:t>
      </w:r>
    </w:p>
    <w:p>
      <w:pPr>
        <w:spacing w:after="80" w:line="290" w:lineRule="auto"/>
        <w:ind w:left="540" w:hanging="279"/>
        <w:jc w:val="left"/>
        <w:numPr>
          <w:ilvl w:val="0"/>
          <w:numId w:val="44"/>
        </w:numPr>
      </w:pPr>
      <w:r>
        <w:rPr>
          <w:rFonts w:ascii="Calibri" w:hAnsi="Calibri" w:eastAsia="Calibri"/>
        </w:rPr>
        <w:t>Tages- und Wochenaggregate für Übersichten erzeugen; Detailwerte für den ausgewählten Zeitraum bereithalten.</w:t>
      </w:r>
    </w:p>
    <w:p>
      <w:pPr>
        <w:spacing w:after="80" w:line="290" w:lineRule="auto"/>
        <w:ind w:left="540" w:hanging="279"/>
        <w:jc w:val="left"/>
        <w:numPr>
          <w:ilvl w:val="0"/>
          <w:numId w:val="44"/>
        </w:numPr>
      </w:pPr>
      <w:r>
        <w:rPr>
          <w:rFonts w:ascii="Calibri" w:hAnsi="Calibri" w:eastAsia="Calibri"/>
        </w:rPr>
        <w:t>Fehlende Werte als Missing markieren und bei Aggregationen den Abdeckungsgrad mitführen.</w:t>
      </w:r>
    </w:p>
    <w:p>
      <w:pPr>
        <w:pStyle w:val="Heading2"/>
      </w:pPr>
      <w:r>
        <w:t>Datenmodell</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2160"/>
        <w:gridCol w:w="7200"/>
      </w:tblGrid>
      <w:tr>
        <w:trPr>
          <w:tblHeader w:val="true"/>
        </w:trPr>
        <w:tc>
          <w:tcPr>
            <w:tcW w:type="dxa" w:w="216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Datentyp</w:t>
            </w:r>
          </w:p>
        </w:tc>
        <w:tc>
          <w:tcPr>
            <w:tcW w:type="dxa" w:w="72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Geplante Felder und Bedeutung</w:t>
            </w:r>
          </w:p>
        </w:tc>
      </w:tr>
      <w:tr>
        <w:tc>
          <w:tcPr>
            <w:tcW w:type="dxa" w:w="21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TimePoint</w:t>
            </w:r>
          </w:p>
        </w:tc>
        <w:tc>
          <w:tcPr>
            <w:tcW w:type="dxa" w:w="72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Zeitstempel, Preis, Nettofluss, Nettohandel, Erzeugungswerte, Datenqualität</w:t>
            </w:r>
          </w:p>
        </w:tc>
      </w:tr>
      <w:tr>
        <w:tc>
          <w:tcPr>
            <w:tcW w:type="dxa" w:w="21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BorderFlow</w:t>
            </w:r>
          </w:p>
        </w:tc>
        <w:tc>
          <w:tcPr>
            <w:tcW w:type="dxa" w:w="72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Zeitstempel, Partnerland, physischer Fluss, Handel</w:t>
            </w:r>
          </w:p>
        </w:tc>
      </w:tr>
      <w:tr>
        <w:tc>
          <w:tcPr>
            <w:tcW w:type="dxa" w:w="21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Selection</w:t>
            </w:r>
          </w:p>
        </w:tc>
        <w:tc>
          <w:tcPr>
            <w:tcW w:type="dxa" w:w="72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Zeitraum, gewähltes Land beziehungsweise Länderpaar, gewählter Zeitpunkt</w:t>
            </w:r>
          </w:p>
        </w:tc>
      </w:tr>
      <w:tr>
        <w:tc>
          <w:tcPr>
            <w:tcW w:type="dxa" w:w="21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Aggregation</w:t>
            </w:r>
          </w:p>
        </w:tc>
        <w:tc>
          <w:tcPr>
            <w:tcW w:type="dxa" w:w="72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Stunde, Tag, Woche oder Monat; Regel und Abdeckungsgrad</w:t>
            </w:r>
          </w:p>
        </w:tc>
      </w:tr>
      <w:tr>
        <w:tc>
          <w:tcPr>
            <w:tcW w:type="dxa" w:w="21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ViewState</w:t>
            </w:r>
          </w:p>
        </w:tc>
        <w:tc>
          <w:tcPr>
            <w:tcW w:type="dxa" w:w="72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aktive Filter, Hover-Element, Sortierung, Farbskalierung</w:t>
            </w:r>
          </w:p>
        </w:tc>
      </w:tr>
    </w:tbl>
    <w:p>
      <w:pPr>
        <w:spacing w:after="40"/>
      </w:pPr>
    </w:p>
    <w:p>
      <w:pPr>
        <w:pStyle w:val="Heading2"/>
      </w:pPr>
      <w:r>
        <w:t>Datenqualität und Grenzen</w:t>
      </w:r>
    </w:p>
    <w:p>
      <w:r>
        <w:rPr>
          <w:rFonts w:ascii="Calibri" w:hAnsi="Calibri" w:eastAsia="Calibri"/>
          <w:i w:val="0"/>
        </w:rPr>
        <w:t>Physische Flüsse, Handelswerte und Preise stammen aus unterschiedlichen fachlichen Prozessen. Gleiche Vorzeichen oder zeitgleiche Ausschläge dürfen daher nicht als Identität interpretiert werden. Zusätzlich können Meldeverzögerungen, nachträgliche Korrekturen und unterschiedliche Zeitauflösungen auftreten. Im Bericht werden Datenquelle, Abrufdatum, Transformationsschritte und ausgeschlossene Zeiträume dokumentiert. Die API-Daten stehen grundsätzlich unter CC BY 4.0; für Preisdaten enthält die Schnittstelle zusätzliche lizenzbezogene Hinweise je Gebotszone [1].</w:t>
      </w:r>
    </w:p>
    <w:p>
      <w:r>
        <w:br w:type="page"/>
      </w:r>
    </w:p>
    <w:p>
      <w:pPr>
        <w:pStyle w:val="Heading1"/>
      </w:pPr>
      <w:r>
        <w:t>Visualisierungskonzept</w:t>
      </w:r>
    </w:p>
    <w:p>
      <w:r>
        <w:rPr>
          <w:rFonts w:ascii="Calibri" w:hAnsi="Calibri" w:eastAsia="Calibri"/>
          <w:i w:val="0"/>
        </w:rPr>
        <w:t>Das Konzept folgt dem Ansatz koordinierter Mehrfachansichten. Jede Ansicht beantwortet einen anderen Teil der Analyse, während Selektion und Filter gemeinsam verwendet werden. Koordinierte Ansichten unterstützen den Wechsel zwischen Szenarien, Vergleichen und Detailuntersuchungen [3]. Die Gestaltung wird entlang des verschachtelten Modells von Munzner begründet: Domänenproblem, Daten- und Aufgabenabstraktion, visuelle Kodierung und Interaktion sowie algorithmische Umsetzung werden getrennt betrachtet [2].</w:t>
      </w:r>
    </w:p>
    <w:p>
      <w:pPr>
        <w:keepNext/>
        <w:spacing w:before="80" w:after="0"/>
        <w:jc w:val="center"/>
      </w:pPr>
      <w:r>
        <w:drawing>
          <wp:inline xmlns:a="http://schemas.openxmlformats.org/drawingml/2006/main" xmlns:pic="http://schemas.openxmlformats.org/drawingml/2006/picture">
            <wp:extent cx="5897880" cy="3257877"/>
            <wp:docPr id="1" name="Picture 1" descr="Entwurf der Anwendung mit Stromflussnetz, Zeitreihe, Pixelmatrix und parallelen Koordinaten." title="Entwurf der Anwendung mit Stromflussnetz, Zeitreihe, Pixelmatrix und parallelen Koordinaten."/>
            <wp:cNvGraphicFramePr>
              <a:graphicFrameLocks noChangeAspect="1"/>
            </wp:cNvGraphicFramePr>
            <a:graphic>
              <a:graphicData uri="http://schemas.openxmlformats.org/drawingml/2006/picture">
                <pic:pic>
                  <pic:nvPicPr>
                    <pic:cNvPr id="0" name="ui_mockup.png"/>
                    <pic:cNvPicPr/>
                  </pic:nvPicPr>
                  <pic:blipFill>
                    <a:blip r:embed="rId9"/>
                    <a:stretch>
                      <a:fillRect/>
                    </a:stretch>
                  </pic:blipFill>
                  <pic:spPr>
                    <a:xfrm>
                      <a:off x="0" y="0"/>
                      <a:ext cx="5897880" cy="3257877"/>
                    </a:xfrm>
                    <a:prstGeom prst="rect"/>
                  </pic:spPr>
                </pic:pic>
              </a:graphicData>
            </a:graphic>
          </wp:inline>
        </w:drawing>
      </w:r>
    </w:p>
    <w:p>
      <w:pPr>
        <w:pStyle w:val="CaptionCustom"/>
      </w:pPr>
      <w:r>
        <w:t>Abbildung 1: Entwurf der vier koordinierten Ansichten. Eigene Darstellung; Layout und Skalen werden im Prototyp iterativ geprüft.</w:t>
      </w:r>
    </w:p>
    <w:p>
      <w:pPr>
        <w:pStyle w:val="Heading2"/>
      </w:pPr>
      <w:r>
        <w:t>Interaktiver Netzwerkgraph</w:t>
      </w:r>
    </w:p>
    <w:p>
      <w:r>
        <w:rPr>
          <w:rFonts w:ascii="Calibri" w:hAnsi="Calibri" w:eastAsia="Calibri"/>
          <w:i w:val="0"/>
        </w:rPr>
        <w:t>Im Netzwerkgraph repräsentiert jeder Knoten ein Land. Deutschland ist als Bezugsknoten visuell hervorgehoben; Kanten verbinden es mit den für den gewählten Zeitpunkt verfügbaren Gegenparteien. Die Kantenrichtung kodiert Import oder Export, die Breite den Betrag des physischen Flusses. Farbe dient redundant zur Kennzeichnung der Richtung. Bei der Auswahl eines Zeitintervalls zeigt der Graph wahlweise den Mittelwert, die Summe der Energie nach geeigneter Umrechnung oder einen einzelnen Zeitpunkt. Die jeweils verwendete Aggregation wird sichtbar beschriftet.</w:t>
      </w:r>
    </w:p>
    <w:p>
      <w:r>
        <w:rPr>
          <w:rFonts w:ascii="Calibri" w:hAnsi="Calibri" w:eastAsia="Calibri"/>
          <w:i w:val="0"/>
        </w:rPr>
        <w:t>Der Graph wird nicht als exakte geografische Karte verstanden. Eine stabile, annähernd geografische Anordnung erleichtert jedoch die Wiedererkennung. Ein Klick auf eine Kante setzt das Länderpaar als Filter. Ein Klick auf einen Knoten wählt das Land aus und hebt seine Beziehungen in den anderen Ansichten hervor.</w:t>
      </w:r>
    </w:p>
    <w:p>
      <w:pPr>
        <w:spacing w:before="100" w:after="180" w:line="288" w:lineRule="auto"/>
        <w:ind w:left="115" w:right="115"/>
        <w:shd w:fill="FCEEEE"/>
        <w:pBdr>
          <w:left w:val="single" w:sz="18" w:space="8" w:color="A23B3B"/>
        </w:pBdr>
      </w:pPr>
      <w:r>
        <w:rPr>
          <w:rFonts w:ascii="Calibri" w:hAnsi="Calibri" w:eastAsia="Calibri"/>
          <w:b/>
          <w:color w:val="A23B3B"/>
          <w:sz w:val="20"/>
        </w:rPr>
        <w:t xml:space="preserve">Gestaltungsrisiko. </w:t>
      </w:r>
      <w:r>
        <w:rPr>
          <w:rFonts w:ascii="Calibri" w:hAnsi="Calibri" w:eastAsia="Calibri"/>
          <w:color w:val="0B2545"/>
          <w:sz w:val="20"/>
        </w:rPr>
        <w:t>Bei stark unterschiedlichen Flussbeträgen dürfen kleine Kanten nicht vollständig verschwinden. Geprüft werden eine begrenzte Breiten-Skala, Mindestbreite und Tooltip-Werte.</w:t>
      </w:r>
    </w:p>
    <w:p>
      <w:pPr>
        <w:pStyle w:val="Heading2"/>
      </w:pPr>
      <w:r>
        <w:t>Zeitreihenansicht</w:t>
      </w:r>
    </w:p>
    <w:p>
      <w:r>
        <w:rPr>
          <w:rFonts w:ascii="Calibri" w:hAnsi="Calibri" w:eastAsia="Calibri"/>
          <w:i w:val="0"/>
        </w:rPr>
        <w:t>Die Zeitreihenansicht zeigt den physischen Nettofluss Deutschlands sowie optional den Handel, den Day-Ahead-Preis und ausgewählte Erzeugungsarten. Wegen der unterschiedlichen Einheiten werden nicht beliebig viele Linien auf eine gemeinsame Achse gelegt. Stattdessen ist ein vertikal ausgerichtetes Small-Multiple-Layout mit synchroner Zeitachse vorgesehen: Flüsse, Preis und Erzeugung erhalten eigene Skalen. Ein gemeinsamer vertikaler Cursor macht zeitgleiche Werte vergleichbar.</w:t>
      </w:r>
    </w:p>
    <w:p>
      <w:r>
        <w:rPr>
          <w:rFonts w:ascii="Calibri" w:hAnsi="Calibri" w:eastAsia="Calibri"/>
          <w:i w:val="0"/>
        </w:rPr>
        <w:t>Durch Ziehen auf der Zeitachse wird ein Intervall ausgewählt. Diese Auswahl aktualisiert Netzwerkgraph, Pixelmatrix und parallele Koordinaten. Für lange Zeiträume wird aggregiert; für kurze Zeiträume werden Stundenwerte dargestellt. Die Zeitreihe übernimmt damit die Rolle der präzisen zeitlichen Detailansicht. Grundlagen zur Gestaltung zeitbezogener Daten werden insbesondere aus Aigner et al. abgeleitet [6].</w:t>
      </w:r>
    </w:p>
    <w:p>
      <w:pPr>
        <w:pStyle w:val="Heading2"/>
      </w:pPr>
      <w:r>
        <w:t>Pixelmatrix</w:t>
      </w:r>
    </w:p>
    <w:p>
      <w:r>
        <w:rPr>
          <w:rFonts w:ascii="Calibri" w:hAnsi="Calibri" w:eastAsia="Calibri"/>
          <w:i w:val="0"/>
        </w:rPr>
        <w:t>Die Pixelmatrix stellt Partnerländer als Zeilen und Zeitintervalle als Spalten dar. Die Farbe jeder Zelle kodiert Richtung und Stärke des physischen Flusses. Eine divergierende Skala mit neutralem Mittelpunkt trennt Import und Export. Bei der Jahresübersicht entspricht eine Zelle einem Tag; nach dem Hineinzoomen kann eine Zelle eine Stunde repräsentieren. Damit werden wiederkehrende Muster, längere Importphasen und einzelne Extremereignisse auf begrenztem Raum sichtbar.</w:t>
      </w:r>
    </w:p>
    <w:p>
      <w:r>
        <w:rPr>
          <w:rFonts w:ascii="Calibri" w:hAnsi="Calibri" w:eastAsia="Calibri"/>
          <w:i w:val="0"/>
        </w:rPr>
        <w:t>Pixelorientierte Techniken sind für große multidimensionale Datenmengen geeignet, weil viele Werte gleichzeitig über Farbe und Anordnung dargestellt werden können [4]. Die Reihenfolge der Länder ist deshalb Teil der Interaktion: alphabetisch, nach mittlerem Flussbetrag oder nach aktuellem Betrag. Tooltips liefern exakte Werte. Ein Klick auf eine Zelle setzt Zeitpunkt und Land und öffnet die zeitliche Umgebung in der Detailansicht.</w:t>
      </w:r>
    </w:p>
    <w:p>
      <w:pPr>
        <w:pStyle w:val="Heading2"/>
      </w:pPr>
      <w:r>
        <w:t>Parallele Koordinaten</w:t>
      </w:r>
    </w:p>
    <w:p>
      <w:r>
        <w:rPr>
          <w:rFonts w:ascii="Calibri" w:hAnsi="Calibri" w:eastAsia="Calibri"/>
          <w:i w:val="0"/>
        </w:rPr>
        <w:t>In den parallelen Koordinaten repräsentiert eine Linie einen Zeitdatensatz, vorzugsweise eine Stunde oder einen aggregierten Tag. Geplante Achsen sind Day-Ahead-Preis, physischer Nettoimport, Nettohandel sowie Anteile beziehungsweise Leistungen ausgewählter Erzeugungsarten wie Wind, Solar, Kohle und Gas. Die Technik erlaubt die gleichzeitige Betrachtung mehrerer Merkmale und unterstützt die Suche nach typischen Kombinationen [5].</w:t>
      </w:r>
    </w:p>
    <w:p>
      <w:r>
        <w:rPr>
          <w:rFonts w:ascii="Calibri" w:hAnsi="Calibri" w:eastAsia="Calibri"/>
          <w:i w:val="0"/>
        </w:rPr>
        <w:t>Um Überlagerung zu reduzieren, zeigt die Ansicht standardmäßig nur den gewählten Zeitraum oder eine Stichprobe beziehungsweise Aggregation. Nicht ausgewählte Linien werden transparent gezeichnet. Achsen können gefiltert und in einer späteren Ausbaustufe umsortiert werden. Eine farbliche Hervorhebung orientiert sich an Import, Export oder Preisbereich, nicht gleichzeitig an mehreren Kriterien.</w:t>
      </w:r>
    </w:p>
    <w:p>
      <w:pPr>
        <w:pStyle w:val="Heading2"/>
      </w:pPr>
      <w:r>
        <w:t>Visuelle Kodierung und Barrierearmut</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1500"/>
        <w:gridCol w:w="3960"/>
        <w:gridCol w:w="3900"/>
      </w:tblGrid>
      <w:tr>
        <w:trPr>
          <w:tblHeader w:val="true"/>
        </w:trPr>
        <w:tc>
          <w:tcPr>
            <w:tcW w:type="dxa" w:w="15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Information</w:t>
            </w:r>
          </w:p>
        </w:tc>
        <w:tc>
          <w:tcPr>
            <w:tcW w:type="dxa" w:w="396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Kodierung</w:t>
            </w:r>
          </w:p>
        </w:tc>
        <w:tc>
          <w:tcPr>
            <w:tcW w:type="dxa" w:w="39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Begründung</w:t>
            </w:r>
          </w:p>
        </w:tc>
      </w:tr>
      <w:tr>
        <w:tc>
          <w:tcPr>
            <w:tcW w:type="dxa" w:w="15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Richtung</w:t>
            </w:r>
          </w:p>
        </w:tc>
        <w:tc>
          <w:tcPr>
            <w:tcW w:type="dxa" w:w="39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divergierende Farbe + Pfeilrichtung + Text</w:t>
            </w:r>
          </w:p>
        </w:tc>
        <w:tc>
          <w:tcPr>
            <w:tcW w:type="dxa" w:w="3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Redundanz verhindert reine Farbabhaengigkeit</w:t>
            </w:r>
          </w:p>
        </w:tc>
      </w:tr>
      <w:tr>
        <w:tc>
          <w:tcPr>
            <w:tcW w:type="dxa" w:w="15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Betrag</w:t>
            </w:r>
          </w:p>
        </w:tc>
        <w:tc>
          <w:tcPr>
            <w:tcW w:type="dxa" w:w="39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Kantenbreite oder Farbintensität</w:t>
            </w:r>
          </w:p>
        </w:tc>
        <w:tc>
          <w:tcPr>
            <w:tcW w:type="dxa" w:w="3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Skala und Einheit bleiben sichtbar</w:t>
            </w:r>
          </w:p>
        </w:tc>
      </w:tr>
      <w:tr>
        <w:tc>
          <w:tcPr>
            <w:tcW w:type="dxa" w:w="15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Zeit</w:t>
            </w:r>
          </w:p>
        </w:tc>
        <w:tc>
          <w:tcPr>
            <w:tcW w:type="dxa" w:w="39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gemeinsame horizontale Position</w:t>
            </w:r>
          </w:p>
        </w:tc>
        <w:tc>
          <w:tcPr>
            <w:tcW w:type="dxa" w:w="3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synchroner Cursor in Zeitansichten</w:t>
            </w:r>
          </w:p>
        </w:tc>
      </w:tr>
      <w:tr>
        <w:tc>
          <w:tcPr>
            <w:tcW w:type="dxa" w:w="15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Auswahl</w:t>
            </w:r>
          </w:p>
        </w:tc>
        <w:tc>
          <w:tcPr>
            <w:tcW w:type="dxa" w:w="39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Kontur, höhere Deckkraft, Detailbeschriftung</w:t>
            </w:r>
          </w:p>
        </w:tc>
        <w:tc>
          <w:tcPr>
            <w:tcW w:type="dxa" w:w="3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konsistent in allen Ansichten</w:t>
            </w:r>
          </w:p>
        </w:tc>
      </w:tr>
      <w:tr>
        <w:tc>
          <w:tcPr>
            <w:tcW w:type="dxa" w:w="15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Fehlend</w:t>
            </w:r>
          </w:p>
        </w:tc>
        <w:tc>
          <w:tcPr>
            <w:tcW w:type="dxa" w:w="39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neutrale Schraffur beziehungsweise Lücke</w:t>
            </w:r>
          </w:p>
        </w:tc>
        <w:tc>
          <w:tcPr>
            <w:tcW w:type="dxa" w:w="3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nicht mit Null verwechseln</w:t>
            </w:r>
          </w:p>
        </w:tc>
      </w:tr>
    </w:tbl>
    <w:p>
      <w:pPr>
        <w:spacing w:after="40"/>
      </w:pPr>
    </w:p>
    <w:p>
      <w:r>
        <w:rPr>
          <w:rFonts w:ascii="Calibri" w:hAnsi="Calibri" w:eastAsia="Calibri"/>
          <w:i w:val="0"/>
        </w:rPr>
        <w:t>Die endgültige Farbpalette wird mit einer Simulation häufiger Farbsehschwächen geprüft. Zusätzlich erhalten Kanten und Zellen Tooltips sowie zugängliche Beschriftungen. Fokuszustände sollen per Tastatur erkennbar sein. Die Bedeutung von Import und Export wird dauerhaft in einer Legende angezeigt.</w:t>
      </w:r>
    </w:p>
    <w:p>
      <w:pPr>
        <w:pStyle w:val="Heading1"/>
      </w:pPr>
      <w:r>
        <w:t>Interaktionskonzept und koordinierte Ansichten</w:t>
      </w:r>
    </w:p>
    <w:p>
      <w:pPr>
        <w:pStyle w:val="Heading2"/>
      </w:pPr>
      <w:r>
        <w:t>Gemeinsamer Selektionszustand</w:t>
      </w:r>
    </w:p>
    <w:p>
      <w:r>
        <w:rPr>
          <w:rFonts w:ascii="Calibri" w:hAnsi="Calibri" w:eastAsia="Calibri"/>
          <w:i w:val="0"/>
        </w:rPr>
        <w:t>Alle Ansichten lesen denselben Selektionszustand. Dieser enthält den sichtbaren Gesamtzeitraum, ein optionales Detailintervall, einen optionalen Zeitpunkt, ein optionales Partnerland und die aktive Datenebene physischer Fluss oder Handel. Änderungen werden über Elm-Nachrichten in einem zentralen Update-Schritt verarbeitet. Dadurch entsteht keine verdeckte, widersprüchliche Auswahl pro Diagramm.</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2450"/>
        <w:gridCol w:w="2200"/>
        <w:gridCol w:w="4710"/>
      </w:tblGrid>
      <w:tr>
        <w:trPr>
          <w:tblHeader w:val="true"/>
        </w:trPr>
        <w:tc>
          <w:tcPr>
            <w:tcW w:type="dxa" w:w="245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Aktion</w:t>
            </w:r>
          </w:p>
        </w:tc>
        <w:tc>
          <w:tcPr>
            <w:tcW w:type="dxa" w:w="22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Zustandsänderung</w:t>
            </w:r>
          </w:p>
        </w:tc>
        <w:tc>
          <w:tcPr>
            <w:tcW w:type="dxa" w:w="471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Reaktion der Ansichten</w:t>
            </w:r>
          </w:p>
        </w:tc>
      </w:tr>
      <w:tr>
        <w:tc>
          <w:tcPr>
            <w:tcW w:type="dxa" w:w="24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Kante im Netzwerk klicken</w:t>
            </w:r>
          </w:p>
        </w:tc>
        <w:tc>
          <w:tcPr>
            <w:tcW w:type="dxa" w:w="22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Partnerland setzen</w:t>
            </w:r>
          </w:p>
        </w:tc>
        <w:tc>
          <w:tcPr>
            <w:tcW w:type="dxa" w:w="471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Zeitreihe filtert Länderfluss; Pixelzeile und Linien werden hervorgehoben</w:t>
            </w:r>
          </w:p>
        </w:tc>
      </w:tr>
      <w:tr>
        <w:tc>
          <w:tcPr>
            <w:tcW w:type="dxa" w:w="245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Zeitpunkt bewegen</w:t>
            </w:r>
          </w:p>
        </w:tc>
        <w:tc>
          <w:tcPr>
            <w:tcW w:type="dxa" w:w="22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Zeitpunkt setzen</w:t>
            </w:r>
          </w:p>
        </w:tc>
        <w:tc>
          <w:tcPr>
            <w:tcW w:type="dxa" w:w="471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Netzwerk zeigt momentane Richtung und Stärke; Tooltips aktualisieren</w:t>
            </w:r>
          </w:p>
        </w:tc>
      </w:tr>
      <w:tr>
        <w:tc>
          <w:tcPr>
            <w:tcW w:type="dxa" w:w="24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Zeitintervall ziehen</w:t>
            </w:r>
          </w:p>
        </w:tc>
        <w:tc>
          <w:tcPr>
            <w:tcW w:type="dxa" w:w="22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Detailintervall setzen</w:t>
            </w:r>
          </w:p>
        </w:tc>
        <w:tc>
          <w:tcPr>
            <w:tcW w:type="dxa" w:w="471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alle Ansichten aggregieren beziehungsweise filtern auf das Intervall</w:t>
            </w:r>
          </w:p>
        </w:tc>
      </w:tr>
      <w:tr>
        <w:tc>
          <w:tcPr>
            <w:tcW w:type="dxa" w:w="245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Pixelzelle klicken</w:t>
            </w:r>
          </w:p>
        </w:tc>
        <w:tc>
          <w:tcPr>
            <w:tcW w:type="dxa" w:w="22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Land + Zeitpunkt setzen</w:t>
            </w:r>
          </w:p>
        </w:tc>
        <w:tc>
          <w:tcPr>
            <w:tcW w:type="dxa" w:w="471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Netzwerk und Zeitreihe springen in den Kontext</w:t>
            </w:r>
          </w:p>
        </w:tc>
      </w:tr>
      <w:tr>
        <w:tc>
          <w:tcPr>
            <w:tcW w:type="dxa" w:w="24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Achsenbereich filtern</w:t>
            </w:r>
          </w:p>
        </w:tc>
        <w:tc>
          <w:tcPr>
            <w:tcW w:type="dxa" w:w="22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Merkmalsfilter setzen</w:t>
            </w:r>
          </w:p>
        </w:tc>
        <w:tc>
          <w:tcPr>
            <w:tcW w:type="dxa" w:w="471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betroffene Zeitpunkte werden in Zeitreihe und Matrix markiert</w:t>
            </w:r>
          </w:p>
        </w:tc>
      </w:tr>
      <w:tr>
        <w:tc>
          <w:tcPr>
            <w:tcW w:type="dxa" w:w="245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Auswahl zurücksetzen</w:t>
            </w:r>
          </w:p>
        </w:tc>
        <w:tc>
          <w:tcPr>
            <w:tcW w:type="dxa" w:w="22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Selektion löschen</w:t>
            </w:r>
          </w:p>
        </w:tc>
        <w:tc>
          <w:tcPr>
            <w:tcW w:type="dxa" w:w="471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alle Ansichten kehren zum gemeinsamen Überblick zurück</w:t>
            </w:r>
          </w:p>
        </w:tc>
      </w:tr>
    </w:tbl>
    <w:p>
      <w:pPr>
        <w:spacing w:after="40"/>
      </w:pPr>
    </w:p>
    <w:p>
      <w:pPr>
        <w:pStyle w:val="Heading2"/>
      </w:pPr>
      <w:r>
        <w:t>Geplanter Analyseablauf</w:t>
      </w:r>
    </w:p>
    <w:p>
      <w:pPr>
        <w:spacing w:after="80" w:line="290" w:lineRule="auto"/>
        <w:ind w:left="540" w:hanging="279"/>
        <w:jc w:val="left"/>
        <w:numPr>
          <w:ilvl w:val="0"/>
          <w:numId w:val="44"/>
        </w:numPr>
      </w:pPr>
      <w:r>
        <w:rPr>
          <w:rFonts w:ascii="Calibri" w:hAnsi="Calibri" w:eastAsia="Calibri"/>
        </w:rPr>
        <w:t>Überblick: Die Pixelmatrix zeigt ein Jahr; die Nutzerin erkennt eine längere Importphase.</w:t>
      </w:r>
    </w:p>
    <w:p>
      <w:pPr>
        <w:spacing w:after="80" w:line="290" w:lineRule="auto"/>
        <w:ind w:left="540" w:hanging="279"/>
        <w:jc w:val="left"/>
        <w:numPr>
          <w:ilvl w:val="0"/>
          <w:numId w:val="44"/>
        </w:numPr>
      </w:pPr>
      <w:r>
        <w:rPr>
          <w:rFonts w:ascii="Calibri" w:hAnsi="Calibri" w:eastAsia="Calibri"/>
        </w:rPr>
        <w:t>Fokus: Ein Intervall wird ausgewählt; die Zeitreihe zeigt Preis, Flüsse und Erzeugung im Detail.</w:t>
      </w:r>
    </w:p>
    <w:p>
      <w:pPr>
        <w:spacing w:after="80" w:line="290" w:lineRule="auto"/>
        <w:ind w:left="540" w:hanging="279"/>
        <w:jc w:val="left"/>
        <w:numPr>
          <w:ilvl w:val="0"/>
          <w:numId w:val="44"/>
        </w:numPr>
      </w:pPr>
      <w:r>
        <w:rPr>
          <w:rFonts w:ascii="Calibri" w:hAnsi="Calibri" w:eastAsia="Calibri"/>
        </w:rPr>
        <w:t>Beziehung: Das Netzwerk identifiziert die wichtigsten Partner und Flussrichtungen.</w:t>
      </w:r>
    </w:p>
    <w:p>
      <w:pPr>
        <w:spacing w:after="80" w:line="290" w:lineRule="auto"/>
        <w:ind w:left="540" w:hanging="279"/>
        <w:jc w:val="left"/>
        <w:numPr>
          <w:ilvl w:val="0"/>
          <w:numId w:val="44"/>
        </w:numPr>
      </w:pPr>
      <w:r>
        <w:rPr>
          <w:rFonts w:ascii="Calibri" w:hAnsi="Calibri" w:eastAsia="Calibri"/>
        </w:rPr>
        <w:t>Erklärungssuche: Parallele Koordinaten zeigen die Merkmalskombinationen der ausgewählten Stunden.</w:t>
      </w:r>
    </w:p>
    <w:p>
      <w:pPr>
        <w:spacing w:after="80" w:line="290" w:lineRule="auto"/>
        <w:ind w:left="540" w:hanging="279"/>
        <w:jc w:val="left"/>
        <w:numPr>
          <w:ilvl w:val="0"/>
          <w:numId w:val="44"/>
        </w:numPr>
      </w:pPr>
      <w:r>
        <w:rPr>
          <w:rFonts w:ascii="Calibri" w:hAnsi="Calibri" w:eastAsia="Calibri"/>
        </w:rPr>
        <w:t>Vergleich: Das Länderpaar wird zwischen physischem Fluss und Handel verglichen.</w:t>
      </w:r>
    </w:p>
    <w:p>
      <w:pPr>
        <w:spacing w:after="80" w:line="290" w:lineRule="auto"/>
        <w:ind w:left="540" w:hanging="279"/>
        <w:jc w:val="left"/>
        <w:numPr>
          <w:ilvl w:val="0"/>
          <w:numId w:val="44"/>
        </w:numPr>
      </w:pPr>
      <w:r>
        <w:rPr>
          <w:rFonts w:ascii="Calibri" w:hAnsi="Calibri" w:eastAsia="Calibri"/>
        </w:rPr>
        <w:t>Rückkehr: Die Auswahl wird entfernt oder auf einen anderen Zeitraum übertragen.</w:t>
      </w:r>
    </w:p>
    <w:p>
      <w:pPr>
        <w:pStyle w:val="Heading2"/>
      </w:pPr>
      <w:r>
        <w:t>Abgrenzung der Interaktion</w:t>
      </w:r>
    </w:p>
    <w:p>
      <w:r>
        <w:rPr>
          <w:rFonts w:ascii="Calibri" w:hAnsi="Calibri" w:eastAsia="Calibri"/>
          <w:i w:val="0"/>
        </w:rPr>
        <w:t>Für die erste funktionsfähige Version werden Auswahl, Hover, Zeitbereichsfilter, Länderfilter und Rücksetzen priorisiert. Freie Achsenumsortierung, animierte Übergänge und gespeicherte Analysezustände sind optionale Erweiterungen. Diese Priorisierung verhindert, dass dekorative Interaktion die Kernaufgaben verdrängt.</w:t>
      </w:r>
    </w:p>
    <w:p>
      <w:pPr>
        <w:pStyle w:val="Heading1"/>
      </w:pPr>
      <w:r>
        <w:t>Technisches Konzept der Elm-Anwendung</w:t>
      </w:r>
    </w:p>
    <w:p>
      <w:pPr>
        <w:pStyle w:val="Heading2"/>
      </w:pPr>
      <w:r>
        <w:t>Architektur</w:t>
      </w:r>
    </w:p>
    <w:p>
      <w:r>
        <w:rPr>
          <w:rFonts w:ascii="Calibri" w:hAnsi="Calibri" w:eastAsia="Calibri"/>
          <w:i w:val="0"/>
        </w:rPr>
        <w:t>Die Anwendung folgt der Elm Architecture mit Model, Msg, update und view [7]. Das Model enthält Daten, Ladezustände, Filter und Selektion. Nachrichten beschreiben sowohl externe Ereignisse wie einen abgeschlossenen HTTP-Abruf als auch Interaktionen wie SelectCountry, SetTimeRange oder HoverCell. Die Update-Funktion erzeugt daraus einen neuen konsistenten Zustand; die Views werden als reine Funktionen des Models aufgebaut.</w:t>
      </w:r>
    </w:p>
    <w:p>
      <w:pPr>
        <w:keepNext/>
        <w:spacing w:before="80" w:after="0"/>
        <w:jc w:val="center"/>
      </w:pPr>
      <w:r>
        <w:drawing>
          <wp:inline xmlns:a="http://schemas.openxmlformats.org/drawingml/2006/main" xmlns:pic="http://schemas.openxmlformats.org/drawingml/2006/picture">
            <wp:extent cx="5897880" cy="2022130"/>
            <wp:docPr id="2" name="Picture 2" descr="Datenfluss von Energy-Charts-Datenquellen über Elm-Dekoder und Analysemodell zum gemeinsamen Zustand und vier Ansichten." title="Datenfluss von Energy-Charts-Datenquellen über Elm-Dekoder und Analysemodell zum gemeinsamen Zustand und vier Ansichten."/>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897880" cy="2022130"/>
                    </a:xfrm>
                    <a:prstGeom prst="rect"/>
                  </pic:spPr>
                </pic:pic>
              </a:graphicData>
            </a:graphic>
          </wp:inline>
        </w:drawing>
      </w:r>
    </w:p>
    <w:p>
      <w:pPr>
        <w:pStyle w:val="CaptionCustom"/>
      </w:pPr>
      <w:r>
        <w:t>Abbildung 2: Geplanter Daten- und Zustandsfluss. Eigene Darstellung.</w:t>
      </w:r>
    </w:p>
    <w:p>
      <w:pPr>
        <w:pStyle w:val="Heading2"/>
      </w:pPr>
      <w:r>
        <w:t>Geplante Modulstruktur</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3000"/>
        <w:gridCol w:w="6360"/>
      </w:tblGrid>
      <w:tr>
        <w:trPr>
          <w:tblHeader w:val="true"/>
        </w:trPr>
        <w:tc>
          <w:tcPr>
            <w:tcW w:type="dxa" w:w="30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Modul</w:t>
            </w:r>
          </w:p>
        </w:tc>
        <w:tc>
          <w:tcPr>
            <w:tcW w:type="dxa" w:w="636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Verantwortung</w:t>
            </w:r>
          </w:p>
        </w:tc>
      </w:tr>
      <w:tr>
        <w:tc>
          <w:tcPr>
            <w:tcW w:type="dxa" w:w="30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Main.elm</w:t>
            </w:r>
          </w:p>
        </w:tc>
        <w:tc>
          <w:tcPr>
            <w:tcW w:type="dxa" w:w="63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Initialisierung, globales Model, Update und Seitenlayout</w:t>
            </w:r>
          </w:p>
        </w:tc>
      </w:tr>
      <w:tr>
        <w:tc>
          <w:tcPr>
            <w:tcW w:type="dxa" w:w="30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Api/EnergyCharts.elm</w:t>
            </w:r>
          </w:p>
        </w:tc>
        <w:tc>
          <w:tcPr>
            <w:tcW w:type="dxa" w:w="63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HTTP-Anfragen und Endpunktparameter</w:t>
            </w:r>
          </w:p>
        </w:tc>
      </w:tr>
      <w:tr>
        <w:tc>
          <w:tcPr>
            <w:tcW w:type="dxa" w:w="30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Api/Decoder.elm</w:t>
            </w:r>
          </w:p>
        </w:tc>
        <w:tc>
          <w:tcPr>
            <w:tcW w:type="dxa" w:w="63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JSON-Dekoder und nachvollziehbare Fehlerfälle</w:t>
            </w:r>
          </w:p>
        </w:tc>
      </w:tr>
      <w:tr>
        <w:tc>
          <w:tcPr>
            <w:tcW w:type="dxa" w:w="30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Domain/Flow.elm</w:t>
            </w:r>
          </w:p>
        </w:tc>
        <w:tc>
          <w:tcPr>
            <w:tcW w:type="dxa" w:w="63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Flussrichtung, Länderbezug, Vorzeichen und Einheiten</w:t>
            </w:r>
          </w:p>
        </w:tc>
      </w:tr>
      <w:tr>
        <w:tc>
          <w:tcPr>
            <w:tcW w:type="dxa" w:w="30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Domain/TimeSeries.elm</w:t>
            </w:r>
          </w:p>
        </w:tc>
        <w:tc>
          <w:tcPr>
            <w:tcW w:type="dxa" w:w="63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Zeitpunkte, Intervalle, Aggregation und Missing-Werte</w:t>
            </w:r>
          </w:p>
        </w:tc>
      </w:tr>
      <w:tr>
        <w:tc>
          <w:tcPr>
            <w:tcW w:type="dxa" w:w="30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View/Network.elm</w:t>
            </w:r>
          </w:p>
        </w:tc>
        <w:tc>
          <w:tcPr>
            <w:tcW w:type="dxa" w:w="63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Knoten, Kanten, Pfeile und Auswahl</w:t>
            </w:r>
          </w:p>
        </w:tc>
      </w:tr>
      <w:tr>
        <w:tc>
          <w:tcPr>
            <w:tcW w:type="dxa" w:w="30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View/Timeline.elm</w:t>
            </w:r>
          </w:p>
        </w:tc>
        <w:tc>
          <w:tcPr>
            <w:tcW w:type="dxa" w:w="63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synchronisierte Zeitreihen und Brush</w:t>
            </w:r>
          </w:p>
        </w:tc>
      </w:tr>
      <w:tr>
        <w:tc>
          <w:tcPr>
            <w:tcW w:type="dxa" w:w="30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View/PixelMatrix.elm</w:t>
            </w:r>
          </w:p>
        </w:tc>
        <w:tc>
          <w:tcPr>
            <w:tcW w:type="dxa" w:w="63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dichte Länder-Zeit-Matrix</w:t>
            </w:r>
          </w:p>
        </w:tc>
      </w:tr>
      <w:tr>
        <w:tc>
          <w:tcPr>
            <w:tcW w:type="dxa" w:w="30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View/ParallelCoordinates.elm</w:t>
            </w:r>
          </w:p>
        </w:tc>
        <w:tc>
          <w:tcPr>
            <w:tcW w:type="dxa" w:w="63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Achsen, Linien und Merkmalsfilter</w:t>
            </w:r>
          </w:p>
        </w:tc>
      </w:tr>
      <w:tr>
        <w:tc>
          <w:tcPr>
            <w:tcW w:type="dxa" w:w="30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View/Legend.elm</w:t>
            </w:r>
          </w:p>
        </w:tc>
        <w:tc>
          <w:tcPr>
            <w:tcW w:type="dxa" w:w="63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gemeinsame Legenden und Einheiten</w:t>
            </w:r>
          </w:p>
        </w:tc>
      </w:tr>
    </w:tbl>
    <w:p>
      <w:pPr>
        <w:spacing w:after="40"/>
      </w:pPr>
    </w:p>
    <w:p>
      <w:pPr>
        <w:pStyle w:val="Heading2"/>
      </w:pPr>
      <w:r>
        <w:t>Darstellung und Performanz</w:t>
      </w:r>
    </w:p>
    <w:p>
      <w:r>
        <w:rPr>
          <w:rFonts w:ascii="Calibri" w:hAnsi="Calibri" w:eastAsia="Calibri"/>
          <w:i w:val="0"/>
        </w:rPr>
        <w:t>Die Visualisierungen werden zunächst mit Elm SVG umgesetzt. Für die Jahresübersicht erzeugt die Pixelmatrix bei zwölf Partnerländern und 365 Tagen rund 4.400 Zellen und bleibt damit in einer beherrschbaren Größenordnung. Zeitreihen und parallele Koordinaten verwenden abhängig von Zoom und Auswahl aggregierte Daten. Auf diese Weise wird nicht versucht, sämtliche Rohwerte gleichzeitig als SVG-Elemente zu rendern.</w:t>
      </w:r>
    </w:p>
    <w:p>
      <w:r>
        <w:rPr>
          <w:rFonts w:ascii="Calibri" w:hAnsi="Calibri" w:eastAsia="Calibri"/>
          <w:i w:val="0"/>
        </w:rPr>
        <w:t>Daten werden nach Möglichkeit über die bereitgestellten Hochschul-Endpunkte geladen. Für reproduzierbare Demonstrationen ist zusätzlich ein versionierter statischer Datenausschnitt vorgesehen. Der Bericht dokumentiert, ob die endgültige Anwendung live abruft, einen vorbereiteten Datensatz nutzt oder beide Wege anbietet. Zugangsdaten und Tokens werden nicht im Repository gespeichert.</w:t>
      </w:r>
    </w:p>
    <w:p>
      <w:pPr>
        <w:pStyle w:val="Heading2"/>
      </w:pPr>
      <w:r>
        <w:t>Fehler- und Ladezustände</w:t>
      </w:r>
    </w:p>
    <w:p>
      <w:pPr>
        <w:spacing w:after="80" w:line="290" w:lineRule="auto"/>
        <w:ind w:left="540" w:hanging="279"/>
        <w:jc w:val="left"/>
        <w:numPr>
          <w:ilvl w:val="0"/>
          <w:numId w:val="43"/>
        </w:numPr>
      </w:pPr>
      <w:r>
        <w:rPr>
          <w:rFonts w:ascii="Calibri" w:hAnsi="Calibri" w:eastAsia="Calibri"/>
        </w:rPr>
        <w:t>Laden: Ansichten zeigen Struktur und Fortschritt statt einer leeren Seite.</w:t>
      </w:r>
    </w:p>
    <w:p>
      <w:pPr>
        <w:spacing w:after="80" w:line="290" w:lineRule="auto"/>
        <w:ind w:left="540" w:hanging="279"/>
        <w:jc w:val="left"/>
        <w:numPr>
          <w:ilvl w:val="0"/>
          <w:numId w:val="43"/>
        </w:numPr>
      </w:pPr>
      <w:r>
        <w:rPr>
          <w:rFonts w:ascii="Calibri" w:hAnsi="Calibri" w:eastAsia="Calibri"/>
        </w:rPr>
        <w:t>Teilweise Daten: verfügbare Reihen bleiben nutzbar; fehlende Reihen werden benannt.</w:t>
      </w:r>
    </w:p>
    <w:p>
      <w:pPr>
        <w:spacing w:after="80" w:line="290" w:lineRule="auto"/>
        <w:ind w:left="540" w:hanging="279"/>
        <w:jc w:val="left"/>
        <w:numPr>
          <w:ilvl w:val="0"/>
          <w:numId w:val="43"/>
        </w:numPr>
      </w:pPr>
      <w:r>
        <w:rPr>
          <w:rFonts w:ascii="Calibri" w:hAnsi="Calibri" w:eastAsia="Calibri"/>
        </w:rPr>
        <w:t>Dekodierfehler: Endpunkt und verständliche Ursache werden angezeigt.</w:t>
      </w:r>
    </w:p>
    <w:p>
      <w:pPr>
        <w:spacing w:after="80" w:line="290" w:lineRule="auto"/>
        <w:ind w:left="540" w:hanging="279"/>
        <w:jc w:val="left"/>
        <w:numPr>
          <w:ilvl w:val="0"/>
          <w:numId w:val="43"/>
        </w:numPr>
      </w:pPr>
      <w:r>
        <w:rPr>
          <w:rFonts w:ascii="Calibri" w:hAnsi="Calibri" w:eastAsia="Calibri"/>
        </w:rPr>
        <w:t>Leerer Filter: Hinweis und Aktion zum Zurücksetzen der Auswahl.</w:t>
      </w:r>
    </w:p>
    <w:p>
      <w:pPr>
        <w:spacing w:after="80" w:line="290" w:lineRule="auto"/>
        <w:ind w:left="540" w:hanging="279"/>
        <w:jc w:val="left"/>
        <w:numPr>
          <w:ilvl w:val="0"/>
          <w:numId w:val="43"/>
        </w:numPr>
      </w:pPr>
      <w:r>
        <w:rPr>
          <w:rFonts w:ascii="Calibri" w:hAnsi="Calibri" w:eastAsia="Calibri"/>
        </w:rPr>
        <w:t>Rate Limit oder Netzwerkfehler: erneuter Abruf bleibt eine bewusste Nutzeraktion.</w:t>
      </w:r>
    </w:p>
    <w:p>
      <w:pPr>
        <w:pStyle w:val="Heading1"/>
      </w:pPr>
      <w:r>
        <w:t>Evaluationskonzept</w:t>
      </w:r>
    </w:p>
    <w:p>
      <w:pPr>
        <w:pStyle w:val="Heading2"/>
      </w:pPr>
      <w:r>
        <w:t>Evaluationsziele</w:t>
      </w:r>
    </w:p>
    <w:p>
      <w:r>
        <w:rPr>
          <w:rFonts w:ascii="Calibri" w:hAnsi="Calibri" w:eastAsia="Calibri"/>
          <w:i w:val="0"/>
        </w:rPr>
        <w:t>Die Evaluation soll prüfen, ob die gewählten Kodierungen verständlich sind, ob die Verknüpfung der Ansichten die Analyseaufgaben unterstützt und ob Inkonsistenzen zwischen Flussrichtung, Zeit und Auswahl auftreten. Da es sich um ein Seminarprojekt handelt, ist eine kleine formative Evaluation angemessen. Sie ersetzt keine repräsentative Nutzerstudie, kann aber konkrete Usability-Probleme vor der Abgabe aufdecken.</w:t>
      </w:r>
    </w:p>
    <w:p>
      <w:pPr>
        <w:pStyle w:val="Heading2"/>
      </w:pPr>
      <w:r>
        <w:t>Vorgesehene Aufgaben</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720"/>
        <w:gridCol w:w="6240"/>
        <w:gridCol w:w="2400"/>
      </w:tblGrid>
      <w:tr>
        <w:trPr>
          <w:tblHeader w:val="true"/>
        </w:trPr>
        <w:tc>
          <w:tcPr>
            <w:tcW w:type="dxa" w:w="72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ID</w:t>
            </w:r>
          </w:p>
        </w:tc>
        <w:tc>
          <w:tcPr>
            <w:tcW w:type="dxa" w:w="624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Aufgabe</w:t>
            </w:r>
          </w:p>
        </w:tc>
        <w:tc>
          <w:tcPr>
            <w:tcW w:type="dxa" w:w="24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Primäre Ansichten</w:t>
            </w:r>
          </w:p>
        </w:tc>
      </w:tr>
      <w:tr>
        <w:tc>
          <w:tcPr>
            <w:tcW w:type="dxa" w:w="72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E1</w:t>
            </w:r>
          </w:p>
        </w:tc>
        <w:tc>
          <w:tcPr>
            <w:tcW w:type="dxa" w:w="624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Finde im ausgewählten Jahr die längste Phase, in der Deutschland überwiegend importiert.</w:t>
            </w:r>
          </w:p>
        </w:tc>
        <w:tc>
          <w:tcPr>
            <w:tcW w:type="dxa" w:w="24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Pixelmatrix + Zeitreihe</w:t>
            </w:r>
          </w:p>
        </w:tc>
      </w:tr>
      <w:tr>
        <w:tc>
          <w:tcPr>
            <w:tcW w:type="dxa" w:w="72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E2</w:t>
            </w:r>
          </w:p>
        </w:tc>
        <w:tc>
          <w:tcPr>
            <w:tcW w:type="dxa" w:w="624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Bestimme für einen vorgegebenen Zeitpunkt die drei stärksten physischen Austauschpartner.</w:t>
            </w:r>
          </w:p>
        </w:tc>
        <w:tc>
          <w:tcPr>
            <w:tcW w:type="dxa" w:w="24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Netzwerk</w:t>
            </w:r>
          </w:p>
        </w:tc>
      </w:tr>
      <w:tr>
        <w:tc>
          <w:tcPr>
            <w:tcW w:type="dxa" w:w="72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E3</w:t>
            </w:r>
          </w:p>
        </w:tc>
        <w:tc>
          <w:tcPr>
            <w:tcW w:type="dxa" w:w="624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Vergleiche physischen Fluss und Handel mit einem ausgewählten Land.</w:t>
            </w:r>
          </w:p>
        </w:tc>
        <w:tc>
          <w:tcPr>
            <w:tcW w:type="dxa" w:w="24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Netzwerk + Zeitreihe</w:t>
            </w:r>
          </w:p>
        </w:tc>
      </w:tr>
      <w:tr>
        <w:tc>
          <w:tcPr>
            <w:tcW w:type="dxa" w:w="72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E4</w:t>
            </w:r>
          </w:p>
        </w:tc>
        <w:tc>
          <w:tcPr>
            <w:tcW w:type="dxa" w:w="624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Beschreibe Erzeugungsmix und Preis während einer auffälligen Importphase.</w:t>
            </w:r>
          </w:p>
        </w:tc>
        <w:tc>
          <w:tcPr>
            <w:tcW w:type="dxa" w:w="24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Zeitreihe + parallele Koordinaten</w:t>
            </w:r>
          </w:p>
        </w:tc>
      </w:tr>
      <w:tr>
        <w:tc>
          <w:tcPr>
            <w:tcW w:type="dxa" w:w="72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E5</w:t>
            </w:r>
          </w:p>
        </w:tc>
        <w:tc>
          <w:tcPr>
            <w:tcW w:type="dxa" w:w="624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Wechsle von einer Pixelzelle zum passenden Zeitpunkt und überprüfe die Werte.</w:t>
            </w:r>
          </w:p>
        </w:tc>
        <w:tc>
          <w:tcPr>
            <w:tcW w:type="dxa" w:w="24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koordinierte Interaktion</w:t>
            </w:r>
          </w:p>
        </w:tc>
      </w:tr>
    </w:tbl>
    <w:p>
      <w:pPr>
        <w:spacing w:after="40"/>
      </w:pPr>
    </w:p>
    <w:p>
      <w:pPr>
        <w:pStyle w:val="Heading2"/>
      </w:pPr>
      <w:r>
        <w:t>Messgrößen und Verfahren</w:t>
      </w:r>
    </w:p>
    <w:p>
      <w:r>
        <w:rPr>
          <w:rFonts w:ascii="Calibri" w:hAnsi="Calibri" w:eastAsia="Calibri"/>
          <w:i w:val="0"/>
        </w:rPr>
        <w:t>Geplant sind drei bis fünf Testpersonen aus dem studentischen Umfeld. Erfasst werden Aufgabenerfolg, Bearbeitungszeit, Fehlinterpretationen der Flussrichtung, auffällige Navigationsprobleme und qualitative Kommentare im Think-Aloud-Verfahren. Ergänzend werden technische Prüfungen durchgeführt: korrekte Summen und Vorzeichen anhand kleiner Referenzfälle, stabile Darstellung bei fehlenden Werten sowie Reaktionszeit bei Jahres- und Detailansichten.</w:t>
      </w:r>
    </w:p>
    <w:p>
      <w:pPr>
        <w:spacing w:before="100" w:after="180" w:line="288" w:lineRule="auto"/>
        <w:ind w:left="115" w:right="115"/>
        <w:shd w:fill="FFF7E8"/>
        <w:pBdr>
          <w:left w:val="single" w:sz="18" w:space="8" w:color="B07D18"/>
        </w:pBdr>
      </w:pPr>
      <w:r>
        <w:rPr>
          <w:rFonts w:ascii="Calibri" w:hAnsi="Calibri" w:eastAsia="Calibri"/>
          <w:b/>
          <w:color w:val="B07D18"/>
          <w:sz w:val="20"/>
        </w:rPr>
        <w:t xml:space="preserve">Noch kein Ergebnis. </w:t>
      </w:r>
      <w:r>
        <w:rPr>
          <w:rFonts w:ascii="Calibri" w:hAnsi="Calibri" w:eastAsia="Calibri"/>
          <w:color w:val="0B2545"/>
          <w:sz w:val="20"/>
        </w:rPr>
        <w:t>Dieses Kapitel beschreibt ausschließlich den Evaluationsplan. Beobachtungen, Messwerte und daraus abgeleitete Änderungen werden erst nach dem Prototypentest ergänzt.</w:t>
      </w:r>
    </w:p>
    <w:p>
      <w:pPr>
        <w:pStyle w:val="Heading1"/>
      </w:pPr>
      <w:r>
        <w:t>Projekt- und Arbeitsplan</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1900"/>
        <w:gridCol w:w="1900"/>
        <w:gridCol w:w="5560"/>
      </w:tblGrid>
      <w:tr>
        <w:trPr>
          <w:tblHeader w:val="true"/>
        </w:trPr>
        <w:tc>
          <w:tcPr>
            <w:tcW w:type="dxa" w:w="19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Zeitraum</w:t>
            </w:r>
          </w:p>
        </w:tc>
        <w:tc>
          <w:tcPr>
            <w:tcW w:type="dxa" w:w="19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Meilenstein</w:t>
            </w:r>
          </w:p>
        </w:tc>
        <w:tc>
          <w:tcPr>
            <w:tcW w:type="dxa" w:w="556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Ergebnis</w:t>
            </w:r>
          </w:p>
        </w:tc>
      </w:tr>
      <w:tr>
        <w:tc>
          <w:tcPr>
            <w:tcW w:type="dxa" w:w="19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27.07.–02.08.</w:t>
            </w:r>
          </w:p>
        </w:tc>
        <w:tc>
          <w:tcPr>
            <w:tcW w:type="dxa" w:w="1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Datenprüfung</w:t>
            </w:r>
          </w:p>
        </w:tc>
        <w:tc>
          <w:tcPr>
            <w:tcW w:type="dxa" w:w="55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Endpunkte testen, Zeitraster und Länderabdeckung dokumentieren, Datenausschnitt festlegen</w:t>
            </w:r>
          </w:p>
        </w:tc>
      </w:tr>
      <w:tr>
        <w:tc>
          <w:tcPr>
            <w:tcW w:type="dxa" w:w="19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03.08.–09.08.</w:t>
            </w:r>
          </w:p>
        </w:tc>
        <w:tc>
          <w:tcPr>
            <w:tcW w:type="dxa" w:w="1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Grundgerüst</w:t>
            </w:r>
          </w:p>
        </w:tc>
        <w:tc>
          <w:tcPr>
            <w:tcW w:type="dxa" w:w="55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Elm-Projekt, Decoder, Domänenmodell, statischer Referenzdatensatz</w:t>
            </w:r>
          </w:p>
        </w:tc>
      </w:tr>
      <w:tr>
        <w:tc>
          <w:tcPr>
            <w:tcW w:type="dxa" w:w="19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10.08.–16.08.</w:t>
            </w:r>
          </w:p>
        </w:tc>
        <w:tc>
          <w:tcPr>
            <w:tcW w:type="dxa" w:w="1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Kernansichten I</w:t>
            </w:r>
          </w:p>
        </w:tc>
        <w:tc>
          <w:tcPr>
            <w:tcW w:type="dxa" w:w="55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Netzwerkgraph und Zeitreihe mit gemeinsamer Selektion</w:t>
            </w:r>
          </w:p>
        </w:tc>
      </w:tr>
      <w:tr>
        <w:tc>
          <w:tcPr>
            <w:tcW w:type="dxa" w:w="19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17.08.–23.08.</w:t>
            </w:r>
          </w:p>
        </w:tc>
        <w:tc>
          <w:tcPr>
            <w:tcW w:type="dxa" w:w="1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Kernansichten II</w:t>
            </w:r>
          </w:p>
        </w:tc>
        <w:tc>
          <w:tcPr>
            <w:tcW w:type="dxa" w:w="55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Pixelmatrix und Zeitaggregation</w:t>
            </w:r>
          </w:p>
        </w:tc>
      </w:tr>
      <w:tr>
        <w:tc>
          <w:tcPr>
            <w:tcW w:type="dxa" w:w="19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24.08.–30.08.</w:t>
            </w:r>
          </w:p>
        </w:tc>
        <w:tc>
          <w:tcPr>
            <w:tcW w:type="dxa" w:w="1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Mehrdimensionale Sicht</w:t>
            </w:r>
          </w:p>
        </w:tc>
        <w:tc>
          <w:tcPr>
            <w:tcW w:type="dxa" w:w="55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parallele Koordinaten, Filter und Hervorhebungen</w:t>
            </w:r>
          </w:p>
        </w:tc>
      </w:tr>
      <w:tr>
        <w:tc>
          <w:tcPr>
            <w:tcW w:type="dxa" w:w="19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31.08.–06.09.</w:t>
            </w:r>
          </w:p>
        </w:tc>
        <w:tc>
          <w:tcPr>
            <w:tcW w:type="dxa" w:w="1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Integration</w:t>
            </w:r>
          </w:p>
        </w:tc>
        <w:tc>
          <w:tcPr>
            <w:tcW w:type="dxa" w:w="55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koordinierte Interaktion, Legenden, Fehlerzustände, Performanz</w:t>
            </w:r>
          </w:p>
        </w:tc>
      </w:tr>
      <w:tr>
        <w:tc>
          <w:tcPr>
            <w:tcW w:type="dxa" w:w="19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07.09.–11.09.</w:t>
            </w:r>
          </w:p>
        </w:tc>
        <w:tc>
          <w:tcPr>
            <w:tcW w:type="dxa" w:w="1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Evaluation</w:t>
            </w:r>
          </w:p>
        </w:tc>
        <w:tc>
          <w:tcPr>
            <w:tcW w:type="dxa" w:w="55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Aufgabentest, Korrektheitsprüfung und Änderungsprotokoll</w:t>
            </w:r>
          </w:p>
        </w:tc>
      </w:tr>
      <w:tr>
        <w:tc>
          <w:tcPr>
            <w:tcW w:type="dxa" w:w="19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12.09.–16.09.</w:t>
            </w:r>
          </w:p>
        </w:tc>
        <w:tc>
          <w:tcPr>
            <w:tcW w:type="dxa" w:w="1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Bericht</w:t>
            </w:r>
          </w:p>
        </w:tc>
        <w:tc>
          <w:tcPr>
            <w:tcW w:type="dxa" w:w="55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Methodik, Implementierung, Ergebnisse, Diskussion und Abbildungen vervollständigen</w:t>
            </w:r>
          </w:p>
        </w:tc>
      </w:tr>
      <w:tr>
        <w:tc>
          <w:tcPr>
            <w:tcW w:type="dxa" w:w="19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17.09.–18.09.</w:t>
            </w:r>
          </w:p>
        </w:tc>
        <w:tc>
          <w:tcPr>
            <w:tcW w:type="dxa" w:w="1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Qualitätssicherung</w:t>
            </w:r>
          </w:p>
        </w:tc>
        <w:tc>
          <w:tcPr>
            <w:tcW w:type="dxa" w:w="55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Quellen, Bildunterschriften, Konsistenz, Rechtschreibung, Reproduzierbarkeit</w:t>
            </w:r>
          </w:p>
        </w:tc>
      </w:tr>
      <w:tr>
        <w:tc>
          <w:tcPr>
            <w:tcW w:type="dxa" w:w="19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19.09.–20.09.</w:t>
            </w:r>
          </w:p>
        </w:tc>
        <w:tc>
          <w:tcPr>
            <w:tcW w:type="dxa" w:w="1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Puffer</w:t>
            </w:r>
          </w:p>
        </w:tc>
        <w:tc>
          <w:tcPr>
            <w:tcW w:type="dxa" w:w="55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letzte Korrekturen, PDF-Export und Abgabeprüfung</w:t>
            </w:r>
          </w:p>
        </w:tc>
      </w:tr>
      <w:tr>
        <w:tc>
          <w:tcPr>
            <w:tcW w:type="dxa" w:w="19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21.09.</w:t>
            </w:r>
          </w:p>
        </w:tc>
        <w:tc>
          <w:tcPr>
            <w:tcW w:type="dxa" w:w="1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Abgabe</w:t>
            </w:r>
          </w:p>
        </w:tc>
        <w:tc>
          <w:tcPr>
            <w:tcW w:type="dxa" w:w="55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Bericht und geforderte Implementierungsartefakte einreichen</w:t>
            </w:r>
          </w:p>
        </w:tc>
      </w:tr>
    </w:tbl>
    <w:p>
      <w:pPr>
        <w:spacing w:after="40"/>
      </w:pPr>
    </w:p>
    <w:p>
      <w:pPr>
        <w:pStyle w:val="Heading2"/>
      </w:pPr>
      <w:r>
        <w:t>Definition of Done für den Prototyp</w:t>
      </w:r>
    </w:p>
    <w:p>
      <w:pPr>
        <w:spacing w:after="80" w:line="290" w:lineRule="auto"/>
        <w:ind w:left="540" w:hanging="279"/>
        <w:jc w:val="left"/>
        <w:numPr>
          <w:ilvl w:val="0"/>
          <w:numId w:val="43"/>
        </w:numPr>
      </w:pPr>
      <w:r>
        <w:rPr>
          <w:rFonts w:ascii="Calibri" w:hAnsi="Calibri" w:eastAsia="Calibri"/>
        </w:rPr>
        <w:t>Alle vier Visualisierungstechniken sind mit realen Daten sichtbar.</w:t>
      </w:r>
    </w:p>
    <w:p>
      <w:pPr>
        <w:spacing w:after="80" w:line="290" w:lineRule="auto"/>
        <w:ind w:left="540" w:hanging="279"/>
        <w:jc w:val="left"/>
        <w:numPr>
          <w:ilvl w:val="0"/>
          <w:numId w:val="43"/>
        </w:numPr>
      </w:pPr>
      <w:r>
        <w:rPr>
          <w:rFonts w:ascii="Calibri" w:hAnsi="Calibri" w:eastAsia="Calibri"/>
        </w:rPr>
        <w:t>Klick auf Kante, Pixel und Zeitraum aktualisiert mindestens zwei weitere Ansichten.</w:t>
      </w:r>
    </w:p>
    <w:p>
      <w:pPr>
        <w:spacing w:after="80" w:line="290" w:lineRule="auto"/>
        <w:ind w:left="540" w:hanging="279"/>
        <w:jc w:val="left"/>
        <w:numPr>
          <w:ilvl w:val="0"/>
          <w:numId w:val="43"/>
        </w:numPr>
      </w:pPr>
      <w:r>
        <w:rPr>
          <w:rFonts w:ascii="Calibri" w:hAnsi="Calibri" w:eastAsia="Calibri"/>
        </w:rPr>
        <w:t>Einheiten, Richtung und Aggregation sind jederzeit erkennbar.</w:t>
      </w:r>
    </w:p>
    <w:p>
      <w:pPr>
        <w:spacing w:after="80" w:line="290" w:lineRule="auto"/>
        <w:ind w:left="540" w:hanging="279"/>
        <w:jc w:val="left"/>
        <w:numPr>
          <w:ilvl w:val="0"/>
          <w:numId w:val="43"/>
        </w:numPr>
      </w:pPr>
      <w:r>
        <w:rPr>
          <w:rFonts w:ascii="Calibri" w:hAnsi="Calibri" w:eastAsia="Calibri"/>
        </w:rPr>
        <w:t>Die Datenverarbeitung ist anhand dokumentierter Testfälle überprüft.</w:t>
      </w:r>
    </w:p>
    <w:p>
      <w:pPr>
        <w:spacing w:after="80" w:line="290" w:lineRule="auto"/>
        <w:ind w:left="540" w:hanging="279"/>
        <w:jc w:val="left"/>
        <w:numPr>
          <w:ilvl w:val="0"/>
          <w:numId w:val="43"/>
        </w:numPr>
      </w:pPr>
      <w:r>
        <w:rPr>
          <w:rFonts w:ascii="Calibri" w:hAnsi="Calibri" w:eastAsia="Calibri"/>
        </w:rPr>
        <w:t>Die Anwendung ist über die vorgesehene Web-Auslieferung erreichbar.</w:t>
      </w:r>
    </w:p>
    <w:p>
      <w:pPr>
        <w:spacing w:after="80" w:line="290" w:lineRule="auto"/>
        <w:ind w:left="540" w:hanging="279"/>
        <w:jc w:val="left"/>
        <w:numPr>
          <w:ilvl w:val="0"/>
          <w:numId w:val="43"/>
        </w:numPr>
      </w:pPr>
      <w:r>
        <w:rPr>
          <w:rFonts w:ascii="Calibri" w:hAnsi="Calibri" w:eastAsia="Calibri"/>
        </w:rPr>
        <w:t>Die Aufgaben E1 bis E5 wurden mindestens einmal vollständig getestet.</w:t>
      </w:r>
    </w:p>
    <w:p>
      <w:pPr>
        <w:pStyle w:val="Heading1"/>
      </w:pPr>
      <w:r>
        <w:t>Risiken, Abgrenzung und offene Entscheidungen</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650"/>
        <w:gridCol w:w="2600"/>
        <w:gridCol w:w="1100"/>
        <w:gridCol w:w="5010"/>
      </w:tblGrid>
      <w:tr>
        <w:trPr>
          <w:tblHeader w:val="true"/>
        </w:trPr>
        <w:tc>
          <w:tcPr>
            <w:tcW w:type="dxa" w:w="65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ID</w:t>
            </w:r>
          </w:p>
        </w:tc>
        <w:tc>
          <w:tcPr>
            <w:tcW w:type="dxa" w:w="26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Risiko</w:t>
            </w:r>
          </w:p>
        </w:tc>
        <w:tc>
          <w:tcPr>
            <w:tcW w:type="dxa" w:w="11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Priorität</w:t>
            </w:r>
          </w:p>
        </w:tc>
        <w:tc>
          <w:tcPr>
            <w:tcW w:type="dxa" w:w="501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Gegenmaßnahme</w:t>
            </w:r>
          </w:p>
        </w:tc>
      </w:tr>
      <w:tr>
        <w:tc>
          <w:tcPr>
            <w:tcW w:type="dxa" w:w="6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6"/>
              </w:rPr>
              <w:t>R1</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Unterschiedliche Zeitauflösungen</w:t>
            </w:r>
          </w:p>
        </w:tc>
        <w:tc>
          <w:tcPr>
            <w:tcW w:type="dxa" w:w="11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hoch</w:t>
            </w:r>
          </w:p>
        </w:tc>
        <w:tc>
          <w:tcPr>
            <w:tcW w:type="dxa" w:w="501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früher Datencheck; gemeinsame Stundenauflösung; Aggregationsregeln dokumentieren</w:t>
            </w:r>
          </w:p>
        </w:tc>
      </w:tr>
      <w:tr>
        <w:tc>
          <w:tcPr>
            <w:tcW w:type="dxa" w:w="65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6"/>
              </w:rPr>
              <w:t>R2</w:t>
            </w:r>
          </w:p>
        </w:tc>
        <w:tc>
          <w:tcPr>
            <w:tcW w:type="dxa" w:w="26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Lücken oder wechselnde Länderabdeckung</w:t>
            </w:r>
          </w:p>
        </w:tc>
        <w:tc>
          <w:tcPr>
            <w:tcW w:type="dxa" w:w="11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hoch</w:t>
            </w:r>
          </w:p>
        </w:tc>
        <w:tc>
          <w:tcPr>
            <w:tcW w:type="dxa" w:w="501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zusammenhängenden Zeitraum wählen; Missing-Werte sichtbar behandeln</w:t>
            </w:r>
          </w:p>
        </w:tc>
      </w:tr>
      <w:tr>
        <w:tc>
          <w:tcPr>
            <w:tcW w:type="dxa" w:w="6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6"/>
              </w:rPr>
              <w:t>R3</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Verwechslung von Handel und physischem Fluss</w:t>
            </w:r>
          </w:p>
        </w:tc>
        <w:tc>
          <w:tcPr>
            <w:tcW w:type="dxa" w:w="11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hoch</w:t>
            </w:r>
          </w:p>
        </w:tc>
        <w:tc>
          <w:tcPr>
            <w:tcW w:type="dxa" w:w="501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getrennte Begriffe, Einheiten, Legenden und Vergleichsansicht</w:t>
            </w:r>
          </w:p>
        </w:tc>
      </w:tr>
      <w:tr>
        <w:tc>
          <w:tcPr>
            <w:tcW w:type="dxa" w:w="65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6"/>
              </w:rPr>
              <w:t>R4</w:t>
            </w:r>
          </w:p>
        </w:tc>
        <w:tc>
          <w:tcPr>
            <w:tcW w:type="dxa" w:w="26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SVG-Performanz</w:t>
            </w:r>
          </w:p>
        </w:tc>
        <w:tc>
          <w:tcPr>
            <w:tcW w:type="dxa" w:w="11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mittel</w:t>
            </w:r>
          </w:p>
        </w:tc>
        <w:tc>
          <w:tcPr>
            <w:tcW w:type="dxa" w:w="501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mehrstufige Aggregation; nur sichtbaren Detailbereich rendern</w:t>
            </w:r>
          </w:p>
        </w:tc>
      </w:tr>
      <w:tr>
        <w:tc>
          <w:tcPr>
            <w:tcW w:type="dxa" w:w="6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6"/>
              </w:rPr>
              <w:t>R5</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Überlagerung in parallelen Koordinaten</w:t>
            </w:r>
          </w:p>
        </w:tc>
        <w:tc>
          <w:tcPr>
            <w:tcW w:type="dxa" w:w="11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mittel</w:t>
            </w:r>
          </w:p>
        </w:tc>
        <w:tc>
          <w:tcPr>
            <w:tcW w:type="dxa" w:w="501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Zeitfilter, Transparenz, Stichprobe oder Tagesaggregate</w:t>
            </w:r>
          </w:p>
        </w:tc>
      </w:tr>
      <w:tr>
        <w:tc>
          <w:tcPr>
            <w:tcW w:type="dxa" w:w="65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6"/>
              </w:rPr>
              <w:t>R6</w:t>
            </w:r>
          </w:p>
        </w:tc>
        <w:tc>
          <w:tcPr>
            <w:tcW w:type="dxa" w:w="26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Zu großer Funktionsumfang</w:t>
            </w:r>
          </w:p>
        </w:tc>
        <w:tc>
          <w:tcPr>
            <w:tcW w:type="dxa" w:w="11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mittel</w:t>
            </w:r>
          </w:p>
        </w:tc>
        <w:tc>
          <w:tcPr>
            <w:tcW w:type="dxa" w:w="501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Kerninteraktionen priorisieren; Erweiterungen klar nachrangig</w:t>
            </w:r>
          </w:p>
        </w:tc>
      </w:tr>
      <w:tr>
        <w:tc>
          <w:tcPr>
            <w:tcW w:type="dxa" w:w="6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6"/>
              </w:rPr>
              <w:t>R7</w:t>
            </w:r>
          </w:p>
        </w:tc>
        <w:tc>
          <w:tcPr>
            <w:tcW w:type="dxa" w:w="26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API-Ausfall oder Rate Limit</w:t>
            </w:r>
          </w:p>
        </w:tc>
        <w:tc>
          <w:tcPr>
            <w:tcW w:type="dxa" w:w="11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mittel</w:t>
            </w:r>
          </w:p>
        </w:tc>
        <w:tc>
          <w:tcPr>
            <w:tcW w:type="dxa" w:w="501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6"/>
              </w:rPr>
              <w:t>versionierten Demonstrationsdatensatz bereithalten</w:t>
            </w:r>
          </w:p>
        </w:tc>
      </w:tr>
      <w:tr>
        <w:tc>
          <w:tcPr>
            <w:tcW w:type="dxa" w:w="65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6"/>
              </w:rPr>
              <w:t>R8</w:t>
            </w:r>
          </w:p>
        </w:tc>
        <w:tc>
          <w:tcPr>
            <w:tcW w:type="dxa" w:w="26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Unzulässige kausale Interpretation</w:t>
            </w:r>
          </w:p>
        </w:tc>
        <w:tc>
          <w:tcPr>
            <w:tcW w:type="dxa" w:w="11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mittel</w:t>
            </w:r>
          </w:p>
        </w:tc>
        <w:tc>
          <w:tcPr>
            <w:tcW w:type="dxa" w:w="501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6"/>
              </w:rPr>
              <w:t>deskriptive Fragen und Grenzen im Bericht explizit formulieren</w:t>
            </w:r>
          </w:p>
        </w:tc>
      </w:tr>
    </w:tbl>
    <w:p>
      <w:pPr>
        <w:spacing w:after="40"/>
      </w:pPr>
    </w:p>
    <w:p>
      <w:pPr>
        <w:pStyle w:val="Heading2"/>
      </w:pPr>
      <w:r>
        <w:t>Bewusste Abgrenzung</w:t>
      </w:r>
    </w:p>
    <w:p>
      <w:pPr>
        <w:spacing w:after="80" w:line="290" w:lineRule="auto"/>
        <w:ind w:left="540" w:hanging="279"/>
        <w:jc w:val="left"/>
        <w:numPr>
          <w:ilvl w:val="0"/>
          <w:numId w:val="43"/>
        </w:numPr>
      </w:pPr>
      <w:r>
        <w:rPr>
          <w:rFonts w:ascii="Calibri" w:hAnsi="Calibri" w:eastAsia="Calibri"/>
        </w:rPr>
        <w:t>Keine Lastflussrechnung und keine Simulation technischer Netzengpässe.</w:t>
      </w:r>
    </w:p>
    <w:p>
      <w:pPr>
        <w:spacing w:after="80" w:line="290" w:lineRule="auto"/>
        <w:ind w:left="540" w:hanging="279"/>
        <w:jc w:val="left"/>
        <w:numPr>
          <w:ilvl w:val="0"/>
          <w:numId w:val="43"/>
        </w:numPr>
      </w:pPr>
      <w:r>
        <w:rPr>
          <w:rFonts w:ascii="Calibri" w:hAnsi="Calibri" w:eastAsia="Calibri"/>
        </w:rPr>
        <w:t>Keine Prognose zukünftiger Preise oder Stromflüsse.</w:t>
      </w:r>
    </w:p>
    <w:p>
      <w:pPr>
        <w:spacing w:after="80" w:line="290" w:lineRule="auto"/>
        <w:ind w:left="540" w:hanging="279"/>
        <w:jc w:val="left"/>
        <w:numPr>
          <w:ilvl w:val="0"/>
          <w:numId w:val="43"/>
        </w:numPr>
      </w:pPr>
      <w:r>
        <w:rPr>
          <w:rFonts w:ascii="Calibri" w:hAnsi="Calibri" w:eastAsia="Calibri"/>
        </w:rPr>
        <w:t>Keine kausale Bewertung energiepolitischer Maßnahmen.</w:t>
      </w:r>
    </w:p>
    <w:p>
      <w:pPr>
        <w:spacing w:after="80" w:line="290" w:lineRule="auto"/>
        <w:ind w:left="540" w:hanging="279"/>
        <w:jc w:val="left"/>
        <w:numPr>
          <w:ilvl w:val="0"/>
          <w:numId w:val="43"/>
        </w:numPr>
      </w:pPr>
      <w:r>
        <w:rPr>
          <w:rFonts w:ascii="Calibri" w:hAnsi="Calibri" w:eastAsia="Calibri"/>
        </w:rPr>
        <w:t>Keine vollständige Darstellung des gesamten europäischen Übertragungsnetzes.</w:t>
      </w:r>
    </w:p>
    <w:p>
      <w:pPr>
        <w:spacing w:after="80" w:line="290" w:lineRule="auto"/>
        <w:ind w:left="540" w:hanging="279"/>
        <w:jc w:val="left"/>
        <w:numPr>
          <w:ilvl w:val="0"/>
          <w:numId w:val="43"/>
        </w:numPr>
      </w:pPr>
      <w:r>
        <w:rPr>
          <w:rFonts w:ascii="Calibri" w:hAnsi="Calibri" w:eastAsia="Calibri"/>
        </w:rPr>
        <w:t>Keine mobile Volloptimierung in der ersten Version; Fokus auf Desktop-Bildschirme.</w:t>
      </w:r>
    </w:p>
    <w:p>
      <w:pPr>
        <w:pStyle w:val="Heading2"/>
      </w:pPr>
      <w:r>
        <w:t>Offene Entscheidungen für den nächsten Zwischenstand</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900"/>
        <w:gridCol w:w="8460"/>
      </w:tblGrid>
      <w:tr>
        <w:trPr>
          <w:tblHeader w:val="true"/>
        </w:trPr>
        <w:tc>
          <w:tcPr>
            <w:tcW w:type="dxa" w:w="9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ID</w:t>
            </w:r>
          </w:p>
        </w:tc>
        <w:tc>
          <w:tcPr>
            <w:tcW w:type="dxa" w:w="846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Entscheidungsfrage</w:t>
            </w:r>
          </w:p>
        </w:tc>
      </w:tr>
      <w:tr>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D1</w:t>
            </w:r>
          </w:p>
        </w:tc>
        <w:tc>
          <w:tcPr>
            <w:tcW w:type="dxa" w:w="84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Welcher zusammenhängende Zeitraum besitzt die beste gemeinsame Datenabdeckung?</w:t>
            </w:r>
          </w:p>
        </w:tc>
      </w:tr>
      <w:tr>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D2</w:t>
            </w:r>
          </w:p>
        </w:tc>
        <w:tc>
          <w:tcPr>
            <w:tcW w:type="dxa" w:w="84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Welche Gegenparteien liefert die Datenbank für Deutschland konsistent?</w:t>
            </w:r>
          </w:p>
        </w:tc>
      </w:tr>
      <w:tr>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D3</w:t>
            </w:r>
          </w:p>
        </w:tc>
        <w:tc>
          <w:tcPr>
            <w:tcW w:type="dxa" w:w="84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Werden physischer Fluss und Handel gleichzeitig oder über einen Umschalter gezeigt?</w:t>
            </w:r>
          </w:p>
        </w:tc>
      </w:tr>
      <w:tr>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D4</w:t>
            </w:r>
          </w:p>
        </w:tc>
        <w:tc>
          <w:tcPr>
            <w:tcW w:type="dxa" w:w="84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Welche Erzeugungsarten werden einzeln gezeigt und welche sinnvoll gruppiert?</w:t>
            </w:r>
          </w:p>
        </w:tc>
      </w:tr>
      <w:tr>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D5</w:t>
            </w:r>
          </w:p>
        </w:tc>
        <w:tc>
          <w:tcPr>
            <w:tcW w:type="dxa" w:w="84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8"/>
              </w:rPr>
              <w:t>Welche Aggregation verwendet der Netzwerkgraph für ein ausgewähltes Intervall?</w:t>
            </w:r>
          </w:p>
        </w:tc>
      </w:tr>
      <w:tr>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D6</w:t>
            </w:r>
          </w:p>
        </w:tc>
        <w:tc>
          <w:tcPr>
            <w:tcW w:type="dxa" w:w="84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8"/>
              </w:rPr>
              <w:t>Welche endgültige Farbskala erfüllt Verständlichkeit und Barrierearmut?</w:t>
            </w:r>
          </w:p>
        </w:tc>
      </w:tr>
    </w:tbl>
    <w:p>
      <w:pPr>
        <w:spacing w:after="40"/>
      </w:pPr>
    </w:p>
    <w:p>
      <w:pPr>
        <w:pStyle w:val="Heading1"/>
      </w:pPr>
      <w:r>
        <w:t>Zielgliederung des Abschlussberichts</w:t>
      </w:r>
    </w:p>
    <w:p>
      <w:r>
        <w:rPr>
          <w:rFonts w:ascii="Calibri" w:hAnsi="Calibri" w:eastAsia="Calibri"/>
          <w:i w:val="0"/>
        </w:rPr>
        <w:t>Der endgültige Bericht soll einen Umfang von ungefähr 15 bis 20 Seiten zuzüglich möglicher größerer Abbildungen erreichen. Die folgende Gliederung ist als Seitenbudget gedacht und wird nach Veröffentlichung beziehungsweise Prüfung der offiziellen Vorlage angepasst.</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650"/>
        <w:gridCol w:w="2750"/>
        <w:gridCol w:w="900"/>
        <w:gridCol w:w="5060"/>
      </w:tblGrid>
      <w:tr>
        <w:trPr>
          <w:tblHeader w:val="true"/>
        </w:trPr>
        <w:tc>
          <w:tcPr>
            <w:tcW w:type="dxa" w:w="65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Kap.</w:t>
            </w:r>
          </w:p>
        </w:tc>
        <w:tc>
          <w:tcPr>
            <w:tcW w:type="dxa" w:w="275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Abschnitt</w:t>
            </w:r>
          </w:p>
        </w:tc>
        <w:tc>
          <w:tcPr>
            <w:tcW w:type="dxa" w:w="9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Seiten</w:t>
            </w:r>
          </w:p>
        </w:tc>
        <w:tc>
          <w:tcPr>
            <w:tcW w:type="dxa" w:w="506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Kerninhalt</w:t>
            </w:r>
          </w:p>
        </w:tc>
      </w:tr>
      <w:tr>
        <w:tc>
          <w:tcPr>
            <w:tcW w:type="dxa" w:w="6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1</w:t>
            </w:r>
          </w:p>
        </w:tc>
        <w:tc>
          <w:tcPr>
            <w:tcW w:type="dxa" w:w="275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Einleitung und Motivation</w:t>
            </w:r>
          </w:p>
        </w:tc>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1–1,5</w:t>
            </w:r>
          </w:p>
        </w:tc>
        <w:tc>
          <w:tcPr>
            <w:tcW w:type="dxa" w:w="50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Problem, Ziel, Forschungsfragen, Beitrag</w:t>
            </w:r>
          </w:p>
        </w:tc>
      </w:tr>
      <w:tr>
        <w:tc>
          <w:tcPr>
            <w:tcW w:type="dxa" w:w="65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2</w:t>
            </w:r>
          </w:p>
        </w:tc>
        <w:tc>
          <w:tcPr>
            <w:tcW w:type="dxa" w:w="275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Fachlicher und wissenschaftlicher Hintergrund</w:t>
            </w:r>
          </w:p>
        </w:tc>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2–3</w:t>
            </w:r>
          </w:p>
        </w:tc>
        <w:tc>
          <w:tcPr>
            <w:tcW w:type="dxa" w:w="50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Stromflüsse, Energy-Charts, koordinierte Ansichten, Techniken</w:t>
            </w:r>
          </w:p>
        </w:tc>
      </w:tr>
      <w:tr>
        <w:tc>
          <w:tcPr>
            <w:tcW w:type="dxa" w:w="6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3</w:t>
            </w:r>
          </w:p>
        </w:tc>
        <w:tc>
          <w:tcPr>
            <w:tcW w:type="dxa" w:w="275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Daten und Aufgabenanalyse</w:t>
            </w:r>
          </w:p>
        </w:tc>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2–2,5</w:t>
            </w:r>
          </w:p>
        </w:tc>
        <w:tc>
          <w:tcPr>
            <w:tcW w:type="dxa" w:w="50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Datenmodell, Qualität, Nutzer- und Aufgabenabstraktion</w:t>
            </w:r>
          </w:p>
        </w:tc>
      </w:tr>
      <w:tr>
        <w:tc>
          <w:tcPr>
            <w:tcW w:type="dxa" w:w="65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4</w:t>
            </w:r>
          </w:p>
        </w:tc>
        <w:tc>
          <w:tcPr>
            <w:tcW w:type="dxa" w:w="275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Visualisierungs- und Interaktionsdesign</w:t>
            </w:r>
          </w:p>
        </w:tc>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4–5</w:t>
            </w:r>
          </w:p>
        </w:tc>
        <w:tc>
          <w:tcPr>
            <w:tcW w:type="dxa" w:w="50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vier Ansichten, Kodierungen, Verknüpfung, verworfene Alternativen</w:t>
            </w:r>
          </w:p>
        </w:tc>
      </w:tr>
      <w:tr>
        <w:tc>
          <w:tcPr>
            <w:tcW w:type="dxa" w:w="6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5</w:t>
            </w:r>
          </w:p>
        </w:tc>
        <w:tc>
          <w:tcPr>
            <w:tcW w:type="dxa" w:w="275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Implementierung in Elm</w:t>
            </w:r>
          </w:p>
        </w:tc>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2–3</w:t>
            </w:r>
          </w:p>
        </w:tc>
        <w:tc>
          <w:tcPr>
            <w:tcW w:type="dxa" w:w="50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Architektur, Datenverarbeitung, Rendering, Performanz</w:t>
            </w:r>
          </w:p>
        </w:tc>
      </w:tr>
      <w:tr>
        <w:tc>
          <w:tcPr>
            <w:tcW w:type="dxa" w:w="65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6</w:t>
            </w:r>
          </w:p>
        </w:tc>
        <w:tc>
          <w:tcPr>
            <w:tcW w:type="dxa" w:w="275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Anwendungsszenarien und Ergebnisse</w:t>
            </w:r>
          </w:p>
        </w:tc>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2–3</w:t>
            </w:r>
          </w:p>
        </w:tc>
        <w:tc>
          <w:tcPr>
            <w:tcW w:type="dxa" w:w="50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Fallbeispiele aus dem Datenbestand</w:t>
            </w:r>
          </w:p>
        </w:tc>
      </w:tr>
      <w:tr>
        <w:tc>
          <w:tcPr>
            <w:tcW w:type="dxa" w:w="6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7</w:t>
            </w:r>
          </w:p>
        </w:tc>
        <w:tc>
          <w:tcPr>
            <w:tcW w:type="dxa" w:w="275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Evaluation</w:t>
            </w:r>
          </w:p>
        </w:tc>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1,5–2</w:t>
            </w:r>
          </w:p>
        </w:tc>
        <w:tc>
          <w:tcPr>
            <w:tcW w:type="dxa" w:w="50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Verfahren, Aufgaben, Beobachtungen, Änderungen</w:t>
            </w:r>
          </w:p>
        </w:tc>
      </w:tr>
      <w:tr>
        <w:tc>
          <w:tcPr>
            <w:tcW w:type="dxa" w:w="65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8</w:t>
            </w:r>
          </w:p>
        </w:tc>
        <w:tc>
          <w:tcPr>
            <w:tcW w:type="dxa" w:w="275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Diskussion und Grenzen</w:t>
            </w:r>
          </w:p>
        </w:tc>
        <w:tc>
          <w:tcPr>
            <w:tcW w:type="dxa" w:w="9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1–1,5</w:t>
            </w:r>
          </w:p>
        </w:tc>
        <w:tc>
          <w:tcPr>
            <w:tcW w:type="dxa" w:w="50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Interpretation, Daten- und Designgrenzen</w:t>
            </w:r>
          </w:p>
        </w:tc>
      </w:tr>
      <w:tr>
        <w:tc>
          <w:tcPr>
            <w:tcW w:type="dxa" w:w="65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9</w:t>
            </w:r>
          </w:p>
        </w:tc>
        <w:tc>
          <w:tcPr>
            <w:tcW w:type="dxa" w:w="275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Fazit und Ausblick</w:t>
            </w:r>
          </w:p>
        </w:tc>
        <w:tc>
          <w:tcPr>
            <w:tcW w:type="dxa" w:w="9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0,5–1</w:t>
            </w:r>
          </w:p>
        </w:tc>
        <w:tc>
          <w:tcPr>
            <w:tcW w:type="dxa" w:w="50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Antworten auf Fragen, Weiterentwicklung</w:t>
            </w:r>
          </w:p>
        </w:tc>
      </w:tr>
    </w:tbl>
    <w:p>
      <w:pPr>
        <w:spacing w:after="40"/>
      </w:pPr>
    </w:p>
    <w:p>
      <w:pPr>
        <w:pStyle w:val="Heading2"/>
      </w:pPr>
      <w:r>
        <w:t>Geplante Abbildungen und Tabellen</w:t>
      </w:r>
    </w:p>
    <w:tbl>
      <w:tblPr>
        <w:tblW w:type="dxa" w:w="9360"/>
        <w:tblLayout w:type="fixed"/>
        <w:tblLook w:firstColumn="1" w:firstRow="1" w:lastColumn="0" w:lastRow="0" w:noHBand="0" w:noVBand="1" w:val="04A0"/>
        <w:tblInd w:w="120" w:type="dxa"/>
        <w:tblBorders>
          <w:top w:val="single" w:sz="5" w:color="D6DCE4"/>
          <w:left w:val="single" w:sz="5" w:color="D6DCE4"/>
          <w:bottom w:val="single" w:sz="5" w:color="D6DCE4"/>
          <w:right w:val="single" w:sz="5" w:color="D6DCE4"/>
          <w:insideH w:val="single" w:sz="5" w:color="D6DCE4"/>
          <w:insideV w:val="single" w:sz="5" w:color="D6DCE4"/>
        </w:tblBorders>
      </w:tblPr>
      <w:tblGrid>
        <w:gridCol w:w="1100"/>
        <w:gridCol w:w="6160"/>
        <w:gridCol w:w="2100"/>
      </w:tblGrid>
      <w:tr>
        <w:trPr>
          <w:tblHeader w:val="true"/>
        </w:trPr>
        <w:tc>
          <w:tcPr>
            <w:tcW w:type="dxa" w:w="11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Element</w:t>
            </w:r>
          </w:p>
        </w:tc>
        <w:tc>
          <w:tcPr>
            <w:tcW w:type="dxa" w:w="616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Inhalt</w:t>
            </w:r>
          </w:p>
        </w:tc>
        <w:tc>
          <w:tcPr>
            <w:tcW w:type="dxa" w:w="2100"/>
            <w:vAlign w:val="center"/>
            <w:tcMar>
              <w:top w:w="80" w:type="dxa"/>
              <w:start w:w="120" w:type="dxa"/>
              <w:bottom w:w="80" w:type="dxa"/>
              <w:end w:w="120" w:type="dxa"/>
            </w:tcMar>
            <w:shd w:fill="E9EEF5"/>
          </w:tcPr>
          <w:p>
            <w:pPr>
              <w:spacing w:before="0" w:after="0" w:line="264" w:lineRule="auto"/>
              <w:jc w:val="left"/>
            </w:pPr>
            <w:r/>
            <w:r>
              <w:rPr>
                <w:rFonts w:ascii="Calibri" w:hAnsi="Calibri" w:eastAsia="Calibri"/>
                <w:b/>
                <w:color w:val="0B2545"/>
                <w:sz w:val="18"/>
              </w:rPr>
              <w:t>Kapitel</w:t>
            </w:r>
          </w:p>
        </w:tc>
      </w:tr>
      <w:tr>
        <w:tc>
          <w:tcPr>
            <w:tcW w:type="dxa" w:w="11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Abb. 1</w:t>
            </w:r>
          </w:p>
        </w:tc>
        <w:tc>
          <w:tcPr>
            <w:tcW w:type="dxa" w:w="61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Gesamtoberfläche mit vier koordinierten Ansichten</w:t>
            </w:r>
          </w:p>
        </w:tc>
        <w:tc>
          <w:tcPr>
            <w:tcW w:type="dxa" w:w="21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Design</w:t>
            </w:r>
          </w:p>
        </w:tc>
      </w:tr>
      <w:tr>
        <w:tc>
          <w:tcPr>
            <w:tcW w:type="dxa" w:w="11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Abb. 2</w:t>
            </w:r>
          </w:p>
        </w:tc>
        <w:tc>
          <w:tcPr>
            <w:tcW w:type="dxa" w:w="61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Daten- und Zustandsfluss der Elm-Anwendung</w:t>
            </w:r>
          </w:p>
        </w:tc>
        <w:tc>
          <w:tcPr>
            <w:tcW w:type="dxa" w:w="21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Implementierung</w:t>
            </w:r>
          </w:p>
        </w:tc>
      </w:tr>
      <w:tr>
        <w:tc>
          <w:tcPr>
            <w:tcW w:type="dxa" w:w="11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Abb. 3</w:t>
            </w:r>
          </w:p>
        </w:tc>
        <w:tc>
          <w:tcPr>
            <w:tcW w:type="dxa" w:w="61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Netzwerkgraph in Import- und Exportsituation</w:t>
            </w:r>
          </w:p>
        </w:tc>
        <w:tc>
          <w:tcPr>
            <w:tcW w:type="dxa" w:w="21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Design/Ergebnis</w:t>
            </w:r>
          </w:p>
        </w:tc>
      </w:tr>
      <w:tr>
        <w:tc>
          <w:tcPr>
            <w:tcW w:type="dxa" w:w="11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Abb. 4</w:t>
            </w:r>
          </w:p>
        </w:tc>
        <w:tc>
          <w:tcPr>
            <w:tcW w:type="dxa" w:w="61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Zeitreihe mit ausgewähltem Intervall und synchronem Cursor</w:t>
            </w:r>
          </w:p>
        </w:tc>
        <w:tc>
          <w:tcPr>
            <w:tcW w:type="dxa" w:w="21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Design/Ergebnis</w:t>
            </w:r>
          </w:p>
        </w:tc>
      </w:tr>
      <w:tr>
        <w:tc>
          <w:tcPr>
            <w:tcW w:type="dxa" w:w="11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Abb. 5</w:t>
            </w:r>
          </w:p>
        </w:tc>
        <w:tc>
          <w:tcPr>
            <w:tcW w:type="dxa" w:w="61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Pixelmatrix eines Jahres mit markierter Episode</w:t>
            </w:r>
          </w:p>
        </w:tc>
        <w:tc>
          <w:tcPr>
            <w:tcW w:type="dxa" w:w="21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Design/Ergebnis</w:t>
            </w:r>
          </w:p>
        </w:tc>
      </w:tr>
      <w:tr>
        <w:tc>
          <w:tcPr>
            <w:tcW w:type="dxa" w:w="11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Abb. 6</w:t>
            </w:r>
          </w:p>
        </w:tc>
        <w:tc>
          <w:tcPr>
            <w:tcW w:type="dxa" w:w="61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Parallele Koordinaten für die ausgewählte Episode</w:t>
            </w:r>
          </w:p>
        </w:tc>
        <w:tc>
          <w:tcPr>
            <w:tcW w:type="dxa" w:w="21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Design/Ergebnis</w:t>
            </w:r>
          </w:p>
        </w:tc>
      </w:tr>
      <w:tr>
        <w:tc>
          <w:tcPr>
            <w:tcW w:type="dxa" w:w="11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Abb. 7</w:t>
            </w:r>
          </w:p>
        </w:tc>
        <w:tc>
          <w:tcPr>
            <w:tcW w:type="dxa" w:w="61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Koordinierte Auswahlfolge als Anwendungsszenario</w:t>
            </w:r>
          </w:p>
        </w:tc>
        <w:tc>
          <w:tcPr>
            <w:tcW w:type="dxa" w:w="21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Ergebnis</w:t>
            </w:r>
          </w:p>
        </w:tc>
      </w:tr>
      <w:tr>
        <w:tc>
          <w:tcPr>
            <w:tcW w:type="dxa" w:w="11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Tab. 1</w:t>
            </w:r>
          </w:p>
        </w:tc>
        <w:tc>
          <w:tcPr>
            <w:tcW w:type="dxa" w:w="61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Datenquellen, Einheiten und Transformationsregeln</w:t>
            </w:r>
          </w:p>
        </w:tc>
        <w:tc>
          <w:tcPr>
            <w:tcW w:type="dxa" w:w="21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Daten</w:t>
            </w:r>
          </w:p>
        </w:tc>
      </w:tr>
      <w:tr>
        <w:tc>
          <w:tcPr>
            <w:tcW w:type="dxa" w:w="1100"/>
            <w:vAlign w:val="center"/>
            <w:tcMar>
              <w:top w:w="80" w:type="dxa"/>
              <w:start w:w="120" w:type="dxa"/>
              <w:bottom w:w="80" w:type="dxa"/>
              <w:end w:w="120" w:type="dxa"/>
            </w:tcMar>
          </w:tcPr>
          <w:p>
            <w:pPr>
              <w:spacing w:before="0" w:after="0" w:line="264" w:lineRule="auto"/>
              <w:jc w:val="center"/>
            </w:pPr>
            <w:r/>
            <w:r>
              <w:rPr>
                <w:rFonts w:ascii="Calibri" w:hAnsi="Calibri" w:eastAsia="Calibri"/>
                <w:b w:val="0"/>
                <w:color w:val="111111"/>
                <w:sz w:val="17"/>
              </w:rPr>
              <w:t>Tab. 2</w:t>
            </w:r>
          </w:p>
        </w:tc>
        <w:tc>
          <w:tcPr>
            <w:tcW w:type="dxa" w:w="616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Analyseaufgaben und Zuordnung zu Ansichten</w:t>
            </w:r>
          </w:p>
        </w:tc>
        <w:tc>
          <w:tcPr>
            <w:tcW w:type="dxa" w:w="2100"/>
            <w:vAlign w:val="center"/>
            <w:tcMar>
              <w:top w:w="80" w:type="dxa"/>
              <w:start w:w="120" w:type="dxa"/>
              <w:bottom w:w="80" w:type="dxa"/>
              <w:end w:w="120" w:type="dxa"/>
            </w:tcMar>
          </w:tcPr>
          <w:p>
            <w:pPr>
              <w:spacing w:before="0" w:after="0" w:line="264" w:lineRule="auto"/>
              <w:jc w:val="left"/>
            </w:pPr>
            <w:r/>
            <w:r>
              <w:rPr>
                <w:rFonts w:ascii="Calibri" w:hAnsi="Calibri" w:eastAsia="Calibri"/>
                <w:b w:val="0"/>
                <w:color w:val="111111"/>
                <w:sz w:val="17"/>
              </w:rPr>
              <w:t>Aufgaben</w:t>
            </w:r>
          </w:p>
        </w:tc>
      </w:tr>
      <w:tr>
        <w:tc>
          <w:tcPr>
            <w:tcW w:type="dxa" w:w="1100"/>
            <w:vAlign w:val="center"/>
            <w:tcMar>
              <w:top w:w="80" w:type="dxa"/>
              <w:start w:w="120" w:type="dxa"/>
              <w:bottom w:w="80" w:type="dxa"/>
              <w:end w:w="120" w:type="dxa"/>
            </w:tcMar>
            <w:shd w:fill="F8FAFC"/>
          </w:tcPr>
          <w:p>
            <w:pPr>
              <w:spacing w:before="0" w:after="0" w:line="264" w:lineRule="auto"/>
              <w:jc w:val="center"/>
            </w:pPr>
            <w:r/>
            <w:r>
              <w:rPr>
                <w:rFonts w:ascii="Calibri" w:hAnsi="Calibri" w:eastAsia="Calibri"/>
                <w:b w:val="0"/>
                <w:color w:val="111111"/>
                <w:sz w:val="17"/>
              </w:rPr>
              <w:t>Tab. 3</w:t>
            </w:r>
          </w:p>
        </w:tc>
        <w:tc>
          <w:tcPr>
            <w:tcW w:type="dxa" w:w="616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Evaluationsaufgaben und Ergebnisse</w:t>
            </w:r>
          </w:p>
        </w:tc>
        <w:tc>
          <w:tcPr>
            <w:tcW w:type="dxa" w:w="2100"/>
            <w:vAlign w:val="center"/>
            <w:tcMar>
              <w:top w:w="80" w:type="dxa"/>
              <w:start w:w="120" w:type="dxa"/>
              <w:bottom w:w="80" w:type="dxa"/>
              <w:end w:w="120" w:type="dxa"/>
            </w:tcMar>
            <w:shd w:fill="F8FAFC"/>
          </w:tcPr>
          <w:p>
            <w:pPr>
              <w:spacing w:before="0" w:after="0" w:line="264" w:lineRule="auto"/>
              <w:jc w:val="left"/>
            </w:pPr>
            <w:r/>
            <w:r>
              <w:rPr>
                <w:rFonts w:ascii="Calibri" w:hAnsi="Calibri" w:eastAsia="Calibri"/>
                <w:b w:val="0"/>
                <w:color w:val="111111"/>
                <w:sz w:val="17"/>
              </w:rPr>
              <w:t>Evaluation</w:t>
            </w:r>
          </w:p>
        </w:tc>
      </w:tr>
    </w:tbl>
    <w:p>
      <w:pPr>
        <w:spacing w:after="40"/>
      </w:pPr>
    </w:p>
    <w:p>
      <w:pPr>
        <w:pStyle w:val="Heading1"/>
      </w:pPr>
      <w:r>
        <w:t>Fazit des Zwischenstands</w:t>
      </w:r>
    </w:p>
    <w:p>
      <w:r>
        <w:rPr>
          <w:rFonts w:ascii="Calibri" w:hAnsi="Calibri" w:eastAsia="Calibri"/>
          <w:i w:val="0"/>
        </w:rPr>
        <w:t>Das Thema „Deutschland im europäischen Stromnetz“ erfüllt die Projektanforderungen auf fachlich begründete Weise. Die Graphansicht ergibt sich aus den Länderbeziehungen, die Zeitreihe aus der zeitlichen Dynamik, die Pixelmatrix aus dem mehrjährigen Umfang und die parallelen Koordinaten aus der gleichzeitigen Betrachtung mehrerer Merkmale. Die Ansichten sind über einen gemeinsamen Selektionszustand verbunden und unterstützen einen nachvollziehbaren Analyseablauf vom Überblick bis zum Detail.</w:t>
      </w:r>
    </w:p>
    <w:p>
      <w:r>
        <w:rPr>
          <w:rFonts w:ascii="Calibri" w:hAnsi="Calibri" w:eastAsia="Calibri"/>
          <w:i w:val="0"/>
        </w:rPr>
        <w:t>Der wichtigste nächste Schritt ist nicht die visuelle Feingestaltung, sondern die Datenprüfung. Sie entscheidet über Zeitraum, Gegenparteien, Aggregation und belastbare Fallbeispiele. Danach wird zunächst ein vertikaler Prototyp umgesetzt, der einen vollständigen Interaktionspfad von der Pixelzelle über Zeitreihe und Netzwerk bis zur mehrdimensionalen Ansicht abbildet. Erst auf dieser Grundlage werden zusätzliche Filter und gestalterische Erweiterungen ergänzt.</w:t>
      </w:r>
    </w:p>
    <w:p>
      <w:pPr>
        <w:spacing w:before="100" w:after="180" w:line="288" w:lineRule="auto"/>
        <w:ind w:left="115" w:right="115"/>
        <w:shd w:fill="EEF3F8"/>
        <w:pBdr>
          <w:left w:val="single" w:sz="18" w:space="8" w:color="2E74B5"/>
        </w:pBdr>
      </w:pPr>
      <w:r>
        <w:rPr>
          <w:rFonts w:ascii="Calibri" w:hAnsi="Calibri" w:eastAsia="Calibri"/>
          <w:b/>
          <w:color w:val="2E74B5"/>
          <w:sz w:val="20"/>
        </w:rPr>
        <w:t xml:space="preserve">Nächster abgabefähiger Zwischenstand. </w:t>
      </w:r>
      <w:r>
        <w:rPr>
          <w:rFonts w:ascii="Calibri" w:hAnsi="Calibri" w:eastAsia="Calibri"/>
          <w:color w:val="0B2545"/>
          <w:sz w:val="20"/>
        </w:rPr>
        <w:t>Datenprofil mit Abdeckungsmatrix, lauffähiger Elm-Prototyp aus Netzwerk + Zeitreihe, ein durchgängiger Selektionspfad und aktualisierte Screenshots im Bericht.</w:t>
      </w:r>
    </w:p>
    <w:p>
      <w:pPr>
        <w:pStyle w:val="Heading1"/>
      </w:pPr>
      <w:r>
        <w:t>Literatur und Datenquellen</w:t>
      </w:r>
    </w:p>
    <w:p>
      <w:pPr>
        <w:spacing w:after="140" w:line="276" w:lineRule="auto"/>
        <w:ind w:left="461" w:hanging="461"/>
      </w:pPr>
      <w:r>
        <w:rPr>
          <w:rFonts w:ascii="Calibri" w:hAnsi="Calibri" w:eastAsia="Calibri"/>
          <w:b/>
          <w:color w:val="0B2545"/>
          <w:sz w:val="19"/>
        </w:rPr>
        <w:t xml:space="preserve">[1] </w:t>
      </w:r>
      <w:r>
        <w:rPr>
          <w:rFonts w:ascii="Calibri" w:hAnsi="Calibri" w:eastAsia="Calibri"/>
          <w:sz w:val="19"/>
        </w:rPr>
        <w:t xml:space="preserve">Fraunhofer ISE: Energy-Charts API, Version 1.6. OpenAPI-Dokumentation und Endpunktbeschreibungen. Abgerufen am 26.07.2026. </w:t>
      </w:r>
      <w:hyperlink r:id="rId11">
        <w:r>
          <w:rPr>
            <w:color w:val="2E74B5"/>
            <w:u w:val="single"/>
          </w:rPr>
          <w:t>Onlinequelle</w:t>
        </w:r>
      </w:hyperlink>
    </w:p>
    <w:p>
      <w:pPr>
        <w:spacing w:after="140" w:line="276" w:lineRule="auto"/>
        <w:ind w:left="461" w:hanging="461"/>
      </w:pPr>
      <w:r>
        <w:rPr>
          <w:rFonts w:ascii="Calibri" w:hAnsi="Calibri" w:eastAsia="Calibri"/>
          <w:b/>
          <w:color w:val="0B2545"/>
          <w:sz w:val="19"/>
        </w:rPr>
        <w:t xml:space="preserve">[2] </w:t>
      </w:r>
      <w:r>
        <w:rPr>
          <w:rFonts w:ascii="Calibri" w:hAnsi="Calibri" w:eastAsia="Calibri"/>
          <w:sz w:val="19"/>
        </w:rPr>
        <w:t xml:space="preserve">Munzner, T. (2009): A Nested Model for Visualization Design and Validation. IEEE Transactions on Visualization and Computer Graphics 15(6), 921–928. DOI: 10.1109/TVCG.2009.111. </w:t>
      </w:r>
      <w:hyperlink r:id="rId12">
        <w:r>
          <w:rPr>
            <w:color w:val="2E74B5"/>
            <w:u w:val="single"/>
          </w:rPr>
          <w:t>Onlinequelle</w:t>
        </w:r>
      </w:hyperlink>
    </w:p>
    <w:p>
      <w:pPr>
        <w:spacing w:after="140" w:line="276" w:lineRule="auto"/>
        <w:ind w:left="461" w:hanging="461"/>
      </w:pPr>
      <w:r>
        <w:rPr>
          <w:rFonts w:ascii="Calibri" w:hAnsi="Calibri" w:eastAsia="Calibri"/>
          <w:b/>
          <w:color w:val="0B2545"/>
          <w:sz w:val="19"/>
        </w:rPr>
        <w:t xml:space="preserve">[3] </w:t>
      </w:r>
      <w:r>
        <w:rPr>
          <w:rFonts w:ascii="Calibri" w:hAnsi="Calibri" w:eastAsia="Calibri"/>
          <w:sz w:val="19"/>
        </w:rPr>
        <w:t xml:space="preserve">Roberts, J. C. (2007): State of the Art: Coordinated &amp; Multiple Views in Exploratory Visualization. CMV 2007, 61–71. DOI: 10.1109/CMV.2007.20. </w:t>
      </w:r>
      <w:hyperlink r:id="rId13">
        <w:r>
          <w:rPr>
            <w:color w:val="2E74B5"/>
            <w:u w:val="single"/>
          </w:rPr>
          <w:t>Onlinequelle</w:t>
        </w:r>
      </w:hyperlink>
    </w:p>
    <w:p>
      <w:pPr>
        <w:spacing w:after="140" w:line="276" w:lineRule="auto"/>
        <w:ind w:left="461" w:hanging="461"/>
      </w:pPr>
      <w:r>
        <w:rPr>
          <w:rFonts w:ascii="Calibri" w:hAnsi="Calibri" w:eastAsia="Calibri"/>
          <w:b/>
          <w:color w:val="0B2545"/>
          <w:sz w:val="19"/>
        </w:rPr>
        <w:t xml:space="preserve">[4] </w:t>
      </w:r>
      <w:r>
        <w:rPr>
          <w:rFonts w:ascii="Calibri" w:hAnsi="Calibri" w:eastAsia="Calibri"/>
          <w:sz w:val="19"/>
        </w:rPr>
        <w:t xml:space="preserve">Keim, D. A. (2000): Designing Pixel-Oriented Visualization Techniques: Theory and Applications. IEEE Transactions on Visualization and Computer Graphics 6(1), 59–78. </w:t>
      </w:r>
      <w:hyperlink r:id="rId14">
        <w:r>
          <w:rPr>
            <w:color w:val="2E74B5"/>
            <w:u w:val="single"/>
          </w:rPr>
          <w:t>Onlinequelle</w:t>
        </w:r>
      </w:hyperlink>
    </w:p>
    <w:p>
      <w:pPr>
        <w:spacing w:after="140" w:line="276" w:lineRule="auto"/>
        <w:ind w:left="461" w:hanging="461"/>
      </w:pPr>
      <w:r>
        <w:rPr>
          <w:rFonts w:ascii="Calibri" w:hAnsi="Calibri" w:eastAsia="Calibri"/>
          <w:b/>
          <w:color w:val="0B2545"/>
          <w:sz w:val="19"/>
        </w:rPr>
        <w:t xml:space="preserve">[5] </w:t>
      </w:r>
      <w:r>
        <w:rPr>
          <w:rFonts w:ascii="Calibri" w:hAnsi="Calibri" w:eastAsia="Calibri"/>
          <w:sz w:val="19"/>
        </w:rPr>
        <w:t xml:space="preserve">Inselberg, A.; Dimsdale, B. (1990): Parallel Coordinates: A Tool for Visualizing Multi-Dimensional Geometry. Proceedings Visualization '90. DOI: 10.1109/VISUAL.1990.146402. </w:t>
      </w:r>
      <w:hyperlink r:id="rId15">
        <w:r>
          <w:rPr>
            <w:color w:val="2E74B5"/>
            <w:u w:val="single"/>
          </w:rPr>
          <w:t>Onlinequelle</w:t>
        </w:r>
      </w:hyperlink>
    </w:p>
    <w:p>
      <w:pPr>
        <w:spacing w:after="140" w:line="276" w:lineRule="auto"/>
        <w:ind w:left="461" w:hanging="461"/>
      </w:pPr>
      <w:r>
        <w:rPr>
          <w:rFonts w:ascii="Calibri" w:hAnsi="Calibri" w:eastAsia="Calibri"/>
          <w:b/>
          <w:color w:val="0B2545"/>
          <w:sz w:val="19"/>
        </w:rPr>
        <w:t xml:space="preserve">[6] </w:t>
      </w:r>
      <w:r>
        <w:rPr>
          <w:rFonts w:ascii="Calibri" w:hAnsi="Calibri" w:eastAsia="Calibri"/>
          <w:sz w:val="19"/>
        </w:rPr>
        <w:t xml:space="preserve">Aigner, W.; Miksch, S.; Schumann, H.; Tominski, C. (2011): Visualization of Time-Oriented Data. Springer. DOI: 10.1007/978-0-85729-079-3. </w:t>
      </w:r>
      <w:hyperlink r:id="rId16">
        <w:r>
          <w:rPr>
            <w:color w:val="2E74B5"/>
            <w:u w:val="single"/>
          </w:rPr>
          <w:t>Onlinequelle</w:t>
        </w:r>
      </w:hyperlink>
    </w:p>
    <w:p>
      <w:pPr>
        <w:spacing w:after="140" w:line="276" w:lineRule="auto"/>
        <w:ind w:left="461" w:hanging="461"/>
      </w:pPr>
      <w:r>
        <w:rPr>
          <w:rFonts w:ascii="Calibri" w:hAnsi="Calibri" w:eastAsia="Calibri"/>
          <w:b/>
          <w:color w:val="0B2545"/>
          <w:sz w:val="19"/>
        </w:rPr>
        <w:t xml:space="preserve">[7] </w:t>
      </w:r>
      <w:r>
        <w:rPr>
          <w:rFonts w:ascii="Calibri" w:hAnsi="Calibri" w:eastAsia="Calibri"/>
          <w:sz w:val="19"/>
        </w:rPr>
        <w:t xml:space="preserve">Elm: The Elm Architecture und offizielle Dokumentation. Abgerufen am 26.07.2026. </w:t>
      </w:r>
      <w:hyperlink r:id="rId17">
        <w:r>
          <w:rPr>
            <w:color w:val="2E74B5"/>
            <w:u w:val="single"/>
          </w:rPr>
          <w:t>Onlinequelle</w:t>
        </w:r>
      </w:hyperlink>
    </w:p>
    <w:p>
      <w:pPr>
        <w:pStyle w:val="Heading2"/>
      </w:pPr>
      <w:r>
        <w:t>Hinweise zur weiteren Literaturarbeit</w:t>
      </w:r>
    </w:p>
    <w:p>
      <w:r>
        <w:rPr>
          <w:rFonts w:ascii="Calibri" w:hAnsi="Calibri" w:eastAsia="Calibri"/>
          <w:i w:val="0"/>
        </w:rPr>
        <w:t>Die Literaturliste ist für den Zwischenstand bewusst knapp. Für den Abschlussbericht werden zusätzlich Quellen zu Strommarktdaten, Netzvisualisierung, Farbkodierung, Interaktionsdesign und Evaluation recherchiert. Bibliografische Metadaten sollen vorrangig über DBLP, ACM, IEEE und die Verlage geprüft werden. Jede übernommene Abbildung benötigt eine eindeutige Quellenangabe; eigene Abbildungen werden als solche gekennzeichnet.</w:t>
      </w:r>
    </w:p>
    <w:sectPr w:rsidR="00FC693F" w:rsidRPr="0006063C" w:rsidSect="00034616">
      <w:headerReference w:type="default" r:id="rId18"/>
      <w:footerReference w:type="default" r:id="rId1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b/>
        <w:color w:val="667085"/>
        <w:sz w:val="17"/>
      </w:rPr>
      <w:t>INFORMATIONSVISUALISIERUNG  ·  ZWISCHENSTAND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multilevel"/>
    <w:lvl w:ilvl="0">
      <w:start w:val="1"/>
      <w:numFmt w:val="decimal"/>
      <w:pStyle w:val="Heading1"/>
      <w:lvlText w:val="%1"/>
      <w:suff w:val="space"/>
      <w:pPr>
        <w:tabs>
          <w:tab w:val="num" w:pos="420"/>
        </w:tabs>
        <w:ind w:left="420" w:hanging="300"/>
      </w:pPr>
    </w:lvl>
    <w:lvl w:ilvl="1">
      <w:start w:val="1"/>
      <w:numFmt w:val="decimal"/>
      <w:pStyle w:val="Heading2"/>
      <w:lvlText w:val="%1.%2"/>
      <w:suff w:val="space"/>
      <w:pPr>
        <w:tabs>
          <w:tab w:val="num" w:pos="720"/>
        </w:tabs>
        <w:ind w:left="720" w:hanging="300"/>
      </w:pPr>
    </w:lvl>
    <w:lvl w:ilvl="2">
      <w:start w:val="1"/>
      <w:numFmt w:val="decimal"/>
      <w:pStyle w:val="Heading3"/>
      <w:lvlText w:val="%1.%2.%3"/>
      <w:suff w:val="space"/>
      <w:pPr>
        <w:tabs>
          <w:tab w:val="num" w:pos="1020"/>
        </w:tabs>
        <w:ind w:left="1020" w:hanging="300"/>
      </w:pPr>
    </w:lvl>
  </w:abstractNum>
  <w:num w:numId="42">
    <w:abstractNumId w:val="42"/>
  </w:num>
  <w:abstractNum w:abstractNumId="43">
    <w:multiLevelType w:val="singleLevel"/>
    <w:lvl w:ilvl="0">
      <w:start w:val="1"/>
      <w:numFmt w:val="bullet"/>
      <w:lvlText w:val="•"/>
      <w:pPr>
        <w:tabs>
          <w:tab w:val="num" w:pos="540"/>
        </w:tabs>
        <w:ind w:left="540" w:hanging="279"/>
        <w:spacing w:after="80" w:line="290" w:lineRule="auto"/>
      </w:pPr>
    </w:lvl>
  </w:abstractNum>
  <w:num w:numId="43">
    <w:abstractNumId w:val="43"/>
  </w:num>
  <w:abstractNum w:abstractNumId="44">
    <w:multiLevelType w:val="singleLevel"/>
    <w:lvl w:ilvl="0">
      <w:start w:val="1"/>
      <w:numFmt w:val="decimal"/>
      <w:lvlText w:val="%1."/>
      <w:pPr>
        <w:tabs>
          <w:tab w:val="num" w:pos="540"/>
        </w:tabs>
        <w:ind w:left="540" w:hanging="279"/>
        <w:spacing w:after="80" w:line="290" w:lineRule="auto"/>
      </w:pPr>
    </w:lvl>
  </w:abstract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line="300" w:lineRule="auto" w:after="160"/>
      <w:jc w:val="both"/>
    </w:pPr>
    <w:rPr>
      <w:rFonts w:ascii="Calibri" w:hAnsi="Calibri"/>
      <w:color w:val="0B2545"/>
      <w:sz w:val="21"/>
    </w:rPr>
  </w:style>
  <w:style w:type="paragraph" w:customStyle="1" w:styleId="CaptionCustom">
    <w:name w:val="Caption Custom"/>
    <w:pPr>
      <w:keepNext w:val="0"/>
      <w:spacing w:before="80" w:after="200"/>
      <w:jc w:val="center"/>
    </w:pPr>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api.energy-charts.info/" TargetMode="External"/><Relationship Id="rId12" Type="http://schemas.openxmlformats.org/officeDocument/2006/relationships/hyperlink" Target="https://doi.org/10.1109/TVCG.2009.111" TargetMode="External"/><Relationship Id="rId13" Type="http://schemas.openxmlformats.org/officeDocument/2006/relationships/hyperlink" Target="https://doi.org/10.1109/CMV.2007.20" TargetMode="External"/><Relationship Id="rId14" Type="http://schemas.openxmlformats.org/officeDocument/2006/relationships/hyperlink" Target="https://doi.org/10.1109/2945.841121" TargetMode="External"/><Relationship Id="rId15" Type="http://schemas.openxmlformats.org/officeDocument/2006/relationships/hyperlink" Target="https://doi.org/10.1109/VISUAL.1990.146402" TargetMode="External"/><Relationship Id="rId16" Type="http://schemas.openxmlformats.org/officeDocument/2006/relationships/hyperlink" Target="https://doi.org/10.1007/978-0-85729-079-3" TargetMode="External"/><Relationship Id="rId17" Type="http://schemas.openxmlformats.org/officeDocument/2006/relationships/hyperlink" Target="https://elm-lang.org/" TargetMode="External"/><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Deutschland im europäischen Stromnetz – Zwischenstand 1</dc:title>
  <dc:subject>Visualisierungsprojekt mit Implementierung in Elm</dc:subject>
  <dc:creator>python-docx</dc:creator>
  <cp:keywords>Informationsvisualisierung, Elm, Energy-Charts, Stromflüsse, Visual Analytics</cp:keywords>
  <dc:description>Erster Zwischenstand vom 26. Juli 2026</dc:description>
  <cp:lastModifiedBy/>
  <cp:revision>1</cp:revision>
  <dcterms:created xsi:type="dcterms:W3CDTF">2013-12-23T23:15:00Z</dcterms:created>
  <dcterms:modified xsi:type="dcterms:W3CDTF">2013-12-23T23:15:00Z</dcterms:modified>
  <cp:category/>
</cp:coreProperties>
</file>