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0B639" w14:textId="77777777" w:rsidR="0040735C" w:rsidRDefault="00000000">
      <w:pPr>
        <w:spacing w:after="40"/>
        <w:rPr>
          <w:rFonts w:hint="eastAsia"/>
        </w:rPr>
      </w:pPr>
      <w:r>
        <w:rPr>
          <w:rFonts w:eastAsia="Aptos"/>
          <w:b/>
          <w:color w:val="4B5563"/>
          <w:sz w:val="19"/>
        </w:rPr>
        <w:t>INFORMATIONSVISUALISIERUNG</w:t>
      </w:r>
    </w:p>
    <w:p w14:paraId="442B7715" w14:textId="77777777" w:rsidR="0040735C" w:rsidRDefault="00000000">
      <w:pPr>
        <w:pStyle w:val="Titel"/>
      </w:pPr>
      <w:r>
        <w:rPr>
          <w:rFonts w:ascii="Aptos Display" w:eastAsia="Aptos Display" w:hAnsi="Aptos Display"/>
        </w:rPr>
        <w:t>Stichpunkte zum Vortrag</w:t>
      </w:r>
    </w:p>
    <w:p w14:paraId="52843A51" w14:textId="77777777" w:rsidR="0040735C" w:rsidRDefault="00000000">
      <w:pPr>
        <w:pStyle w:val="Untertitel"/>
      </w:pPr>
      <w:r>
        <w:rPr>
          <w:rFonts w:ascii="Aptos" w:eastAsia="Aptos" w:hAnsi="Aptos"/>
          <w:i w:val="0"/>
        </w:rPr>
        <w:t>Deutschlands Rolle im europäischen Stromnetz</w:t>
      </w:r>
    </w:p>
    <w:p w14:paraId="35BE1F86" w14:textId="77777777" w:rsidR="0040735C" w:rsidRDefault="00000000">
      <w:pPr>
        <w:spacing w:after="160"/>
        <w:rPr>
          <w:rFonts w:hint="eastAsia"/>
        </w:rPr>
      </w:pPr>
      <w:r>
        <w:rPr>
          <w:rFonts w:eastAsia="Aptos"/>
          <w:b/>
        </w:rPr>
        <w:t>Jann Körner</w:t>
      </w:r>
    </w:p>
    <w:p w14:paraId="59CC394F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1 Einstieg und Forschungsfrage</w:t>
      </w:r>
    </w:p>
    <w:p w14:paraId="0ABF7F8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Interaktive Visual-Analytics-Anwendung vollständig in Elm</w:t>
      </w:r>
    </w:p>
    <w:p w14:paraId="6F8CA3E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Physische Stromflüsse zwischen Deutschland und elf Partnerländern</w:t>
      </w:r>
    </w:p>
    <w:p w14:paraId="0179B04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Zusätzliche Betrachtung von Erzeugungsmix und Day-Ahead-Strompreis</w:t>
      </w:r>
    </w:p>
    <w:p w14:paraId="346CBDA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Deutschland kann gleichzeitig gegenüber einem Land importieren und gegenüber einem anderen exportieren</w:t>
      </w:r>
    </w:p>
    <w:p w14:paraId="4AB4A767" w14:textId="157DD7CB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Physischer Fluss und kommerzieller Handel </w:t>
      </w:r>
      <w:proofErr w:type="spellStart"/>
      <w:r>
        <w:rPr>
          <w:rFonts w:eastAsia="Aptos"/>
        </w:rPr>
        <w:t>können</w:t>
      </w:r>
      <w:proofErr w:type="spellEnd"/>
      <w:r>
        <w:rPr>
          <w:rFonts w:eastAsia="Aptos"/>
        </w:rPr>
        <w:t xml:space="preserve"> </w:t>
      </w:r>
      <w:proofErr w:type="spellStart"/>
      <w:r>
        <w:rPr>
          <w:rFonts w:eastAsia="Aptos"/>
        </w:rPr>
        <w:t>unterschiedliche</w:t>
      </w:r>
      <w:proofErr w:type="spellEnd"/>
      <w:r>
        <w:rPr>
          <w:rFonts w:eastAsia="Aptos"/>
        </w:rPr>
        <w:t xml:space="preserve"> </w:t>
      </w:r>
      <w:proofErr w:type="spellStart"/>
      <w:r>
        <w:rPr>
          <w:rFonts w:eastAsia="Aptos"/>
        </w:rPr>
        <w:t>Richtungen</w:t>
      </w:r>
      <w:proofErr w:type="spellEnd"/>
      <w:r>
        <w:rPr>
          <w:rFonts w:eastAsia="Aptos"/>
        </w:rPr>
        <w:t xml:space="preserve"> </w:t>
      </w:r>
      <w:proofErr w:type="spellStart"/>
      <w:r>
        <w:rPr>
          <w:rFonts w:eastAsia="Aptos"/>
        </w:rPr>
        <w:t>haben</w:t>
      </w:r>
      <w:proofErr w:type="spellEnd"/>
      <w:r w:rsidR="00FC6E97">
        <w:rPr>
          <w:rFonts w:eastAsia="Aptos"/>
        </w:rPr>
        <w:t xml:space="preserve"> (Tooltip)</w:t>
      </w:r>
    </w:p>
    <w:p w14:paraId="0F8709C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Forschungsfrage: </w:t>
      </w:r>
      <w:r>
        <w:rPr>
          <w:rFonts w:eastAsia="Aptos"/>
        </w:rPr>
        <w:t>Wann ist Deutschland Stromimporteur oder Stromexporteur, mit welchen Ländern findet der physische Austausch statt und wie hängen die Flüsse mit Erzeugungsmix und Preisen zusammen?</w:t>
      </w:r>
    </w:p>
    <w:p w14:paraId="4A8FC48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Ziel: </w:t>
      </w:r>
      <w:r>
        <w:rPr>
          <w:rFonts w:eastAsia="Aptos"/>
        </w:rPr>
        <w:t>Auffällige Stunden und Zeiträume finden; absolute Werte anschließend gezielt prüfen</w:t>
      </w:r>
    </w:p>
    <w:p w14:paraId="08726A33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Abgrenzung: </w:t>
      </w:r>
      <w:r>
        <w:rPr>
          <w:rFonts w:eastAsia="Aptos"/>
        </w:rPr>
        <w:t>Explorative Analyse; kein automatisches Erklärungs- oder Kausalmodell</w:t>
      </w:r>
    </w:p>
    <w:p w14:paraId="2860D822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2 Daten und Einheiten</w:t>
      </w:r>
    </w:p>
    <w:p w14:paraId="26504D45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Quelle: </w:t>
      </w:r>
      <w:r>
        <w:rPr>
          <w:rFonts w:eastAsia="Aptos"/>
        </w:rPr>
        <w:t>Energy-Charts-Daten aus PostgreSQL-Views im Schema energycharts</w:t>
      </w:r>
    </w:p>
    <w:p w14:paraId="71B11D6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CBPF: </w:t>
      </w:r>
      <w:r>
        <w:rPr>
          <w:rFonts w:eastAsia="Aptos"/>
        </w:rPr>
        <w:t>v_cbpf ist eine View, also eine gespeicherte Datenbankabfrage. Verwendete Spalten: unix_seconds, country_name und cross_boarder_physical_flow_in_gw; Filter country_id = de.</w:t>
      </w:r>
    </w:p>
    <w:p w14:paraId="32C1708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CBET: </w:t>
      </w:r>
      <w:r>
        <w:rPr>
          <w:rFonts w:eastAsia="Aptos"/>
        </w:rPr>
        <w:t>v_cbet ist die View für den grenzüberschreitenden Stromhandel. Verwendete Spalten: unix_seconds, country_name und cross_boarder_electricity_trading_in_gw; Filter country_id = de.</w:t>
      </w:r>
    </w:p>
    <w:p w14:paraId="4207A85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Erzeugung: </w:t>
      </w:r>
      <w:r>
        <w:rPr>
          <w:rFonts w:eastAsia="Aptos"/>
        </w:rPr>
        <w:t>v_totalpower liefert Erzeugungsleistung nach Technologie. Verwendet werden unix_seconds und die Technologiespalten für Wind, Solar, Biomasse, Wasser, Geothermie, Kohle, Gas, Öl, Speicher, Kernenergie, Abfall und Sonstige; Filter country_id = de.</w:t>
      </w:r>
    </w:p>
    <w:p w14:paraId="3AD2DB2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Preis: </w:t>
      </w:r>
      <w:r>
        <w:rPr>
          <w:rFonts w:eastAsia="Aptos"/>
        </w:rPr>
        <w:t>v_price liefert unix_seconds und price für market_id = DE-LU. Das ist der Day-Ahead-Auktionspreis der gemeinsamen Gebotszone Deutschland–Luxemburg in EUR/MWh, nicht der Haushaltsstrompreis.</w:t>
      </w:r>
    </w:p>
    <w:p w14:paraId="462DC85F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Vollständiger Mai 2025: 31 Tage × 24 Stunden = 744 aufeinanderfolgende Stunden; für jede Stunde sind dieselben elf Partnerländer vorhanden.</w:t>
      </w:r>
    </w:p>
    <w:p w14:paraId="656CCB9C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UTC ist die einheitliche Zeitbasis im Datensatz. Deutschland liegt im Mai in der mitteleuropäischen Sommerzeit zwei Stunden vor UTC: 11.05.2025, 11 Uhr UTC entspricht 13 Uhr deutscher Zeit.</w:t>
      </w:r>
    </w:p>
    <w:p w14:paraId="19CC1D7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Pixelmatrix: 744 × 11 = 8.184 physische Flusswerte</w:t>
      </w:r>
    </w:p>
    <w:p w14:paraId="4693AA2F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GW = Gigawatt, Einheit der Leistung</w:t>
      </w:r>
    </w:p>
    <w:p w14:paraId="29F4B74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EUR/MWh = Euro pro Megawattstunde, Preis einer Energiemenge</w:t>
      </w:r>
    </w:p>
    <w:p w14:paraId="2C26D47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Positive Flusswerte = Import nach Deutschland; negative Werte = Export aus Deutschland</w:t>
      </w:r>
    </w:p>
    <w:p w14:paraId="68B288C3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v_totalpower: MW durch 1.000 geteilt und als GW dargestellt</w:t>
      </w:r>
    </w:p>
    <w:p w14:paraId="24359A6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Viertelstundenwerte innerhalb derselben Stunde werden arithmetisch gemittelt. Die Werte beschreiben Leistung oder Preisniveau; eine Summe würde die Größenordnung künstlich vervierfachen. Summieren wäre erst nach einer Umrechnung in Energiemengen sinnvoll.</w:t>
      </w:r>
    </w:p>
    <w:p w14:paraId="3770202E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Erzeugungsgruppen: Erneuerbare, Kohle, Gas und Sonstige</w:t>
      </w:r>
    </w:p>
    <w:p w14:paraId="638F4D3D" w14:textId="77777777" w:rsidR="0040735C" w:rsidRDefault="00000000">
      <w:pPr>
        <w:pStyle w:val="berschrift1"/>
        <w:pageBreakBefore/>
      </w:pPr>
      <w:r>
        <w:rPr>
          <w:rFonts w:ascii="Aptos Display" w:eastAsia="Aptos Display" w:hAnsi="Aptos Display"/>
        </w:rPr>
        <w:lastRenderedPageBreak/>
        <w:t>3 Datenweg und sichere Bereitstellung</w:t>
      </w:r>
    </w:p>
    <w:p w14:paraId="0B9316C6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PostgREST → lokales Python-Exportskript → public/data/energy.json → Elm-Anwendung</w:t>
      </w:r>
    </w:p>
    <w:p w14:paraId="24DD55D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PostgREST: </w:t>
      </w:r>
      <w:r>
        <w:rPr>
          <w:rFonts w:eastAsia="Aptos"/>
        </w:rPr>
        <w:t>PostgREST ist die HTTP-Schnittstelle vor PostgreSQL. URL-Parameter wie select, Filter, limit und offset werden in kontrollierte Datenbankabfragen auf Views übersetzt; die Antwort kommt als JSON.</w:t>
      </w:r>
    </w:p>
    <w:p w14:paraId="5A32DD8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Exportskript: </w:t>
      </w:r>
      <w:r>
        <w:rPr>
          <w:rFonts w:eastAsia="Aptos"/>
        </w:rPr>
        <w:t>scripts/build_postgrest_fixture.py authentifiziert sich, fragt v_cbpf, v_cbet, v_price und v_totalpower ab, normalisiert Zeitstempel und Ländernamen, bildet Stundenmittel, gruppiert Erzeugungsarten, rechnet MW in GW um und schreibt public/data/energy.json.</w:t>
      </w:r>
    </w:p>
    <w:p w14:paraId="6C68E492" w14:textId="77777777" w:rsidR="0040735C" w:rsidRDefault="00000000">
      <w:pPr>
        <w:keepNext/>
        <w:spacing w:before="60" w:after="20"/>
        <w:rPr>
          <w:rFonts w:hint="eastAsia"/>
        </w:rPr>
      </w:pPr>
      <w:r>
        <w:rPr>
          <w:rFonts w:eastAsia="Aptos"/>
          <w:b/>
          <w:color w:val="374151"/>
          <w:sz w:val="19"/>
        </w:rPr>
        <w:t>Auszug aus scripts/build_postgrest_fixture.py</w:t>
      </w:r>
    </w:p>
    <w:p w14:paraId="0F15AA28" w14:textId="77777777" w:rsidR="0040735C" w:rsidRDefault="00000000">
      <w:pPr>
        <w:keepLines/>
        <w:shd w:val="clear" w:color="auto" w:fill="EEF2F7"/>
        <w:spacing w:before="20" w:after="80"/>
        <w:ind w:left="227" w:right="227"/>
        <w:rPr>
          <w:rFonts w:hint="eastAsia"/>
        </w:rPr>
      </w:pPr>
      <w:r>
        <w:rPr>
          <w:rFonts w:ascii="Consolas" w:eastAsia="Consolas" w:hAnsi="Consolas"/>
          <w:color w:val="172033"/>
          <w:sz w:val="17"/>
        </w:rPr>
        <w:t>page_params = params + [("limit", "1000"), ("offset", str(offset))]</w:t>
      </w:r>
      <w:r>
        <w:rPr>
          <w:rFonts w:ascii="Consolas" w:eastAsia="Consolas" w:hAnsi="Consolas"/>
          <w:color w:val="172033"/>
          <w:sz w:val="17"/>
        </w:rPr>
        <w:br/>
        <w:t>buckets[hour].append(value)</w:t>
      </w:r>
      <w:r>
        <w:rPr>
          <w:rFonts w:ascii="Consolas" w:eastAsia="Consolas" w:hAnsi="Consolas"/>
          <w:color w:val="172033"/>
          <w:sz w:val="17"/>
        </w:rPr>
        <w:br/>
        <w:t>hour_value = statistics.fmean(values)</w:t>
      </w:r>
    </w:p>
    <w:p w14:paraId="4D2D706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Pagination: </w:t>
      </w:r>
      <w:r>
        <w:rPr>
          <w:rFonts w:eastAsia="Aptos"/>
        </w:rPr>
        <w:t>limit = 1000 begrenzt jede Serverantwort auf höchstens 1.000 Zeilen. offset = 0, 1000, 2000, ... fordert nacheinander die folgenden Seiten an. So werden große Views vollständig, aber ohne übergroße Einzelantwort geladen.</w:t>
      </w:r>
    </w:p>
    <w:p w14:paraId="633E489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Passwort und Bearer-Token nur beim lokalen Export; nicht im veröffentlichten JavaScript</w:t>
      </w:r>
    </w:p>
    <w:p w14:paraId="677441B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Elm lädt ausschließlich die vorbereitete JSON-Datei über Http.get</w:t>
      </w:r>
    </w:p>
    <w:p w14:paraId="720905E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Python erzeugt keine Diagramme; alle sichtbaren Visualisierungen werden in Elm als SVG berechnet</w:t>
      </w:r>
    </w:p>
    <w:p w14:paraId="5F34709E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Validierung: </w:t>
      </w:r>
      <w:r>
        <w:rPr>
          <w:rFonts w:eastAsia="Aptos"/>
        </w:rPr>
        <w:t>scripts/validate_dataset.py prüft: genau 744 Samples, jeweils 3.600 Sekunden Abstand, dieselben elf Länder in derselben Reihenfolge, nur endliche Zahlen, nichtnegative Erzeugung, Gesamterzeugung unter 200 GW und physische Flüsse mit Betrag unter 20 GW.</w:t>
      </w:r>
    </w:p>
    <w:p w14:paraId="79D1476B" w14:textId="77777777" w:rsidR="0040735C" w:rsidRDefault="00000000">
      <w:pPr>
        <w:keepNext/>
        <w:spacing w:before="60" w:after="20"/>
        <w:rPr>
          <w:rFonts w:hint="eastAsia"/>
        </w:rPr>
      </w:pPr>
      <w:r>
        <w:rPr>
          <w:rFonts w:eastAsia="Aptos"/>
          <w:b/>
          <w:color w:val="374151"/>
          <w:sz w:val="19"/>
        </w:rPr>
        <w:t>Auszug aus scripts/validate_dataset.py</w:t>
      </w:r>
    </w:p>
    <w:p w14:paraId="6CADD4E5" w14:textId="77777777" w:rsidR="0040735C" w:rsidRDefault="00000000">
      <w:pPr>
        <w:keepLines/>
        <w:shd w:val="clear" w:color="auto" w:fill="EEF2F7"/>
        <w:spacing w:before="20" w:after="80"/>
        <w:ind w:left="227" w:right="227"/>
        <w:rPr>
          <w:rFonts w:hint="eastAsia"/>
        </w:rPr>
      </w:pPr>
      <w:r>
        <w:rPr>
          <w:rFonts w:ascii="Consolas" w:eastAsia="Consolas" w:hAnsi="Consolas"/>
          <w:color w:val="172033"/>
          <w:sz w:val="17"/>
        </w:rPr>
        <w:t>len(samples) == 744</w:t>
      </w:r>
      <w:r>
        <w:rPr>
          <w:rFonts w:ascii="Consolas" w:eastAsia="Consolas" w:hAnsi="Consolas"/>
          <w:color w:val="172033"/>
          <w:sz w:val="17"/>
        </w:rPr>
        <w:br/>
        <w:t>right_timestamp - left_timestamp == 3600</w:t>
      </w:r>
      <w:r>
        <w:rPr>
          <w:rFonts w:ascii="Consolas" w:eastAsia="Consolas" w:hAnsi="Consolas"/>
          <w:color w:val="172033"/>
          <w:sz w:val="17"/>
        </w:rPr>
        <w:br/>
        <w:t>current_partners == partners</w:t>
      </w:r>
      <w:r>
        <w:rPr>
          <w:rFonts w:ascii="Consolas" w:eastAsia="Consolas" w:hAnsi="Consolas"/>
          <w:color w:val="172033"/>
          <w:sz w:val="17"/>
        </w:rPr>
        <w:br/>
        <w:t>math.isfinite(value)</w:t>
      </w:r>
      <w:r>
        <w:rPr>
          <w:rFonts w:ascii="Consolas" w:eastAsia="Consolas" w:hAnsi="Consolas"/>
          <w:color w:val="172033"/>
          <w:sz w:val="17"/>
        </w:rPr>
        <w:br/>
        <w:t>generation_total &lt; 200</w:t>
      </w:r>
      <w:r>
        <w:rPr>
          <w:rFonts w:ascii="Consolas" w:eastAsia="Consolas" w:hAnsi="Consolas"/>
          <w:color w:val="172033"/>
          <w:sz w:val="17"/>
        </w:rPr>
        <w:br/>
        <w:t>abs(flow_value) &lt; 20</w:t>
      </w:r>
    </w:p>
    <w:p w14:paraId="63CD4D4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Diese Regeln finden Lücken, wechselnde Länderlisten, NaN/Unendlich und grob unplausible Größenordnungen. Sie beweisen nicht, dass jeder Messwert fachlich korrekt ist.</w:t>
      </w:r>
    </w:p>
    <w:p w14:paraId="561B636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Produktionsbuild: </w:t>
      </w:r>
      <w:r>
        <w:rPr>
          <w:rFonts w:eastAsia="Aptos"/>
        </w:rPr>
        <w:t>Die Datei .gitlab-ci.yml führt elm make src/Main.elm --optimize --output=public/elm.js aus. --optimize entfernt Entwicklungsprüfungen und erzeugt kleineres JavaScript für den Browser.</w:t>
      </w:r>
    </w:p>
    <w:p w14:paraId="73C15DD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Veröffentlichung: </w:t>
      </w:r>
      <w:r>
        <w:rPr>
          <w:rFonts w:eastAsia="Aptos"/>
        </w:rPr>
        <w:t>Nach einem erfolgreichen CI-Build veröffentlicht GitLab Pages den Ordner public mit index.html, elm.js und energy.json. Dadurch ist die statische Anwendung erreichbar, ohne dass der Browser Datenbankzugangsdaten benötigt.</w:t>
      </w:r>
    </w:p>
    <w:p w14:paraId="5C3A6290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4 Analyseaufgaben und Visualisierungsauswahl</w:t>
      </w:r>
    </w:p>
    <w:p w14:paraId="46E41D95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A1: </w:t>
      </w:r>
      <w:r>
        <w:rPr>
          <w:rFonts w:eastAsia="Aptos"/>
        </w:rPr>
        <w:t>Richtung und Größenordnung der Länderflüsse für eine ausgewählte Stunde</w:t>
      </w:r>
    </w:p>
    <w:p w14:paraId="384FACD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A2: </w:t>
      </w:r>
      <w:r>
        <w:rPr>
          <w:rFonts w:eastAsia="Aptos"/>
        </w:rPr>
        <w:t>Zeitliche Muster in Erzeugungsmix, Preis und ausgewähltem Länderfluss</w:t>
      </w:r>
    </w:p>
    <w:p w14:paraId="63A70B3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A3: </w:t>
      </w:r>
      <w:r>
        <w:rPr>
          <w:rFonts w:eastAsia="Aptos"/>
        </w:rPr>
        <w:t>Auffällige Perioden und Richtungswechsel in vielen Länder-Stunden-Kombinationen</w:t>
      </w:r>
    </w:p>
    <w:p w14:paraId="1A66765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Netzwerkgraph für Beziehungen, Zeitreihe für Entwicklung, Pixelmatrix für den Überblick</w:t>
      </w:r>
    </w:p>
    <w:p w14:paraId="67D7431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Alle Ansichten teilen denselben Auswahlzustand und sind interaktiv gekoppelt</w:t>
      </w:r>
    </w:p>
    <w:p w14:paraId="4834E45A" w14:textId="77777777" w:rsidR="0040735C" w:rsidRDefault="00000000">
      <w:pPr>
        <w:pStyle w:val="berschrift1"/>
        <w:pageBreakBefore/>
      </w:pPr>
      <w:r>
        <w:rPr>
          <w:rFonts w:ascii="Aptos Display" w:eastAsia="Aptos Display" w:hAnsi="Aptos Display"/>
        </w:rPr>
        <w:lastRenderedPageBreak/>
        <w:t>5 Gerichteter Netzwerkgraph</w:t>
      </w:r>
    </w:p>
    <w:p w14:paraId="3029303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Deutschland als zentraler Knoten; elf Partnerländer radial angeordnet</w:t>
      </w:r>
    </w:p>
    <w:p w14:paraId="372C119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Rot und Pfeil nach Deutschland = Import</w:t>
      </w:r>
    </w:p>
    <w:p w14:paraId="30AC8722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Blau und Pfeil nach außen = Export</w:t>
      </w:r>
    </w:p>
    <w:p w14:paraId="65C8E7AF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Linienbreite = absoluter Betrag des physischen Flusses</w:t>
      </w:r>
    </w:p>
    <w:p w14:paraId="676D1796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Tooltip = exakter CBPF-Wert und zusätzlicher CBET-Handelswert</w:t>
      </w:r>
    </w:p>
    <w:p w14:paraId="5F2ECEB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flow.value: </w:t>
      </w:r>
      <w:r>
        <w:rPr>
          <w:rFonts w:eastAsia="Aptos"/>
        </w:rPr>
        <w:t>flow.value ist der physische CBPF-Fluss in GW. Sein Vorzeichen codiert die Richtung: positiv = Import nach Deutschland, negativ = Export aus Deutschland.</w:t>
      </w:r>
    </w:p>
    <w:p w14:paraId="21BD8B5E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flow.trade: </w:t>
      </w:r>
      <w:r>
        <w:rPr>
          <w:rFonts w:eastAsia="Aptos"/>
        </w:rPr>
        <w:t>flow.trade ist der kommerzielle CBET-Handelswert desselben Länderpaars und Zeitpunkts in GW. Er kann vom physischen Fluss abweichen oder sogar die entgegengesetzte Richtung besitzen.</w:t>
      </w:r>
    </w:p>
    <w:p w14:paraId="7F9847CC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abs: </w:t>
      </w:r>
      <w:r>
        <w:rPr>
          <w:rFonts w:eastAsia="Aptos"/>
        </w:rPr>
        <w:t>abs flow.value entfernt nur das Vorzeichen. Aus −1,71 GW wird der Betrag 1,71 GW; genau dieser Betrag steuert die Linienstärke.</w:t>
      </w:r>
    </w:p>
    <w:p w14:paraId="1007553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Klick auf Kante oder Land setzt selectedPartner; übrige Verbindungen werden abgeblendet</w:t>
      </w:r>
    </w:p>
    <w:p w14:paraId="045D25C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Radialer Graph statt Karte: tatsächliche Entfernung ist keine Datendimension; Beziehungen stehen im Mittelpunkt</w:t>
      </w:r>
    </w:p>
    <w:p w14:paraId="047F145F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Codeprinzip: </w:t>
      </w:r>
      <w:r>
        <w:rPr>
          <w:rFonts w:eastAsia="Aptos"/>
        </w:rPr>
        <w:t>Vorzeichen bestimmt Richtung und Farbe; abs flow.value bestimmt die Breite</w:t>
      </w:r>
    </w:p>
    <w:p w14:paraId="1A3D2228" w14:textId="77777777" w:rsidR="0040735C" w:rsidRDefault="00000000">
      <w:pPr>
        <w:keepNext/>
        <w:spacing w:before="60" w:after="20"/>
        <w:rPr>
          <w:rFonts w:hint="eastAsia"/>
        </w:rPr>
      </w:pPr>
      <w:r>
        <w:rPr>
          <w:rFonts w:eastAsia="Aptos"/>
          <w:b/>
          <w:color w:val="374151"/>
          <w:sz w:val="19"/>
        </w:rPr>
        <w:t>Auszug aus src/View/FlowNetwork.elm</w:t>
      </w:r>
    </w:p>
    <w:p w14:paraId="3654215D" w14:textId="77777777" w:rsidR="0040735C" w:rsidRDefault="00000000">
      <w:pPr>
        <w:keepLines/>
        <w:shd w:val="clear" w:color="auto" w:fill="EEF2F7"/>
        <w:spacing w:before="20" w:after="80"/>
        <w:ind w:left="227" w:right="227"/>
        <w:rPr>
          <w:rFonts w:hint="eastAsia"/>
        </w:rPr>
      </w:pPr>
      <w:r>
        <w:rPr>
          <w:rFonts w:ascii="Consolas" w:eastAsia="Consolas" w:hAnsi="Consolas"/>
          <w:color w:val="172033"/>
          <w:sz w:val="17"/>
        </w:rPr>
        <w:t>isImport = flow.value &gt;= 0</w:t>
      </w:r>
      <w:r>
        <w:rPr>
          <w:rFonts w:ascii="Consolas" w:eastAsia="Consolas" w:hAnsi="Consolas"/>
          <w:color w:val="172033"/>
          <w:sz w:val="17"/>
        </w:rPr>
        <w:br/>
        <w:t>color = if isImport then red else blue</w:t>
      </w:r>
      <w:r>
        <w:rPr>
          <w:rFonts w:ascii="Consolas" w:eastAsia="Consolas" w:hAnsi="Consolas"/>
          <w:color w:val="172033"/>
          <w:sz w:val="17"/>
        </w:rPr>
        <w:br/>
        <w:t>strokeWidth = 1.5 + min 20 (abs flow.value * 3.2)</w:t>
      </w:r>
      <w:r>
        <w:rPr>
          <w:rFonts w:ascii="Consolas" w:eastAsia="Consolas" w:hAnsi="Consolas"/>
          <w:color w:val="172033"/>
          <w:sz w:val="17"/>
        </w:rPr>
        <w:br/>
      </w:r>
      <w:r>
        <w:rPr>
          <w:rFonts w:ascii="Consolas" w:eastAsia="Consolas" w:hAnsi="Consolas"/>
          <w:color w:val="172033"/>
          <w:sz w:val="17"/>
        </w:rPr>
        <w:br/>
        <w:t>-- Tooltip:</w:t>
      </w:r>
      <w:r>
        <w:rPr>
          <w:rFonts w:ascii="Consolas" w:eastAsia="Consolas" w:hAnsi="Consolas"/>
          <w:color w:val="172033"/>
          <w:sz w:val="17"/>
        </w:rPr>
        <w:br/>
        <w:t>flow.value  -- physischer CBPF-Fluss</w:t>
      </w:r>
      <w:r>
        <w:rPr>
          <w:rFonts w:ascii="Consolas" w:eastAsia="Consolas" w:hAnsi="Consolas"/>
          <w:color w:val="172033"/>
          <w:sz w:val="17"/>
        </w:rPr>
        <w:br/>
        <w:t>flow.trade  -- kommerzieller CBET-Handel</w:t>
      </w:r>
    </w:p>
    <w:p w14:paraId="5490B58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strokeWidth: </w:t>
      </w:r>
      <w:r>
        <w:rPr>
          <w:rFonts w:eastAsia="Aptos"/>
        </w:rPr>
        <w:t>1,5 ist die Mindestbreite einer sichtbaren Kante. Multiplikation mit 3,2 verstärkt Unterschiede; min 20 begrenzt die zusätzliche Breite, damit einzelne große Flüsse die Grafik nicht dominieren.</w:t>
      </w:r>
    </w:p>
    <w:p w14:paraId="4E915748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6 Zeitreihe mit Erzeugungsmix und Flussdetail</w:t>
      </w:r>
    </w:p>
    <w:p w14:paraId="38CE516E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Gestapelte Flächen zeigen absolute Erzeugungsleistung in GW</w:t>
      </w:r>
    </w:p>
    <w:p w14:paraId="5E16AE7E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Grün = Erneuerbare; Dunkelgrau = Kohle; Orange = Gas; Hellgrau = Sonstige</w:t>
      </w:r>
    </w:p>
    <w:p w14:paraId="27310732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Gesamthöhe der Flächen = gesamte dargestellte Erzeugungsleistung</w:t>
      </w:r>
    </w:p>
    <w:p w14:paraId="1EEDC07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Detailfelder zeigen absolute Werte und prozentuale Anteile der ausgewählten Stunde</w:t>
      </w:r>
    </w:p>
    <w:p w14:paraId="21FD4AA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Ausgewählter Länderfluss in separatem Diagramm mit symmetrischer GW-Skala</w:t>
      </w:r>
    </w:p>
    <w:p w14:paraId="0D25D61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Positive Linie = Import; negative Linie = Export</w:t>
      </w:r>
    </w:p>
    <w:p w14:paraId="7F92052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Strompreis nur als Detailwert in EUR/MWh; keine Vermischung mit der GW-Achse</w:t>
      </w:r>
    </w:p>
    <w:p w14:paraId="1FDC346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Gestrichelte Vertikale verbindet Erzeugung und Fluss derselben Stunde</w:t>
      </w:r>
    </w:p>
    <w:p w14:paraId="5DD35D36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SVG-Flächen entstehen aus berechneten Ober- und Untergrenzen; keine Diagrammbibliothek</w:t>
      </w:r>
    </w:p>
    <w:p w14:paraId="10ABBBE2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7 Pixelmatrix</w:t>
      </w:r>
    </w:p>
    <w:p w14:paraId="275389B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Zeilen = Partnerländer; Spalten = Stunden</w:t>
      </w:r>
    </w:p>
    <w:p w14:paraId="4AD72FA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Blau = Export; Rot = Import; Hellgrau = Wert nahe null</w:t>
      </w:r>
    </w:p>
    <w:p w14:paraId="3C4C3BB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Eine globale Farbgrenze aus allen 8.184 Monatswerten</w:t>
      </w:r>
    </w:p>
    <w:p w14:paraId="539C973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Farben bleiben zwischen Ländern und Zeitfenstern vergleichbar</w:t>
      </w:r>
    </w:p>
    <w:p w14:paraId="3962768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Klick auf eine Zelle setzt Partnerland und Stunde gleichzeitig</w:t>
      </w:r>
    </w:p>
    <w:p w14:paraId="116A909C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Goldenes Fadenkreuz markiert ausgewählte Zeile und Spalte; dunkle Kontur markiert die aktive Zelle</w:t>
      </w:r>
    </w:p>
    <w:p w14:paraId="403A698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Matrix dient zur Mustersuche; exakte Werte erscheinen in Tooltip und Detailansichten</w:t>
      </w:r>
    </w:p>
    <w:p w14:paraId="1BEFCE2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lastRenderedPageBreak/>
        <w:t xml:space="preserve">•  </w:t>
      </w:r>
      <w:r>
        <w:rPr>
          <w:rFonts w:eastAsia="Aptos"/>
          <w:b/>
        </w:rPr>
        <w:t xml:space="preserve">Codeprinzip: </w:t>
      </w:r>
      <w:r>
        <w:rPr>
          <w:rFonts w:eastAsia="Aptos"/>
        </w:rPr>
        <w:t>ratio = min 1 (abs value / maxAbs): Normierung des Betrags auf den Bereich 0 bis 1</w:t>
      </w:r>
    </w:p>
    <w:p w14:paraId="59C504D6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8 Kopplung und Live-Demonstration</w:t>
      </w:r>
    </w:p>
    <w:p w14:paraId="76576EF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Gemeinsame Zustandsfelder: selectedPartner, selectedIndex, windowStart und windowSize</w:t>
      </w:r>
    </w:p>
    <w:p w14:paraId="1347EE4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Netzwerkklick ändert das Land; Zeitreihenklick ändert die Stunde; Matrixklick ändert beides</w:t>
      </w:r>
    </w:p>
    <w:p w14:paraId="498D6586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Nach jeder Änderung rendert Elm alle drei Ansichten aus demselben neuen Zustand</w:t>
      </w:r>
    </w:p>
    <w:p w14:paraId="507C9AF3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48 Stunden, sieben Tage oder gesamter Monat als fest definierte Zeitfenster</w:t>
      </w:r>
    </w:p>
    <w:p w14:paraId="57512AE0" w14:textId="77777777" w:rsidR="0040735C" w:rsidRDefault="00000000">
      <w:pPr>
        <w:pStyle w:val="berschrift2"/>
      </w:pPr>
      <w:r>
        <w:rPr>
          <w:rFonts w:ascii="Aptos" w:eastAsia="Aptos" w:hAnsi="Aptos"/>
        </w:rPr>
        <w:t>Beispiel 1 Netzwerk</w:t>
      </w:r>
    </w:p>
    <w:p w14:paraId="5FE6C1F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1. Mai 2025, 00 Uhr auswählen</w:t>
      </w:r>
    </w:p>
    <w:p w14:paraId="32AC24D5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Frankreich anklicken</w:t>
      </w:r>
    </w:p>
    <w:p w14:paraId="110DBBC6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Abblendung der übrigen Kanten und violette Frankreich-Linie in der Zeitreihe beobachten</w:t>
      </w:r>
    </w:p>
    <w:p w14:paraId="56E95DD7" w14:textId="77777777" w:rsidR="0040735C" w:rsidRDefault="00000000">
      <w:pPr>
        <w:pStyle w:val="berschrift2"/>
      </w:pPr>
      <w:r>
        <w:rPr>
          <w:rFonts w:ascii="Aptos" w:eastAsia="Aptos" w:hAnsi="Aptos"/>
        </w:rPr>
        <w:t>Beispiel 2 Zeitreihe</w:t>
      </w:r>
    </w:p>
    <w:p w14:paraId="51C1E2D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Sieben-Tage-Fenster 8. bis 14. Mai aufrufen</w:t>
      </w:r>
    </w:p>
    <w:p w14:paraId="16271A02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Frankreich und anschließend 11. Mai, 11 Uhr auswählen</w:t>
      </w:r>
    </w:p>
    <w:p w14:paraId="751D8D66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Zeitmarke, Detailwerte, Preis und Länderfluss vergleichen</w:t>
      </w:r>
    </w:p>
    <w:p w14:paraId="09C6779F" w14:textId="77777777" w:rsidR="0040735C" w:rsidRDefault="00000000">
      <w:pPr>
        <w:pStyle w:val="berschrift2"/>
      </w:pPr>
      <w:r>
        <w:rPr>
          <w:rFonts w:ascii="Aptos" w:eastAsia="Aptos" w:hAnsi="Aptos"/>
        </w:rPr>
        <w:t>Beispiel 3 Pixelmatrix</w:t>
      </w:r>
    </w:p>
    <w:p w14:paraId="1DE7C21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48-Stunden-Fenster 3. bis 4. Mai aufrufen</w:t>
      </w:r>
    </w:p>
    <w:p w14:paraId="5F0DB01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Dänemark am 3. Mai, 12 Uhr auswählen</w:t>
      </w:r>
    </w:p>
    <w:p w14:paraId="2B2943F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Gemeinsame Änderung von Partnerland, Stunde, Netzwerk und Zeitreihe beobachten</w:t>
      </w:r>
    </w:p>
    <w:p w14:paraId="69220E62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Auswahl zurücksetzen, falls vor dem nächsten Beispiel noch ein alter Zustand aktiv ist</w:t>
      </w:r>
    </w:p>
    <w:p w14:paraId="5A8EBEC2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9 Elm-Architektur und Module</w:t>
      </w:r>
    </w:p>
    <w:p w14:paraId="31390DA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Domain.elm: </w:t>
      </w:r>
      <w:r>
        <w:rPr>
          <w:rFonts w:eastAsia="Aptos"/>
        </w:rPr>
        <w:t>Domain.elm definiert die fachlichen Datentypen: Dataset für den gesamten Monat, Sample für eine Stunde, Generation für die vier Erzeugungsgruppen und Flow für physischen Fluss und Handel. flowFor sucht den Fluss eines Landes in einem Sample.</w:t>
      </w:r>
    </w:p>
    <w:p w14:paraId="74CE0FE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Api.elm: </w:t>
      </w:r>
      <w:r>
        <w:rPr>
          <w:rFonts w:eastAsia="Aptos"/>
        </w:rPr>
        <w:t>Api.elm lädt data/energy.json mit Http.get. JSON-Decoder prüfen beim Einlesen die erwartete Struktur und wandeln JSON-Objekte in die Typen aus Domain.elm um.</w:t>
      </w:r>
    </w:p>
    <w:p w14:paraId="2044959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Main.elm: </w:t>
      </w:r>
      <w:r>
        <w:rPr>
          <w:rFonts w:eastAsia="Aptos"/>
        </w:rPr>
        <w:t>Main.elm besitzt den einzigen Anwendungszustand. Model unterscheidet Laden, Fehler und Ready State; Msg beschreibt Ereignisse; update berechnet den neuen Zustand; view baut die Seite und übergibt Teilinformationen an die View-Module.</w:t>
      </w:r>
    </w:p>
    <w:p w14:paraId="022A995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FlowNetwork.elm: </w:t>
      </w:r>
      <w:r>
        <w:rPr>
          <w:rFonts w:eastAsia="Aptos"/>
        </w:rPr>
        <w:t>View.FlowNetwork.elm berechnet den gerichteten radialen Netzwerkgraphen aus einem Sample und meldet Länderklicks an Main.elm zurück.</w:t>
      </w:r>
    </w:p>
    <w:p w14:paraId="37498B4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TimeSeries.elm: </w:t>
      </w:r>
      <w:r>
        <w:rPr>
          <w:rFonts w:eastAsia="Aptos"/>
        </w:rPr>
        <w:t>View.TimeSeries.elm berechnet gestapelte Flächen, die separate Flusslinie, Zeitmarke und Detailwerte für das sichtbare Fenster.</w:t>
      </w:r>
    </w:p>
    <w:p w14:paraId="1B6FFEA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FlowMatrix.elm: </w:t>
      </w:r>
      <w:r>
        <w:rPr>
          <w:rFonts w:eastAsia="Aptos"/>
        </w:rPr>
        <w:t>View.FlowMatrix.elm berechnet aus allen Flüssen eine globale Farbskala, zeichnet die Zellen und meldet Land plus Stundenindex bei einem Zellklick.</w:t>
      </w:r>
    </w:p>
    <w:p w14:paraId="328831F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The Elm Architecture läuft zyklisch: view zeigt den aktuellen Model-Zustand; ein Klick erzeugt eine Msg; update verarbeitet die Msg und liefert ein neues Model; view rendert danach alle Ansichten erneut.</w:t>
      </w:r>
    </w:p>
    <w:p w14:paraId="2DF0C105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Elm-Daten sind unveränderlich. update verändert kein Objekt nachträglich, sondern erzeugt einen neuen konsistenten State. Dadurch können Netzwerk, Zeitreihe und Matrix nicht unterschiedliche Zwischenstände behalten.</w:t>
      </w:r>
    </w:p>
    <w:p w14:paraId="0829A7D3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Die View-Module speichern keinen eigenen Zustand. Sie erhalten Daten und Ereignisfunktionen als Parameter; Main.elm bleibt die zentrale Stelle für Auswahl und Zeitraum.</w:t>
      </w:r>
    </w:p>
    <w:p w14:paraId="4117F64F" w14:textId="77777777" w:rsidR="0040735C" w:rsidRDefault="00000000">
      <w:pPr>
        <w:keepNext/>
        <w:spacing w:before="60" w:after="20"/>
        <w:rPr>
          <w:rFonts w:hint="eastAsia"/>
        </w:rPr>
      </w:pPr>
      <w:r>
        <w:rPr>
          <w:rFonts w:eastAsia="Aptos"/>
          <w:b/>
          <w:color w:val="374151"/>
          <w:sz w:val="19"/>
        </w:rPr>
        <w:lastRenderedPageBreak/>
        <w:t>Kern von Model und Msg in src/Main.elm</w:t>
      </w:r>
    </w:p>
    <w:p w14:paraId="4F51186E" w14:textId="77777777" w:rsidR="0040735C" w:rsidRDefault="00000000">
      <w:pPr>
        <w:keepLines/>
        <w:shd w:val="clear" w:color="auto" w:fill="EEF2F7"/>
        <w:spacing w:before="20" w:after="80"/>
        <w:ind w:left="227" w:right="227"/>
        <w:rPr>
          <w:rFonts w:hint="eastAsia"/>
        </w:rPr>
      </w:pPr>
      <w:r>
        <w:rPr>
          <w:rFonts w:ascii="Consolas" w:eastAsia="Consolas" w:hAnsi="Consolas"/>
          <w:color w:val="172033"/>
          <w:sz w:val="17"/>
        </w:rPr>
        <w:t>type Model</w:t>
      </w:r>
      <w:r>
        <w:rPr>
          <w:rFonts w:ascii="Consolas" w:eastAsia="Consolas" w:hAnsi="Consolas"/>
          <w:color w:val="172033"/>
          <w:sz w:val="17"/>
        </w:rPr>
        <w:br/>
        <w:t xml:space="preserve">    = Loading</w:t>
      </w:r>
      <w:r>
        <w:rPr>
          <w:rFonts w:ascii="Consolas" w:eastAsia="Consolas" w:hAnsi="Consolas"/>
          <w:color w:val="172033"/>
          <w:sz w:val="17"/>
        </w:rPr>
        <w:br/>
        <w:t xml:space="preserve">    | Failed String</w:t>
      </w:r>
      <w:r>
        <w:rPr>
          <w:rFonts w:ascii="Consolas" w:eastAsia="Consolas" w:hAnsi="Consolas"/>
          <w:color w:val="172033"/>
          <w:sz w:val="17"/>
        </w:rPr>
        <w:br/>
        <w:t xml:space="preserve">    | Ready State</w:t>
      </w:r>
      <w:r>
        <w:rPr>
          <w:rFonts w:ascii="Consolas" w:eastAsia="Consolas" w:hAnsi="Consolas"/>
          <w:color w:val="172033"/>
          <w:sz w:val="17"/>
        </w:rPr>
        <w:br/>
      </w:r>
      <w:r>
        <w:rPr>
          <w:rFonts w:ascii="Consolas" w:eastAsia="Consolas" w:hAnsi="Consolas"/>
          <w:color w:val="172033"/>
          <w:sz w:val="17"/>
        </w:rPr>
        <w:br/>
        <w:t>type Msg</w:t>
      </w:r>
      <w:r>
        <w:rPr>
          <w:rFonts w:ascii="Consolas" w:eastAsia="Consolas" w:hAnsi="Consolas"/>
          <w:color w:val="172033"/>
          <w:sz w:val="17"/>
        </w:rPr>
        <w:br/>
        <w:t xml:space="preserve">    = SelectPartner String</w:t>
      </w:r>
      <w:r>
        <w:rPr>
          <w:rFonts w:ascii="Consolas" w:eastAsia="Consolas" w:hAnsi="Consolas"/>
          <w:color w:val="172033"/>
          <w:sz w:val="17"/>
        </w:rPr>
        <w:br/>
        <w:t xml:space="preserve">    | SelectTime Int</w:t>
      </w:r>
      <w:r>
        <w:rPr>
          <w:rFonts w:ascii="Consolas" w:eastAsia="Consolas" w:hAnsi="Consolas"/>
          <w:color w:val="172033"/>
          <w:sz w:val="17"/>
        </w:rPr>
        <w:br/>
        <w:t xml:space="preserve">    | SelectCell String Int</w:t>
      </w:r>
    </w:p>
    <w:p w14:paraId="752304BB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10 Zentrale Elm-Codeelemente</w:t>
      </w:r>
    </w:p>
    <w:p w14:paraId="5B7972C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Model = Loading | Failed String | Ready State</w:t>
      </w:r>
    </w:p>
    <w:p w14:paraId="5D35AF22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State enthält Datensatz, globale Stunde, optionales Partnerland und sichtbares Zeitfenster</w:t>
      </w:r>
    </w:p>
    <w:p w14:paraId="6F8C9FF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Msg: GotDataset, SelectPartner, SelectTime, SelectCell, SetWindowSize, MoveWindow und Reset</w:t>
      </w:r>
    </w:p>
    <w:p w14:paraId="00E0AC4F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SelectCell setzt selectedPartner und selectedIndex in einem Zustandsübergang</w:t>
      </w:r>
    </w:p>
    <w:p w14:paraId="463EF863" w14:textId="77777777" w:rsidR="0040735C" w:rsidRDefault="00000000">
      <w:pPr>
        <w:keepNext/>
        <w:spacing w:before="60" w:after="20"/>
        <w:rPr>
          <w:rFonts w:hint="eastAsia"/>
        </w:rPr>
      </w:pPr>
      <w:r>
        <w:rPr>
          <w:rFonts w:eastAsia="Aptos"/>
          <w:b/>
          <w:color w:val="374151"/>
          <w:sz w:val="19"/>
        </w:rPr>
        <w:t>Matrixklick aktualisiert Land und Stunde gemeinsam</w:t>
      </w:r>
    </w:p>
    <w:p w14:paraId="78CBD5D0" w14:textId="77777777" w:rsidR="0040735C" w:rsidRDefault="00000000">
      <w:pPr>
        <w:keepLines/>
        <w:shd w:val="clear" w:color="auto" w:fill="EEF2F7"/>
        <w:spacing w:before="20" w:after="80"/>
        <w:ind w:left="227" w:right="227"/>
        <w:rPr>
          <w:rFonts w:hint="eastAsia"/>
        </w:rPr>
      </w:pPr>
      <w:r>
        <w:rPr>
          <w:rFonts w:ascii="Consolas" w:eastAsia="Consolas" w:hAnsi="Consolas"/>
          <w:color w:val="172033"/>
          <w:sz w:val="17"/>
        </w:rPr>
        <w:t>( SelectCell country index, Ready state ) -&gt;</w:t>
      </w:r>
      <w:r>
        <w:rPr>
          <w:rFonts w:ascii="Consolas" w:eastAsia="Consolas" w:hAnsi="Consolas"/>
          <w:color w:val="172033"/>
          <w:sz w:val="17"/>
        </w:rPr>
        <w:br/>
        <w:t xml:space="preserve">    Ready</w:t>
      </w:r>
      <w:r>
        <w:rPr>
          <w:rFonts w:ascii="Consolas" w:eastAsia="Consolas" w:hAnsi="Consolas"/>
          <w:color w:val="172033"/>
          <w:sz w:val="17"/>
        </w:rPr>
        <w:br/>
        <w:t xml:space="preserve">        { state</w:t>
      </w:r>
      <w:r>
        <w:rPr>
          <w:rFonts w:ascii="Consolas" w:eastAsia="Consolas" w:hAnsi="Consolas"/>
          <w:color w:val="172033"/>
          <w:sz w:val="17"/>
        </w:rPr>
        <w:br/>
        <w:t xml:space="preserve">            | selectedPartner = Just country</w:t>
      </w:r>
      <w:r>
        <w:rPr>
          <w:rFonts w:ascii="Consolas" w:eastAsia="Consolas" w:hAnsi="Consolas"/>
          <w:color w:val="172033"/>
          <w:sz w:val="17"/>
        </w:rPr>
        <w:br/>
        <w:t xml:space="preserve">            , selectedIndex = index</w:t>
      </w:r>
      <w:r>
        <w:rPr>
          <w:rFonts w:ascii="Consolas" w:eastAsia="Consolas" w:hAnsi="Consolas"/>
          <w:color w:val="172033"/>
          <w:sz w:val="17"/>
        </w:rPr>
        <w:br/>
        <w:t xml:space="preserve">        }</w:t>
      </w:r>
    </w:p>
    <w:p w14:paraId="3ED68EC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Maybe String erlaubt eine Zeitreihe ohne bereits ausgewähltes Partnerland</w:t>
      </w:r>
    </w:p>
    <w:p w14:paraId="4830A98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Lokaler Klickindex + windowStart = globaler Index innerhalb der 744 Stunden</w:t>
      </w:r>
    </w:p>
    <w:p w14:paraId="0DE4B18F" w14:textId="77777777" w:rsidR="0040735C" w:rsidRDefault="00000000">
      <w:pPr>
        <w:keepNext/>
        <w:spacing w:before="60" w:after="20"/>
        <w:rPr>
          <w:rFonts w:hint="eastAsia"/>
        </w:rPr>
      </w:pPr>
      <w:r>
        <w:rPr>
          <w:rFonts w:eastAsia="Aptos"/>
          <w:b/>
          <w:color w:val="374151"/>
          <w:sz w:val="19"/>
        </w:rPr>
        <w:t>Indexumrechnung bei einem Klick im sichtbaren Zeitfenster</w:t>
      </w:r>
    </w:p>
    <w:p w14:paraId="197C64B0" w14:textId="77777777" w:rsidR="0040735C" w:rsidRDefault="00000000">
      <w:pPr>
        <w:keepLines/>
        <w:shd w:val="clear" w:color="auto" w:fill="EEF2F7"/>
        <w:spacing w:before="20" w:after="80"/>
        <w:ind w:left="227" w:right="227"/>
        <w:rPr>
          <w:rFonts w:hint="eastAsia"/>
        </w:rPr>
      </w:pPr>
      <w:r>
        <w:rPr>
          <w:rFonts w:ascii="Consolas" w:eastAsia="Consolas" w:hAnsi="Consolas"/>
          <w:color w:val="172033"/>
          <w:sz w:val="17"/>
        </w:rPr>
        <w:t>globalIndex = windowStart + localIndex</w:t>
      </w:r>
    </w:p>
    <w:p w14:paraId="542F6E15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Diese Indexumrechnung verhindert falsche Stunden nach einem Fensterwechsel</w:t>
      </w:r>
    </w:p>
    <w:p w14:paraId="3A9EF3AC" w14:textId="77777777" w:rsidR="0040735C" w:rsidRDefault="00000000">
      <w:pPr>
        <w:pStyle w:val="berschrift1"/>
        <w:pageBreakBefore/>
      </w:pPr>
      <w:r>
        <w:rPr>
          <w:rFonts w:ascii="Aptos Display" w:eastAsia="Aptos Display" w:hAnsi="Aptos Display"/>
        </w:rPr>
        <w:lastRenderedPageBreak/>
        <w:t>11 Fallanalysen und Ergebnisse</w:t>
      </w:r>
    </w:p>
    <w:p w14:paraId="7EF6D15E" w14:textId="77777777" w:rsidR="0040735C" w:rsidRDefault="00000000">
      <w:pPr>
        <w:pStyle w:val="berschrift2"/>
      </w:pPr>
      <w:r>
        <w:rPr>
          <w:rFonts w:ascii="Aptos" w:eastAsia="Aptos" w:hAnsi="Aptos"/>
        </w:rPr>
        <w:t>Frankreich am 1. Mai um 00 Uhr</w:t>
      </w:r>
    </w:p>
    <w:p w14:paraId="5DCAF2B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Physischer Fluss: +0,058 GW = kleiner Import nach Deutschland</w:t>
      </w:r>
    </w:p>
    <w:p w14:paraId="4DCE422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Handelswert: −2,940 GW = kommerzieller Export</w:t>
      </w:r>
    </w:p>
    <w:p w14:paraId="7CCCACAE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Ergebnis: Physischer Fluss und Handel sind nicht gleichbedeutend</w:t>
      </w:r>
    </w:p>
    <w:p w14:paraId="5309793C" w14:textId="77777777" w:rsidR="0040735C" w:rsidRDefault="00000000">
      <w:pPr>
        <w:pStyle w:val="berschrift2"/>
      </w:pPr>
      <w:r>
        <w:rPr>
          <w:rFonts w:ascii="Aptos" w:eastAsia="Aptos" w:hAnsi="Aptos"/>
        </w:rPr>
        <w:t>Preisminimum am 11. Mai um 11 Uhr</w:t>
      </w:r>
    </w:p>
    <w:p w14:paraId="2D7CCD8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Day-Ahead-Preis: −250,32 EUR/MWh</w:t>
      </w:r>
    </w:p>
    <w:p w14:paraId="27E5D956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Erneuerbare Leistung: 58,961 GW = 88,7 % von rund 66,5 GW Gesamterzeugung</w:t>
      </w:r>
    </w:p>
    <w:p w14:paraId="37CF868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Physischer Import aus Frankreich: +1,382 GW</w:t>
      </w:r>
    </w:p>
    <w:p w14:paraId="2F69553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Korrelation Preis und erneuerbare Leistung im Mai: r = −0,758</w:t>
      </w:r>
    </w:p>
    <w:p w14:paraId="76F70D32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Korrelation Preis und erneuerbarer Anteil: r = −0,817</w:t>
      </w:r>
    </w:p>
    <w:p w14:paraId="7EC23EC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Korrelation Preis und Summe der elf physischen Länderflüsse: r = 0,084</w:t>
      </w:r>
    </w:p>
    <w:p w14:paraId="7CEF762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Korrelation beschreibt einen Zusammenhang, aber keine Ursache</w:t>
      </w:r>
    </w:p>
    <w:p w14:paraId="09951EAD" w14:textId="77777777" w:rsidR="0040735C" w:rsidRDefault="00000000">
      <w:pPr>
        <w:pStyle w:val="berschrift2"/>
      </w:pPr>
      <w:r>
        <w:rPr>
          <w:rFonts w:ascii="Aptos" w:eastAsia="Aptos" w:hAnsi="Aptos"/>
        </w:rPr>
        <w:t>Dänemark am 3. Mai um 12 Uhr</w:t>
      </w:r>
    </w:p>
    <w:p w14:paraId="38C6783D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Physischer Fluss: −1,710 GW = Export aus Deutschland nach Dänemark</w:t>
      </w:r>
    </w:p>
    <w:p w14:paraId="30FF882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Frankreich gleichzeitig: +0,582 GW = Import nach Deutschland</w:t>
      </w:r>
    </w:p>
    <w:p w14:paraId="5616879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Deutschland kann in derselben Stunde gegenüber verschiedenen Ländern unterschiedliche Rollen einnehmen</w:t>
      </w:r>
    </w:p>
    <w:p w14:paraId="395CCD1A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12 Fachliche Einordnung und Grenzen</w:t>
      </w:r>
    </w:p>
    <w:p w14:paraId="3835341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Munzner: Domänenproblem und Aufgaben vor visueller Kodierung und Umsetzung</w:t>
      </w:r>
    </w:p>
    <w:p w14:paraId="6C1C216E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Aigner et al.: gemeinsame und geordnete Zeitachse</w:t>
      </w:r>
    </w:p>
    <w:p w14:paraId="0E3B795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Keim: platzsparende pixelorientierte Visualisierung</w:t>
      </w:r>
    </w:p>
    <w:p w14:paraId="1AA9D1C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North und Shneiderman: koordinierte Ansichten und Brushing-and-Linking</w:t>
      </w:r>
    </w:p>
    <w:p w14:paraId="7FE0648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Grenze: </w:t>
      </w:r>
      <w:r>
        <w:rPr>
          <w:rFonts w:eastAsia="Aptos"/>
        </w:rPr>
        <w:t>Mai 2025 erlaubt keine saisonalen oder mehrjährigen Aussagen</w:t>
      </w:r>
    </w:p>
    <w:p w14:paraId="5E7C73B7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Grenze: </w:t>
      </w:r>
      <w:r>
        <w:rPr>
          <w:rFonts w:eastAsia="Aptos"/>
        </w:rPr>
        <w:t>v_totalpower enthält auch industrielle Eigenerzeugung</w:t>
      </w:r>
    </w:p>
    <w:p w14:paraId="67701F0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Grenze: </w:t>
      </w:r>
      <w:r>
        <w:rPr>
          <w:rFonts w:eastAsia="Aptos"/>
        </w:rPr>
        <w:t>Zeitgleiche Erzeugung und Grenzflüsse zeigen nicht die physische Herkunft einzelner Strommengen</w:t>
      </w:r>
    </w:p>
    <w:p w14:paraId="536235F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Grenze: </w:t>
      </w:r>
      <w:r>
        <w:rPr>
          <w:rFonts w:eastAsia="Aptos"/>
        </w:rPr>
        <w:t>Summe der elf bilateralen Flüsse ist eine explorative Kennzahl, kein separates Messfeld</w:t>
      </w:r>
    </w:p>
    <w:p w14:paraId="79BC2A73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Grenze: </w:t>
      </w:r>
      <w:r>
        <w:rPr>
          <w:rFonts w:eastAsia="Aptos"/>
        </w:rPr>
        <w:t>Kein freies Zoomen, keine Mehrfachauswahl und keine Sortierung der Matrixzeilen</w:t>
      </w:r>
    </w:p>
    <w:p w14:paraId="42B57E0E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Sinnvolle Erweiterungen: freie Zeiträume, Drill-down, Scatterplot, CBPF-CBET-Differenz und Mehrjahresanalyse</w:t>
      </w:r>
    </w:p>
    <w:p w14:paraId="47B1B7BA" w14:textId="77777777" w:rsidR="0040735C" w:rsidRDefault="00000000">
      <w:pPr>
        <w:pStyle w:val="berschrift1"/>
      </w:pPr>
      <w:r>
        <w:rPr>
          <w:rFonts w:ascii="Aptos Display" w:eastAsia="Aptos Display" w:hAnsi="Aptos Display"/>
        </w:rPr>
        <w:t>13 Fazit</w:t>
      </w:r>
    </w:p>
    <w:p w14:paraId="07E22FD8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Netzwerkgraph: Richtung und Größenordnung der Länderflüsse für eine Stunde</w:t>
      </w:r>
    </w:p>
    <w:p w14:paraId="0B5219B5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Zeitreihe: Entwicklung von Erzeugungsmix und ausgewähltem Länderfluss; Preis als Detailwert</w:t>
      </w:r>
    </w:p>
    <w:p w14:paraId="67B0FCFC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Pixelmatrix: Monatsüberblick und direkter Einstieg in einen Detailzustand</w:t>
      </w:r>
    </w:p>
    <w:p w14:paraId="0BE62D4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Gemeinsamer Elm-State verbindet Land, Stunde und Zeitfenster über alle Ansichten</w:t>
      </w:r>
    </w:p>
    <w:p w14:paraId="186405EA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Deutlicher negativer Zusammenhang zwischen erneuerbarer Erzeugung und Preis im Mai 2025</w:t>
      </w:r>
    </w:p>
    <w:p w14:paraId="5043A4E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Physischer Fluss und Handel können unterschiedliche Richtungen besitzen</w:t>
      </w:r>
    </w:p>
    <w:p w14:paraId="4E1AAD1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Deutschland kann gleichzeitig importieren und exportieren – abhängig vom Partnerland</w:t>
      </w:r>
    </w:p>
    <w:p w14:paraId="706EACB5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>•  Visualisierung unterstützt Hypothesenbildung und Prüfung konkreter Werte; kein Kausalnachweis</w:t>
      </w:r>
    </w:p>
    <w:p w14:paraId="60E490CA" w14:textId="77777777" w:rsidR="0040735C" w:rsidRDefault="00000000">
      <w:pPr>
        <w:pStyle w:val="berschrift1"/>
        <w:pageBreakBefore/>
      </w:pPr>
      <w:r>
        <w:rPr>
          <w:rFonts w:ascii="Aptos Display" w:eastAsia="Aptos Display" w:hAnsi="Aptos Display"/>
        </w:rPr>
        <w:lastRenderedPageBreak/>
        <w:t>Mögliche Rückfragen</w:t>
      </w:r>
    </w:p>
    <w:p w14:paraId="3B938B1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Warum kein Kartenausschnitt?: </w:t>
      </w:r>
      <w:r>
        <w:rPr>
          <w:rFonts w:eastAsia="Aptos"/>
        </w:rPr>
        <w:t>Entfernung ist keine Datendimension; der radiale Graph priorisiert die elf Beziehungen zu Deutschland.</w:t>
      </w:r>
    </w:p>
    <w:p w14:paraId="264BFF46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Warum keine gemeinsame Achse für Preis und Erzeugung?: </w:t>
      </w:r>
      <w:r>
        <w:rPr>
          <w:rFonts w:eastAsia="Aptos"/>
        </w:rPr>
        <w:t>EUR/MWh und GW sind unterschiedliche Einheiten; der Preis steht deshalb im Detailfeld.</w:t>
      </w:r>
    </w:p>
    <w:p w14:paraId="4C8CD4F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Warum Python trotz Elm-Vorgabe?: </w:t>
      </w:r>
      <w:r>
        <w:rPr>
          <w:rFonts w:eastAsia="Aptos"/>
        </w:rPr>
        <w:t>Python übernimmt nur Datenabruf, Normalisierung und Validierung; Visualisierung und Interaktion sind vollständig in Elm.</w:t>
      </w:r>
    </w:p>
    <w:p w14:paraId="51D27B24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Unterschied zwischen CBPF und CBET?: </w:t>
      </w:r>
      <w:r>
        <w:rPr>
          <w:rFonts w:eastAsia="Aptos"/>
        </w:rPr>
        <w:t>CBPF ist der gemessene physische Grenzfluss; CBET ist der kommerzielle Handel.</w:t>
      </w:r>
    </w:p>
    <w:p w14:paraId="12CB0081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Warum Mai 2025?: </w:t>
      </w:r>
      <w:r>
        <w:rPr>
          <w:rFonts w:eastAsia="Aptos"/>
        </w:rPr>
        <w:t>Vollständiger Monat mit 744 Stunden, Tages- und Wochenmustern sowie positiven und negativen Preisen.</w:t>
      </w:r>
    </w:p>
    <w:p w14:paraId="10DF01F9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Sind die Matrixfarben vergleichbar?: </w:t>
      </w:r>
      <w:r>
        <w:rPr>
          <w:rFonts w:eastAsia="Aptos"/>
        </w:rPr>
        <w:t>Ja; dieselbe globale Skala aus allen 8.184 Monatswerten gilt für alle Zeilen und Zeitfenster.</w:t>
      </w:r>
    </w:p>
    <w:p w14:paraId="565B6E45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Was bedeutet ein negativer Preis?: </w:t>
      </w:r>
      <w:r>
        <w:rPr>
          <w:rFonts w:eastAsia="Aptos"/>
        </w:rPr>
        <w:t>Day-Ahead-Marktpreis unter null; mögliche Gründe sind hohes Angebot, geringe Nachfrage oder geringe Flexibilität.</w:t>
      </w:r>
    </w:p>
    <w:p w14:paraId="0CA22B7B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Wie werden Zugangsdaten geschützt?: </w:t>
      </w:r>
      <w:r>
        <w:rPr>
          <w:rFonts w:eastAsia="Aptos"/>
        </w:rPr>
        <w:t>Nur das lokale Exportskript verwendet Passwort oder Token; die Webanwendung lädt eine öffentliche JSON-Datei.</w:t>
      </w:r>
    </w:p>
    <w:p w14:paraId="446ABC10" w14:textId="77777777" w:rsidR="0040735C" w:rsidRDefault="00000000">
      <w:pPr>
        <w:keepLines/>
        <w:ind w:left="369" w:hanging="255"/>
        <w:rPr>
          <w:rFonts w:hint="eastAsia"/>
        </w:rPr>
      </w:pPr>
      <w:r>
        <w:rPr>
          <w:rFonts w:eastAsia="Aptos"/>
        </w:rPr>
        <w:t xml:space="preserve">•  </w:t>
      </w:r>
      <w:r>
        <w:rPr>
          <w:rFonts w:eastAsia="Aptos"/>
          <w:b/>
        </w:rPr>
        <w:t xml:space="preserve">Nächste Verbesserung?: </w:t>
      </w:r>
      <w:r>
        <w:rPr>
          <w:rFonts w:eastAsia="Aptos"/>
        </w:rPr>
        <w:t>Freie Zeiträume, Drill-down auf Einzeltechnologien, Scatterplot und Vergleich von CBPF und CBET.</w:t>
      </w:r>
    </w:p>
    <w:sectPr w:rsidR="0040735C" w:rsidSect="00034616">
      <w:footerReference w:type="default" r:id="rId8"/>
      <w:pgSz w:w="12240" w:h="15840"/>
      <w:pgMar w:top="879" w:right="992" w:bottom="822" w:left="9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1A66F" w14:textId="77777777" w:rsidR="00C16837" w:rsidRDefault="00C168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4762FF" w14:textId="77777777" w:rsidR="00C16837" w:rsidRDefault="00C168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ACB3C" w14:textId="77777777" w:rsidR="0040735C" w:rsidRDefault="00000000">
    <w:pPr>
      <w:pStyle w:val="Fuzeile"/>
      <w:jc w:val="center"/>
      <w:rPr>
        <w:rFonts w:hint="eastAsia"/>
      </w:rPr>
    </w:pPr>
    <w:proofErr w:type="spellStart"/>
    <w:r>
      <w:rPr>
        <w:rFonts w:eastAsia="Aptos"/>
        <w:color w:val="6B7280"/>
        <w:sz w:val="17"/>
      </w:rPr>
      <w:t>Seite</w:t>
    </w:r>
    <w:proofErr w:type="spellEnd"/>
    <w:r>
      <w:rPr>
        <w:rFonts w:eastAsia="Aptos"/>
        <w:color w:val="6B7280"/>
        <w:sz w:val="17"/>
      </w:rPr>
      <w:t xml:space="preserve"> </w:t>
    </w:r>
    <w:r>
      <w:rPr>
        <w:rFonts w:eastAsia="Aptos"/>
        <w:color w:val="6B7280"/>
        <w:sz w:val="17"/>
      </w:rPr>
      <w:fldChar w:fldCharType="begin"/>
    </w:r>
    <w:r>
      <w:rPr>
        <w:rFonts w:eastAsia="Aptos"/>
        <w:color w:val="6B7280"/>
        <w:sz w:val="17"/>
      </w:rPr>
      <w:instrText xml:space="preserve"> PAGE </w:instrText>
    </w:r>
    <w:r w:rsidR="00FC6E97">
      <w:rPr>
        <w:rFonts w:eastAsia="Aptos"/>
        <w:color w:val="6B7280"/>
        <w:sz w:val="17"/>
      </w:rPr>
      <w:fldChar w:fldCharType="separate"/>
    </w:r>
    <w:r w:rsidR="00FC6E97">
      <w:rPr>
        <w:rFonts w:eastAsia="Aptos"/>
        <w:noProof/>
        <w:color w:val="6B7280"/>
        <w:sz w:val="17"/>
      </w:rPr>
      <w:t>1</w:t>
    </w:r>
    <w:r>
      <w:rPr>
        <w:rFonts w:eastAsia="Aptos"/>
        <w:color w:val="6B7280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BD29C" w14:textId="77777777" w:rsidR="00C16837" w:rsidRDefault="00C168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7CEAF1" w14:textId="77777777" w:rsidR="00C16837" w:rsidRDefault="00C168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0050781">
    <w:abstractNumId w:val="8"/>
  </w:num>
  <w:num w:numId="2" w16cid:durableId="1365904222">
    <w:abstractNumId w:val="6"/>
  </w:num>
  <w:num w:numId="3" w16cid:durableId="537208933">
    <w:abstractNumId w:val="5"/>
  </w:num>
  <w:num w:numId="4" w16cid:durableId="793982552">
    <w:abstractNumId w:val="4"/>
  </w:num>
  <w:num w:numId="5" w16cid:durableId="186480934">
    <w:abstractNumId w:val="7"/>
  </w:num>
  <w:num w:numId="6" w16cid:durableId="1767188988">
    <w:abstractNumId w:val="3"/>
  </w:num>
  <w:num w:numId="7" w16cid:durableId="1540510629">
    <w:abstractNumId w:val="2"/>
  </w:num>
  <w:num w:numId="8" w16cid:durableId="2106924576">
    <w:abstractNumId w:val="1"/>
  </w:num>
  <w:num w:numId="9" w16cid:durableId="177698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735C"/>
    <w:rsid w:val="00AA1D8D"/>
    <w:rsid w:val="00B47730"/>
    <w:rsid w:val="00C16837"/>
    <w:rsid w:val="00C53359"/>
    <w:rsid w:val="00CB0664"/>
    <w:rsid w:val="00D73BBD"/>
    <w:rsid w:val="00FC693F"/>
    <w:rsid w:val="00FC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8A915E"/>
  <w14:defaultImageDpi w14:val="300"/>
  <w15:docId w15:val="{3983F461-B823-418D-81E0-C034C91A8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50" w:line="252" w:lineRule="auto"/>
    </w:pPr>
    <w:rPr>
      <w:rFonts w:ascii="Aptos" w:hAnsi="Aptos"/>
      <w:color w:val="000000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keepNext/>
      <w:spacing w:after="1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spacing w:val="15"/>
      <w:sz w:val="26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spacing w:line="250" w:lineRule="auto"/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spacing w:line="250" w:lineRule="auto"/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2207</Words>
  <Characters>13907</Characters>
  <Application>Microsoft Office Word</Application>
  <DocSecurity>0</DocSecurity>
  <Lines>115</Lines>
  <Paragraphs>32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Stichpunkte zum Vortrag Deutschlands Rolle im europäischen Stromnetz</vt:lpstr>
      <vt:lpstr/>
    </vt:vector>
  </TitlesOfParts>
  <Manager/>
  <Company/>
  <LinksUpToDate>false</LinksUpToDate>
  <CharactersWithSpaces>16082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Stichpunkte zum Vortrag Deutschlands Rolle im europäischen Stromnetz</dc:title>
  <dc:subject>Vortragsstichpunkte zum Visualisierungsprojekt</dc:subject>
  <dc:creator>Jann Körner</dc:creator>
  <cp:keywords/>
  <dc:description>generated by python-docx</dc:description>
  <cp:lastModifiedBy>Jann Körner</cp:lastModifiedBy>
  <cp:revision>2</cp:revision>
  <dcterms:created xsi:type="dcterms:W3CDTF">2013-12-23T23:15:00Z</dcterms:created>
  <dcterms:modified xsi:type="dcterms:W3CDTF">2026-10-06T09:49:00Z</dcterms:modified>
  <cp:category/>
</cp:coreProperties>
</file>