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160"/>
      </w:pPr>
      <w:r>
        <w:rPr>
          <w:rFonts w:ascii="Helvetica Neue" w:hAnsi="Helvetica Neue"/>
          <w:b/>
          <w:color w:val="5B7085"/>
          <w:sz w:val="22"/>
        </w:rPr>
        <w:t>INFORMATIONSVISUALISIERUNG</w:t>
      </w:r>
    </w:p>
    <w:p>
      <w:pPr>
        <w:pStyle w:val="Title"/>
      </w:pPr>
      <w:r>
        <w:t>Vortragsmanuskript</w:t>
      </w:r>
    </w:p>
    <w:p>
      <w:pPr>
        <w:spacing w:after="520"/>
      </w:pPr>
      <w:r>
        <w:rPr>
          <w:rFonts w:ascii="Helvetica Neue" w:hAnsi="Helvetica Neue"/>
          <w:b/>
          <w:color w:val="000000"/>
          <w:sz w:val="34"/>
        </w:rPr>
        <w:t>Deutschlands Rolle im europäischen Stromnetz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3168"/>
            <w:vAlign w:val="center"/>
            <w:shd w:fill="082A4A"/>
            <w:tcMar>
              <w:top w:w="90" w:type="dxa"/>
              <w:start w:w="100" w:type="dxa"/>
              <w:bottom w:w="90" w:type="dxa"/>
              <w:end w:w="100" w:type="dxa"/>
            </w:tcMar>
          </w:tcPr>
          <w:p>
            <w:pPr>
              <w:spacing w:after="0"/>
            </w:pPr>
            <w:r>
              <w:rPr>
                <w:rFonts w:ascii="Helvetica Neue" w:hAnsi="Helvetica Neue"/>
                <w:b/>
                <w:color w:val="FFFFFF"/>
                <w:sz w:val="17"/>
              </w:rPr>
              <w:t>DAUER</w:t>
            </w:r>
          </w:p>
        </w:tc>
        <w:tc>
          <w:tcPr>
            <w:tcW w:type="dxa" w:w="3168"/>
            <w:vAlign w:val="center"/>
            <w:shd w:fill="082A4A"/>
            <w:tcMar>
              <w:top w:w="90" w:type="dxa"/>
              <w:start w:w="100" w:type="dxa"/>
              <w:bottom w:w="90" w:type="dxa"/>
              <w:end w:w="100" w:type="dxa"/>
            </w:tcMar>
          </w:tcPr>
          <w:p>
            <w:pPr>
              <w:spacing w:after="0"/>
            </w:pPr>
            <w:r>
              <w:rPr>
                <w:rFonts w:ascii="Helvetica Neue" w:hAnsi="Helvetica Neue"/>
                <w:b/>
                <w:color w:val="FFFFFF"/>
                <w:sz w:val="17"/>
              </w:rPr>
              <w:t>SPRECHER</w:t>
            </w:r>
          </w:p>
        </w:tc>
        <w:tc>
          <w:tcPr>
            <w:tcW w:type="dxa" w:w="3168"/>
            <w:vAlign w:val="center"/>
            <w:shd w:fill="082A4A"/>
            <w:tcMar>
              <w:top w:w="90" w:type="dxa"/>
              <w:start w:w="100" w:type="dxa"/>
              <w:bottom w:w="90" w:type="dxa"/>
              <w:end w:w="100" w:type="dxa"/>
            </w:tcMar>
          </w:tcPr>
          <w:p>
            <w:pPr>
              <w:spacing w:after="0"/>
            </w:pPr>
            <w:r>
              <w:rPr>
                <w:rFonts w:ascii="Helvetica Neue" w:hAnsi="Helvetica Neue"/>
                <w:b/>
                <w:color w:val="FFFFFF"/>
                <w:sz w:val="17"/>
              </w:rPr>
              <w:t>STAND</w:t>
            </w:r>
          </w:p>
        </w:tc>
      </w:tr>
      <w:tr>
        <w:tc>
          <w:tcPr>
            <w:tcW w:type="dxa" w:w="3168"/>
            <w:vAlign w:val="center"/>
            <w:tcMar>
              <w:top w:w="90" w:type="dxa"/>
              <w:start w:w="100" w:type="dxa"/>
              <w:bottom w:w="90" w:type="dxa"/>
              <w:end w:w="100" w:type="dxa"/>
            </w:tcMar>
            <w:shd w:fill="FFFFFF"/>
          </w:tcPr>
          <w:p>
            <w:pPr>
              <w:spacing w:after="0"/>
            </w:pPr>
            <w:r>
              <w:rPr>
                <w:rFonts w:ascii="Helvetica Neue" w:hAnsi="Helvetica Neue"/>
                <w:color w:val="000000"/>
                <w:sz w:val="16"/>
              </w:rPr>
              <w:t>15 bis 20 Minuten</w:t>
            </w:r>
          </w:p>
        </w:tc>
        <w:tc>
          <w:tcPr>
            <w:tcW w:type="dxa" w:w="3168"/>
            <w:vAlign w:val="center"/>
            <w:tcMar>
              <w:top w:w="90" w:type="dxa"/>
              <w:start w:w="100" w:type="dxa"/>
              <w:bottom w:w="90" w:type="dxa"/>
              <w:end w:w="100" w:type="dxa"/>
            </w:tcMar>
            <w:shd w:fill="FFFFFF"/>
          </w:tcPr>
          <w:p>
            <w:pPr>
              <w:spacing w:after="0"/>
            </w:pPr>
            <w:r>
              <w:rPr>
                <w:rFonts w:ascii="Helvetica Neue" w:hAnsi="Helvetica Neue"/>
                <w:color w:val="000000"/>
                <w:sz w:val="16"/>
              </w:rPr>
              <w:t>Jann Körner</w:t>
            </w:r>
          </w:p>
        </w:tc>
        <w:tc>
          <w:tcPr>
            <w:tcW w:type="dxa" w:w="3168"/>
            <w:vAlign w:val="center"/>
            <w:tcMar>
              <w:top w:w="90" w:type="dxa"/>
              <w:start w:w="100" w:type="dxa"/>
              <w:bottom w:w="90" w:type="dxa"/>
              <w:end w:w="100" w:type="dxa"/>
            </w:tcMar>
            <w:shd w:fill="FFFFFF"/>
          </w:tcPr>
          <w:p>
            <w:pPr>
              <w:spacing w:after="0"/>
            </w:pPr>
            <w:r>
              <w:rPr>
                <w:rFonts w:ascii="Helvetica Neue" w:hAnsi="Helvetica Neue"/>
                <w:color w:val="000000"/>
                <w:sz w:val="16"/>
              </w:rPr>
              <w:t>11. September 2026</w:t>
            </w:r>
          </w:p>
        </w:tc>
      </w:tr>
    </w:tbl>
    <w:p>
      <w:pPr>
        <w:spacing w:after="20"/>
      </w:pPr>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088"/>
            <w:vAlign w:val="center"/>
            <w:shd w:fill="082A4A"/>
            <w:tcMar>
              <w:top w:w="90" w:type="dxa"/>
              <w:start w:w="100" w:type="dxa"/>
              <w:bottom w:w="90" w:type="dxa"/>
              <w:end w:w="100" w:type="dxa"/>
            </w:tcMar>
          </w:tcPr>
          <w:p>
            <w:pPr>
              <w:spacing w:after="0"/>
            </w:pPr>
            <w:r>
              <w:rPr>
                <w:rFonts w:ascii="Helvetica Neue" w:hAnsi="Helvetica Neue"/>
                <w:b/>
                <w:color w:val="FFFFFF"/>
                <w:sz w:val="17"/>
              </w:rPr>
              <w:t>Angabe</w:t>
            </w:r>
          </w:p>
        </w:tc>
        <w:tc>
          <w:tcPr>
            <w:tcW w:type="dxa" w:w="7416"/>
            <w:vAlign w:val="center"/>
            <w:shd w:fill="082A4A"/>
            <w:tcMar>
              <w:top w:w="90" w:type="dxa"/>
              <w:start w:w="100" w:type="dxa"/>
              <w:bottom w:w="90" w:type="dxa"/>
              <w:end w:w="100" w:type="dxa"/>
            </w:tcMar>
          </w:tcPr>
          <w:p>
            <w:pPr>
              <w:spacing w:after="0"/>
            </w:pPr>
            <w:r>
              <w:rPr>
                <w:rFonts w:ascii="Helvetica Neue" w:hAnsi="Helvetica Neue"/>
                <w:b/>
                <w:color w:val="FFFFFF"/>
                <w:sz w:val="17"/>
              </w:rPr>
              <w:t>Inhalt</w:t>
            </w:r>
          </w:p>
        </w:tc>
      </w:tr>
      <w:tr>
        <w:tc>
          <w:tcPr>
            <w:tcW w:type="dxa" w:w="2088"/>
            <w:vAlign w:val="center"/>
            <w:tcMar>
              <w:top w:w="90" w:type="dxa"/>
              <w:start w:w="100" w:type="dxa"/>
              <w:bottom w:w="90" w:type="dxa"/>
              <w:end w:w="100" w:type="dxa"/>
            </w:tcMar>
            <w:shd w:fill="FFFFFF"/>
          </w:tcPr>
          <w:p>
            <w:pPr>
              <w:spacing w:after="0"/>
            </w:pPr>
            <w:r>
              <w:rPr>
                <w:rFonts w:ascii="Helvetica Neue" w:hAnsi="Helvetica Neue"/>
                <w:color w:val="000000"/>
                <w:sz w:val="16"/>
              </w:rPr>
              <w:t>Projekt</w:t>
            </w:r>
          </w:p>
        </w:tc>
        <w:tc>
          <w:tcPr>
            <w:tcW w:type="dxa" w:w="7416"/>
            <w:vAlign w:val="center"/>
            <w:tcMar>
              <w:top w:w="90" w:type="dxa"/>
              <w:start w:w="100" w:type="dxa"/>
              <w:bottom w:w="90" w:type="dxa"/>
              <w:end w:w="100" w:type="dxa"/>
            </w:tcMar>
            <w:shd w:fill="FFFFFF"/>
          </w:tcPr>
          <w:p>
            <w:pPr>
              <w:spacing w:after="0"/>
            </w:pPr>
            <w:r>
              <w:rPr>
                <w:rFonts w:ascii="Helvetica Neue" w:hAnsi="Helvetica Neue"/>
                <w:color w:val="000000"/>
                <w:sz w:val="16"/>
              </w:rPr>
              <w:t>Interaktive Visual-Analytics-Anwendung mit Elm</w:t>
            </w:r>
          </w:p>
        </w:tc>
      </w:tr>
      <w:tr>
        <w:tc>
          <w:tcPr>
            <w:tcW w:type="dxa" w:w="2088"/>
            <w:vAlign w:val="center"/>
            <w:tcMar>
              <w:top w:w="90" w:type="dxa"/>
              <w:start w:w="100" w:type="dxa"/>
              <w:bottom w:w="90" w:type="dxa"/>
              <w:end w:w="100" w:type="dxa"/>
            </w:tcMar>
            <w:shd w:fill="EAF2F8"/>
          </w:tcPr>
          <w:p>
            <w:pPr>
              <w:spacing w:after="0"/>
            </w:pPr>
            <w:r>
              <w:rPr>
                <w:rFonts w:ascii="Helvetica Neue" w:hAnsi="Helvetica Neue"/>
                <w:color w:val="000000"/>
                <w:sz w:val="16"/>
              </w:rPr>
              <w:t>Forschungsfrage</w:t>
            </w:r>
          </w:p>
        </w:tc>
        <w:tc>
          <w:tcPr>
            <w:tcW w:type="dxa" w:w="7416"/>
            <w:vAlign w:val="center"/>
            <w:tcMar>
              <w:top w:w="90" w:type="dxa"/>
              <w:start w:w="100" w:type="dxa"/>
              <w:bottom w:w="90" w:type="dxa"/>
              <w:end w:w="100" w:type="dxa"/>
            </w:tcMar>
            <w:shd w:fill="EAF2F8"/>
          </w:tcPr>
          <w:p>
            <w:pPr>
              <w:spacing w:after="0"/>
            </w:pPr>
            <w:r>
              <w:rPr>
                <w:rFonts w:ascii="Helvetica Neue" w:hAnsi="Helvetica Neue"/>
                <w:color w:val="000000"/>
                <w:sz w:val="16"/>
              </w:rPr>
              <w:t>Wann ist Deutschland Stromimporteur oder Stromexporteur und wie hängen Flüsse, Erzeugungsmix und Preise zusammen</w:t>
            </w:r>
          </w:p>
        </w:tc>
      </w:tr>
      <w:tr>
        <w:tc>
          <w:tcPr>
            <w:tcW w:type="dxa" w:w="2088"/>
            <w:vAlign w:val="center"/>
            <w:tcMar>
              <w:top w:w="90" w:type="dxa"/>
              <w:start w:w="100" w:type="dxa"/>
              <w:bottom w:w="90" w:type="dxa"/>
              <w:end w:w="100" w:type="dxa"/>
            </w:tcMar>
            <w:shd w:fill="FFFFFF"/>
          </w:tcPr>
          <w:p>
            <w:pPr>
              <w:spacing w:after="0"/>
            </w:pPr>
            <w:r>
              <w:rPr>
                <w:rFonts w:ascii="Helvetica Neue" w:hAnsi="Helvetica Neue"/>
                <w:color w:val="000000"/>
                <w:sz w:val="16"/>
              </w:rPr>
              <w:t>Datengrundlage</w:t>
            </w:r>
          </w:p>
        </w:tc>
        <w:tc>
          <w:tcPr>
            <w:tcW w:type="dxa" w:w="7416"/>
            <w:vAlign w:val="center"/>
            <w:tcMar>
              <w:top w:w="90" w:type="dxa"/>
              <w:start w:w="100" w:type="dxa"/>
              <w:bottom w:w="90" w:type="dxa"/>
              <w:end w:w="100" w:type="dxa"/>
            </w:tcMar>
            <w:shd w:fill="FFFFFF"/>
          </w:tcPr>
          <w:p>
            <w:pPr>
              <w:spacing w:after="0"/>
            </w:pPr>
            <w:r>
              <w:rPr>
                <w:rFonts w:ascii="Helvetica Neue" w:hAnsi="Helvetica Neue"/>
                <w:color w:val="000000"/>
                <w:sz w:val="16"/>
              </w:rPr>
              <w:t>Energy-Charts-Daten für Mai 2025 mit 744 Stunden und elf Partnerländern</w:t>
            </w:r>
          </w:p>
        </w:tc>
      </w:tr>
      <w:tr>
        <w:tc>
          <w:tcPr>
            <w:tcW w:type="dxa" w:w="2088"/>
            <w:vAlign w:val="center"/>
            <w:tcMar>
              <w:top w:w="90" w:type="dxa"/>
              <w:start w:w="100" w:type="dxa"/>
              <w:bottom w:w="90" w:type="dxa"/>
              <w:end w:w="100" w:type="dxa"/>
            </w:tcMar>
            <w:shd w:fill="EAF2F8"/>
          </w:tcPr>
          <w:p>
            <w:pPr>
              <w:spacing w:after="0"/>
            </w:pPr>
            <w:r>
              <w:rPr>
                <w:rFonts w:ascii="Helvetica Neue" w:hAnsi="Helvetica Neue"/>
                <w:color w:val="000000"/>
                <w:sz w:val="16"/>
              </w:rPr>
              <w:t>Zweck</w:t>
            </w:r>
          </w:p>
        </w:tc>
        <w:tc>
          <w:tcPr>
            <w:tcW w:type="dxa" w:w="7416"/>
            <w:vAlign w:val="center"/>
            <w:tcMar>
              <w:top w:w="90" w:type="dxa"/>
              <w:start w:w="100" w:type="dxa"/>
              <w:bottom w:w="90" w:type="dxa"/>
              <w:end w:w="100" w:type="dxa"/>
            </w:tcMar>
            <w:shd w:fill="EAF2F8"/>
          </w:tcPr>
          <w:p>
            <w:pPr>
              <w:spacing w:after="0"/>
            </w:pPr>
            <w:r>
              <w:rPr>
                <w:rFonts w:ascii="Helvetica Neue" w:hAnsi="Helvetica Neue"/>
                <w:color w:val="000000"/>
                <w:sz w:val="16"/>
              </w:rPr>
              <w:t>Sprechtext, Vorführhinweise, Codeerklärung und Antworten auf Rückfragen</w:t>
            </w:r>
          </w:p>
        </w:tc>
      </w:tr>
    </w:tbl>
    <w:p>
      <w:pPr>
        <w:spacing w:after="20"/>
      </w:pPr>
    </w:p>
    <w:p>
      <w:pPr>
        <w:spacing w:before="440"/>
      </w:pPr>
      <w:r>
        <w:rPr>
          <w:rFonts w:ascii="Helvetica Neue" w:hAnsi="Helvetica Neue"/>
          <w:b/>
          <w:color w:val="5B7085"/>
          <w:sz w:val="19"/>
        </w:rPr>
        <w:t>Kernaussage</w:t>
      </w:r>
    </w:p>
    <w:p>
      <w:pPr>
        <w:keepLines w:val="0"/>
      </w:pPr>
      <w:r>
        <w:rPr>
          <w:rFonts w:ascii="Helvetica Neue" w:hAnsi="Helvetica Neue"/>
          <w:color w:val="000000"/>
          <w:sz w:val="19"/>
        </w:rPr>
        <w:t>Die Anwendung verbindet Netzwerkgraph, Zeitreihe und Pixelmatrix über einen gemeinsamen Elm-Zustand. Dadurch führt eine Auswahl direkt von einem Überblick zu den zugehörigen absoluten Werten, ohne physische Flüsse, Handel und Preis gleichzusetzen.</w:t>
      </w:r>
    </w:p>
    <w:p>
      <w:pPr>
        <w:pStyle w:val="Heading1"/>
        <w:keepNext/>
        <w:pageBreakBefore/>
      </w:pPr>
      <w:r>
        <w:t>Überblick und Zeitplan</w:t>
      </w:r>
    </w:p>
    <w:p>
      <w:pPr>
        <w:keepLines w:val="0"/>
      </w:pPr>
      <w:r>
        <w:rPr>
          <w:rFonts w:ascii="Helvetica Neue" w:hAnsi="Helvetica Neue"/>
          <w:color w:val="000000"/>
          <w:sz w:val="19"/>
        </w:rPr>
        <w:t>Die normalen Absätze sind als Sprechtext formuliert. Kursiv gesetzte Hinweise beginnen mit Zeigen und beschreiben, was währenddessen auf einer Folie oder in der Anwendung sichtbar sein sollte. Codeblöcke müssen nicht vollständig vorgelesen werden; im Vortrag genügt die Erklärung direkt darunter.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656"/>
            <w:vAlign w:val="center"/>
            <w:shd w:fill="082A4A"/>
            <w:tcMar>
              <w:top w:w="90" w:type="dxa"/>
              <w:start w:w="100" w:type="dxa"/>
              <w:bottom w:w="90" w:type="dxa"/>
              <w:end w:w="100" w:type="dxa"/>
            </w:tcMar>
          </w:tcPr>
          <w:p>
            <w:pPr>
              <w:spacing w:after="0"/>
            </w:pPr>
            <w:r>
              <w:rPr>
                <w:rFonts w:ascii="Helvetica Neue" w:hAnsi="Helvetica Neue"/>
                <w:b/>
                <w:color w:val="FFFFFF"/>
                <w:sz w:val="17"/>
              </w:rPr>
              <w:t>Zeit</w:t>
            </w:r>
          </w:p>
        </w:tc>
        <w:tc>
          <w:tcPr>
            <w:tcW w:type="dxa" w:w="2952"/>
            <w:vAlign w:val="center"/>
            <w:shd w:fill="082A4A"/>
            <w:tcMar>
              <w:top w:w="90" w:type="dxa"/>
              <w:start w:w="100" w:type="dxa"/>
              <w:bottom w:w="90" w:type="dxa"/>
              <w:end w:w="100" w:type="dxa"/>
            </w:tcMar>
          </w:tcPr>
          <w:p>
            <w:pPr>
              <w:spacing w:after="0"/>
            </w:pPr>
            <w:r>
              <w:rPr>
                <w:rFonts w:ascii="Helvetica Neue" w:hAnsi="Helvetica Neue"/>
                <w:b/>
                <w:color w:val="FFFFFF"/>
                <w:sz w:val="17"/>
              </w:rPr>
              <w:t>Abschnitt</w:t>
            </w:r>
          </w:p>
        </w:tc>
        <w:tc>
          <w:tcPr>
            <w:tcW w:type="dxa" w:w="4896"/>
            <w:vAlign w:val="center"/>
            <w:shd w:fill="082A4A"/>
            <w:tcMar>
              <w:top w:w="90" w:type="dxa"/>
              <w:start w:w="100" w:type="dxa"/>
              <w:bottom w:w="90" w:type="dxa"/>
              <w:end w:w="100" w:type="dxa"/>
            </w:tcMar>
          </w:tcPr>
          <w:p>
            <w:pPr>
              <w:spacing w:after="0"/>
            </w:pPr>
            <w:r>
              <w:rPr>
                <w:rFonts w:ascii="Helvetica Neue" w:hAnsi="Helvetica Neue"/>
                <w:b/>
                <w:color w:val="FFFFFF"/>
                <w:sz w:val="17"/>
              </w:rPr>
              <w:t>Ziel</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0:00 bis 1:30</w:t>
            </w:r>
          </w:p>
        </w:tc>
        <w:tc>
          <w:tcPr>
            <w:tcW w:type="dxa" w:w="2952"/>
            <w:vAlign w:val="center"/>
            <w:tcMar>
              <w:top w:w="90" w:type="dxa"/>
              <w:start w:w="100" w:type="dxa"/>
              <w:bottom w:w="90" w:type="dxa"/>
              <w:end w:w="100" w:type="dxa"/>
            </w:tcMar>
            <w:shd w:fill="FFFFFF"/>
          </w:tcPr>
          <w:p>
            <w:pPr>
              <w:spacing w:after="0"/>
            </w:pPr>
            <w:r>
              <w:rPr>
                <w:rFonts w:ascii="Helvetica Neue" w:hAnsi="Helvetica Neue"/>
                <w:color w:val="000000"/>
                <w:sz w:val="16"/>
              </w:rPr>
              <w:t>Einstieg und Leitfrage</w:t>
            </w:r>
          </w:p>
        </w:tc>
        <w:tc>
          <w:tcPr>
            <w:tcW w:type="dxa" w:w="4896"/>
            <w:vAlign w:val="center"/>
            <w:tcMar>
              <w:top w:w="90" w:type="dxa"/>
              <w:start w:w="100" w:type="dxa"/>
              <w:bottom w:w="90" w:type="dxa"/>
              <w:end w:w="100" w:type="dxa"/>
            </w:tcMar>
            <w:shd w:fill="FFFFFF"/>
          </w:tcPr>
          <w:p>
            <w:pPr>
              <w:spacing w:after="0"/>
            </w:pPr>
            <w:r>
              <w:rPr>
                <w:rFonts w:ascii="Helvetica Neue" w:hAnsi="Helvetica Neue"/>
                <w:color w:val="000000"/>
                <w:sz w:val="16"/>
              </w:rPr>
              <w:t>Problem und Forschungsfrage verständlich machen</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1:30 bis 3:30</w:t>
            </w:r>
          </w:p>
        </w:tc>
        <w:tc>
          <w:tcPr>
            <w:tcW w:type="dxa" w:w="2952"/>
            <w:vAlign w:val="center"/>
            <w:tcMar>
              <w:top w:w="90" w:type="dxa"/>
              <w:start w:w="100" w:type="dxa"/>
              <w:bottom w:w="90" w:type="dxa"/>
              <w:end w:w="100" w:type="dxa"/>
            </w:tcMar>
            <w:shd w:fill="EAF2F8"/>
          </w:tcPr>
          <w:p>
            <w:pPr>
              <w:spacing w:after="0"/>
            </w:pPr>
            <w:r>
              <w:rPr>
                <w:rFonts w:ascii="Helvetica Neue" w:hAnsi="Helvetica Neue"/>
                <w:color w:val="000000"/>
                <w:sz w:val="16"/>
              </w:rPr>
              <w:t>Daten und Einheiten</w:t>
            </w:r>
          </w:p>
        </w:tc>
        <w:tc>
          <w:tcPr>
            <w:tcW w:type="dxa" w:w="4896"/>
            <w:vAlign w:val="center"/>
            <w:tcMar>
              <w:top w:w="90" w:type="dxa"/>
              <w:start w:w="100" w:type="dxa"/>
              <w:bottom w:w="90" w:type="dxa"/>
              <w:end w:w="100" w:type="dxa"/>
            </w:tcMar>
            <w:shd w:fill="EAF2F8"/>
          </w:tcPr>
          <w:p>
            <w:pPr>
              <w:spacing w:after="0"/>
            </w:pPr>
            <w:r>
              <w:rPr>
                <w:rFonts w:ascii="Helvetica Neue" w:hAnsi="Helvetica Neue"/>
                <w:color w:val="000000"/>
                <w:sz w:val="16"/>
              </w:rPr>
              <w:t>Quelle, Views, Zeitraum und Vorzeichen erklären</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3:30 bis 5:00</w:t>
            </w:r>
          </w:p>
        </w:tc>
        <w:tc>
          <w:tcPr>
            <w:tcW w:type="dxa" w:w="2952"/>
            <w:vAlign w:val="center"/>
            <w:tcMar>
              <w:top w:w="90" w:type="dxa"/>
              <w:start w:w="100" w:type="dxa"/>
              <w:bottom w:w="90" w:type="dxa"/>
              <w:end w:w="100" w:type="dxa"/>
            </w:tcMar>
            <w:shd w:fill="FFFFFF"/>
          </w:tcPr>
          <w:p>
            <w:pPr>
              <w:spacing w:after="0"/>
            </w:pPr>
            <w:r>
              <w:rPr>
                <w:rFonts w:ascii="Helvetica Neue" w:hAnsi="Helvetica Neue"/>
                <w:color w:val="000000"/>
                <w:sz w:val="16"/>
              </w:rPr>
              <w:t>Aufgaben und Entwurf</w:t>
            </w:r>
          </w:p>
        </w:tc>
        <w:tc>
          <w:tcPr>
            <w:tcW w:type="dxa" w:w="4896"/>
            <w:vAlign w:val="center"/>
            <w:tcMar>
              <w:top w:w="90" w:type="dxa"/>
              <w:start w:w="100" w:type="dxa"/>
              <w:bottom w:w="90" w:type="dxa"/>
              <w:end w:w="100" w:type="dxa"/>
            </w:tcMar>
            <w:shd w:fill="FFFFFF"/>
          </w:tcPr>
          <w:p>
            <w:pPr>
              <w:spacing w:after="0"/>
            </w:pPr>
            <w:r>
              <w:rPr>
                <w:rFonts w:ascii="Helvetica Neue" w:hAnsi="Helvetica Neue"/>
                <w:color w:val="000000"/>
                <w:sz w:val="16"/>
              </w:rPr>
              <w:t>Auswahl der drei Darstellungen begründen</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5:00 bis 9:30</w:t>
            </w:r>
          </w:p>
        </w:tc>
        <w:tc>
          <w:tcPr>
            <w:tcW w:type="dxa" w:w="2952"/>
            <w:vAlign w:val="center"/>
            <w:tcMar>
              <w:top w:w="90" w:type="dxa"/>
              <w:start w:w="100" w:type="dxa"/>
              <w:bottom w:w="90" w:type="dxa"/>
              <w:end w:w="100" w:type="dxa"/>
            </w:tcMar>
            <w:shd w:fill="EAF2F8"/>
          </w:tcPr>
          <w:p>
            <w:pPr>
              <w:spacing w:after="0"/>
            </w:pPr>
            <w:r>
              <w:rPr>
                <w:rFonts w:ascii="Helvetica Neue" w:hAnsi="Helvetica Neue"/>
                <w:color w:val="000000"/>
                <w:sz w:val="16"/>
              </w:rPr>
              <w:t>Drei Visualisierungen</w:t>
            </w:r>
          </w:p>
        </w:tc>
        <w:tc>
          <w:tcPr>
            <w:tcW w:type="dxa" w:w="4896"/>
            <w:vAlign w:val="center"/>
            <w:tcMar>
              <w:top w:w="90" w:type="dxa"/>
              <w:start w:w="100" w:type="dxa"/>
              <w:bottom w:w="90" w:type="dxa"/>
              <w:end w:w="100" w:type="dxa"/>
            </w:tcMar>
            <w:shd w:fill="EAF2F8"/>
          </w:tcPr>
          <w:p>
            <w:pPr>
              <w:spacing w:after="0"/>
            </w:pPr>
            <w:r>
              <w:rPr>
                <w:rFonts w:ascii="Helvetica Neue" w:hAnsi="Helvetica Neue"/>
                <w:color w:val="000000"/>
                <w:sz w:val="16"/>
              </w:rPr>
              <w:t>Kodierungen und Nutzen zeigen</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9:30 bis 11:00</w:t>
            </w:r>
          </w:p>
        </w:tc>
        <w:tc>
          <w:tcPr>
            <w:tcW w:type="dxa" w:w="2952"/>
            <w:vAlign w:val="center"/>
            <w:tcMar>
              <w:top w:w="90" w:type="dxa"/>
              <w:start w:w="100" w:type="dxa"/>
              <w:bottom w:w="90" w:type="dxa"/>
              <w:end w:w="100" w:type="dxa"/>
            </w:tcMar>
            <w:shd w:fill="FFFFFF"/>
          </w:tcPr>
          <w:p>
            <w:pPr>
              <w:spacing w:after="0"/>
            </w:pPr>
            <w:r>
              <w:rPr>
                <w:rFonts w:ascii="Helvetica Neue" w:hAnsi="Helvetica Neue"/>
                <w:color w:val="000000"/>
                <w:sz w:val="16"/>
              </w:rPr>
              <w:t>Interaktion</w:t>
            </w:r>
          </w:p>
        </w:tc>
        <w:tc>
          <w:tcPr>
            <w:tcW w:type="dxa" w:w="4896"/>
            <w:vAlign w:val="center"/>
            <w:tcMar>
              <w:top w:w="90" w:type="dxa"/>
              <w:start w:w="100" w:type="dxa"/>
              <w:bottom w:w="90" w:type="dxa"/>
              <w:end w:w="100" w:type="dxa"/>
            </w:tcMar>
            <w:shd w:fill="FFFFFF"/>
          </w:tcPr>
          <w:p>
            <w:pPr>
              <w:spacing w:after="0"/>
            </w:pPr>
            <w:r>
              <w:rPr>
                <w:rFonts w:ascii="Helvetica Neue" w:hAnsi="Helvetica Neue"/>
                <w:color w:val="000000"/>
                <w:sz w:val="16"/>
              </w:rPr>
              <w:t>Kopplung und Bedienung demonstrieren</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11:00 bis 14:30</w:t>
            </w:r>
          </w:p>
        </w:tc>
        <w:tc>
          <w:tcPr>
            <w:tcW w:type="dxa" w:w="2952"/>
            <w:vAlign w:val="center"/>
            <w:tcMar>
              <w:top w:w="90" w:type="dxa"/>
              <w:start w:w="100" w:type="dxa"/>
              <w:bottom w:w="90" w:type="dxa"/>
              <w:end w:w="100" w:type="dxa"/>
            </w:tcMar>
            <w:shd w:fill="EAF2F8"/>
          </w:tcPr>
          <w:p>
            <w:pPr>
              <w:spacing w:after="0"/>
            </w:pPr>
            <w:r>
              <w:rPr>
                <w:rFonts w:ascii="Helvetica Neue" w:hAnsi="Helvetica Neue"/>
                <w:color w:val="000000"/>
                <w:sz w:val="16"/>
              </w:rPr>
              <w:t>Elm-Implementierung</w:t>
            </w:r>
          </w:p>
        </w:tc>
        <w:tc>
          <w:tcPr>
            <w:tcW w:type="dxa" w:w="4896"/>
            <w:vAlign w:val="center"/>
            <w:tcMar>
              <w:top w:w="90" w:type="dxa"/>
              <w:start w:w="100" w:type="dxa"/>
              <w:bottom w:w="90" w:type="dxa"/>
              <w:end w:w="100" w:type="dxa"/>
            </w:tcMar>
            <w:shd w:fill="EAF2F8"/>
          </w:tcPr>
          <w:p>
            <w:pPr>
              <w:spacing w:after="0"/>
            </w:pPr>
            <w:r>
              <w:rPr>
                <w:rFonts w:ascii="Helvetica Neue" w:hAnsi="Helvetica Neue"/>
                <w:color w:val="000000"/>
                <w:sz w:val="16"/>
              </w:rPr>
              <w:t>Architektur und zentrale Codeideen erklären</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14:30 bis 17:30</w:t>
            </w:r>
          </w:p>
        </w:tc>
        <w:tc>
          <w:tcPr>
            <w:tcW w:type="dxa" w:w="2952"/>
            <w:vAlign w:val="center"/>
            <w:tcMar>
              <w:top w:w="90" w:type="dxa"/>
              <w:start w:w="100" w:type="dxa"/>
              <w:bottom w:w="90" w:type="dxa"/>
              <w:end w:w="100" w:type="dxa"/>
            </w:tcMar>
            <w:shd w:fill="FFFFFF"/>
          </w:tcPr>
          <w:p>
            <w:pPr>
              <w:spacing w:after="0"/>
            </w:pPr>
            <w:r>
              <w:rPr>
                <w:rFonts w:ascii="Helvetica Neue" w:hAnsi="Helvetica Neue"/>
                <w:color w:val="000000"/>
                <w:sz w:val="16"/>
              </w:rPr>
              <w:t>Fallanalysen</w:t>
            </w:r>
          </w:p>
        </w:tc>
        <w:tc>
          <w:tcPr>
            <w:tcW w:type="dxa" w:w="4896"/>
            <w:vAlign w:val="center"/>
            <w:tcMar>
              <w:top w:w="90" w:type="dxa"/>
              <w:start w:w="100" w:type="dxa"/>
              <w:bottom w:w="90" w:type="dxa"/>
              <w:end w:w="100" w:type="dxa"/>
            </w:tcMar>
            <w:shd w:fill="FFFFFF"/>
          </w:tcPr>
          <w:p>
            <w:pPr>
              <w:spacing w:after="0"/>
            </w:pPr>
            <w:r>
              <w:rPr>
                <w:rFonts w:ascii="Helvetica Neue" w:hAnsi="Helvetica Neue"/>
                <w:color w:val="000000"/>
                <w:sz w:val="16"/>
              </w:rPr>
              <w:t>Konkrete Ergebnisse mit Zahlen zeigen</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17:30 bis 19:00</w:t>
            </w:r>
          </w:p>
        </w:tc>
        <w:tc>
          <w:tcPr>
            <w:tcW w:type="dxa" w:w="2952"/>
            <w:vAlign w:val="center"/>
            <w:tcMar>
              <w:top w:w="90" w:type="dxa"/>
              <w:start w:w="100" w:type="dxa"/>
              <w:bottom w:w="90" w:type="dxa"/>
              <w:end w:w="100" w:type="dxa"/>
            </w:tcMar>
            <w:shd w:fill="EAF2F8"/>
          </w:tcPr>
          <w:p>
            <w:pPr>
              <w:spacing w:after="0"/>
            </w:pPr>
            <w:r>
              <w:rPr>
                <w:rFonts w:ascii="Helvetica Neue" w:hAnsi="Helvetica Neue"/>
                <w:color w:val="000000"/>
                <w:sz w:val="16"/>
              </w:rPr>
              <w:t>Grenzen und Fazit</w:t>
            </w:r>
          </w:p>
        </w:tc>
        <w:tc>
          <w:tcPr>
            <w:tcW w:type="dxa" w:w="4896"/>
            <w:vAlign w:val="center"/>
            <w:tcMar>
              <w:top w:w="90" w:type="dxa"/>
              <w:start w:w="100" w:type="dxa"/>
              <w:bottom w:w="90" w:type="dxa"/>
              <w:end w:w="100" w:type="dxa"/>
            </w:tcMar>
            <w:shd w:fill="EAF2F8"/>
          </w:tcPr>
          <w:p>
            <w:pPr>
              <w:spacing w:after="0"/>
            </w:pPr>
            <w:r>
              <w:rPr>
                <w:rFonts w:ascii="Helvetica Neue" w:hAnsi="Helvetica Neue"/>
                <w:color w:val="000000"/>
                <w:sz w:val="16"/>
              </w:rPr>
              <w:t>Aussagekraft einordnen und abschließen</w:t>
            </w:r>
          </w:p>
        </w:tc>
      </w:tr>
    </w:tbl>
    <w:p>
      <w:pPr>
        <w:spacing w:after="20"/>
      </w:pPr>
    </w:p>
    <w:p>
      <w:pPr>
        <w:pStyle w:val="Heading2"/>
        <w:keepNext/>
        <w:pageBreakBefore w:val="0"/>
      </w:pPr>
      <w:r>
        <w:t>Wenn weniger Zeit zur Verfügung steht</w:t>
      </w:r>
    </w:p>
    <w:p>
      <w:pPr>
        <w:keepLines w:val="0"/>
      </w:pPr>
      <w:r>
        <w:rPr>
          <w:rFonts w:ascii="Helvetica Neue" w:hAnsi="Helvetica Neue"/>
          <w:color w:val="000000"/>
          <w:sz w:val="19"/>
        </w:rPr>
        <w:t>Bei ungefähr 12 Minuten kürze ich die Codeerklärung auf State, Msg und SelectCell. Die Detailformeln für Linienbreite und Matrixfarbe sowie die Einordnung verwandter Arbeiten lasse ich dann weg. Forschungsfrage, Daten, alle drei Ansichten, ein Interaktionsbeispiel, die drei wichtigsten Ergebnisse und die Grenzen bleiben erhalten.</w:t>
      </w:r>
    </w:p>
    <w:p>
      <w:pPr>
        <w:pStyle w:val="Heading1"/>
        <w:keepNext/>
        <w:pageBreakBefore/>
      </w:pPr>
      <w:r>
        <w:t>1 Einstieg und Forschungsfrage</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Titelfolie mit Projekttitel und anschließend die Gesamtansicht der Anwendung</w:t>
      </w:r>
    </w:p>
    <w:p>
      <w:pPr>
        <w:keepLines w:val="0"/>
      </w:pPr>
      <w:r>
        <w:rPr>
          <w:rFonts w:ascii="Helvetica Neue" w:hAnsi="Helvetica Neue"/>
          <w:color w:val="000000"/>
          <w:sz w:val="19"/>
        </w:rPr>
        <w:t>Guten Tag, ich stelle heute mein Visualisierungsprojekt Deutschlands Rolle im europäischen Stromnetz vor. Die Anwendung ist vollständig in Elm umgesetzt und verbindet drei interaktive Darstellungen. Untersucht werden physische Stromflüsse zwischen Deutschland und elf Partnerländern, der deutsche Erzeugungsmix und der Day-Ahead-Strompreis.</w:t>
      </w:r>
    </w:p>
    <w:p>
      <w:pPr>
        <w:keepLines w:val="0"/>
      </w:pPr>
      <w:r>
        <w:rPr>
          <w:rFonts w:ascii="Helvetica Neue" w:hAnsi="Helvetica Neue"/>
          <w:color w:val="000000"/>
          <w:sz w:val="19"/>
        </w:rPr>
        <w:t>Der Ausgangspunkt ist, dass Deutschland in jeder Stunde eine andere Rolle einnehmen kann. Gegenüber einem Land kann Deutschland Strom importieren, gegenüber einem anderen gleichzeitig exportieren. Zusätzlich können sich die Richtung des Handels und die Richtung des gemessenen physischen Flusses unterscheiden. Eine einzelne Kennzahl reicht deshalb nicht aus.</w:t>
      </w:r>
    </w:p>
    <w:p>
      <w:pPr>
        <w:keepLines w:val="0"/>
      </w:pPr>
      <w:r>
        <w:rPr>
          <w:rFonts w:ascii="Helvetica Neue" w:hAnsi="Helvetica Neue"/>
          <w:b/>
          <w:color w:val="000000"/>
          <w:sz w:val="19"/>
        </w:rPr>
        <w:t xml:space="preserve">Meine Forschungsfrage lautet: </w:t>
      </w:r>
      <w:r>
        <w:rPr>
          <w:rFonts w:ascii="Helvetica Neue" w:hAnsi="Helvetica Neue"/>
          <w:color w:val="000000"/>
          <w:sz w:val="19"/>
        </w:rPr>
        <w:t>Wann ist Deutschland Stromimporteur oder Stromexporteur, mit welchen Ländern findet der physische Austausch statt und wie hängen diese Flüsse mit dem Erzeugungsmix und den Preisen zusammen?</w:t>
      </w:r>
    </w:p>
    <w:p>
      <w:pPr>
        <w:keepLines w:val="0"/>
      </w:pPr>
      <w:r>
        <w:rPr>
          <w:rFonts w:ascii="Helvetica Neue" w:hAnsi="Helvetica Neue"/>
          <w:color w:val="000000"/>
          <w:sz w:val="19"/>
        </w:rPr>
        <w:t>Das Ziel ist kein automatisches Erklärungsmodell. Die Anwendung soll auffällige Stunden und Zeiträume sichtbar machen und anschließend die absoluten Werte liefern, mit denen eine Vermutung überprüft werden kann.</w:t>
      </w:r>
    </w:p>
    <w:p>
      <w:pPr>
        <w:keepNext/>
        <w:jc w:val="center"/>
      </w:pPr>
      <w:r>
        <w:drawing>
          <wp:inline>
            <wp:extent cx="6080760" cy="7302210"/>
            <wp:docPr id="1" name="Picture 1" descr="Gesamtansicht der Elm-Anwendung mit drei interaktiv verbundenen Visualisierungen"/>
            <wp:cNvGraphicFramePr>
              <a:graphicFrameLocks noChangeAspect="1"/>
            </wp:cNvGraphicFramePr>
            <a:graphic>
              <a:graphicData uri="http://schemas.openxmlformats.org/drawingml/2006/picture">
                <pic:pic>
                  <pic:nvPicPr>
                    <pic:cNvPr id="0" name="01_uebersicht.png"/>
                    <pic:cNvPicPr/>
                  </pic:nvPicPr>
                  <pic:blipFill>
                    <a:blip r:embed="rId7"/>
                    <a:stretch>
                      <a:fillRect/>
                    </a:stretch>
                  </pic:blipFill>
                  <pic:spPr>
                    <a:xfrm>
                      <a:off x="0" y="0"/>
                      <a:ext cx="6080760" cy="7302210"/>
                    </a:xfrm>
                    <a:prstGeom prst="rect"/>
                  </pic:spPr>
                </pic:pic>
              </a:graphicData>
            </a:graphic>
          </wp:inline>
        </w:drawing>
      </w:r>
    </w:p>
    <w:p>
      <w:pPr>
        <w:keepLines/>
        <w:spacing w:after="140"/>
        <w:jc w:val="center"/>
      </w:pPr>
      <w:r>
        <w:rPr>
          <w:rFonts w:ascii="Helvetica Neue" w:hAnsi="Helvetica Neue"/>
          <w:i/>
          <w:color w:val="5B7085"/>
          <w:sz w:val="16"/>
        </w:rPr>
        <w:t>Gesamtansicht mit Netzwerkgraph, Zeitreihe und Pixelmatrix</w:t>
      </w:r>
    </w:p>
    <w:p>
      <w:pPr>
        <w:pStyle w:val="Heading1"/>
        <w:keepNext/>
        <w:pageBreakBefore/>
      </w:pPr>
      <w:r>
        <w:t>2 Daten und Einheiten</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Tabelle mit den vier verwendeten PostgreSQL-Views</w:t>
      </w:r>
    </w:p>
    <w:p>
      <w:pPr>
        <w:keepLines w:val="0"/>
      </w:pPr>
      <w:r>
        <w:rPr>
          <w:rFonts w:ascii="Helvetica Neue" w:hAnsi="Helvetica Neue"/>
          <w:color w:val="000000"/>
          <w:sz w:val="19"/>
        </w:rPr>
        <w:t>Als Datengrundlage verwende ich Energy-Charts-Daten. Die Veranstaltung stellt Kopien der API-Daten als PostgreSQL-Views im Schema energycharts bereit. Das Exportskript fragt diese Views über PostgREST ab, begrenzt jede Anfrage und paginiert größere Ergebnismengen.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656"/>
            <w:vAlign w:val="center"/>
            <w:shd w:fill="082A4A"/>
            <w:tcMar>
              <w:top w:w="90" w:type="dxa"/>
              <w:start w:w="100" w:type="dxa"/>
              <w:bottom w:w="90" w:type="dxa"/>
              <w:end w:w="100" w:type="dxa"/>
            </w:tcMar>
          </w:tcPr>
          <w:p>
            <w:pPr>
              <w:spacing w:after="0"/>
            </w:pPr>
            <w:r>
              <w:rPr>
                <w:rFonts w:ascii="Helvetica Neue" w:hAnsi="Helvetica Neue"/>
                <w:b/>
                <w:color w:val="FFFFFF"/>
                <w:sz w:val="17"/>
              </w:rPr>
              <w:t>View</w:t>
            </w:r>
          </w:p>
        </w:tc>
        <w:tc>
          <w:tcPr>
            <w:tcW w:type="dxa" w:w="6264"/>
            <w:vAlign w:val="center"/>
            <w:shd w:fill="082A4A"/>
            <w:tcMar>
              <w:top w:w="90" w:type="dxa"/>
              <w:start w:w="100" w:type="dxa"/>
              <w:bottom w:w="90" w:type="dxa"/>
              <w:end w:w="100" w:type="dxa"/>
            </w:tcMar>
          </w:tcPr>
          <w:p>
            <w:pPr>
              <w:spacing w:after="0"/>
            </w:pPr>
            <w:r>
              <w:rPr>
                <w:rFonts w:ascii="Helvetica Neue" w:hAnsi="Helvetica Neue"/>
                <w:b/>
                <w:color w:val="FFFFFF"/>
                <w:sz w:val="17"/>
              </w:rPr>
              <w:t>Bedeutung</w:t>
            </w:r>
          </w:p>
        </w:tc>
        <w:tc>
          <w:tcPr>
            <w:tcW w:type="dxa" w:w="1728"/>
            <w:vAlign w:val="center"/>
            <w:shd w:fill="082A4A"/>
            <w:tcMar>
              <w:top w:w="90" w:type="dxa"/>
              <w:start w:w="100" w:type="dxa"/>
              <w:bottom w:w="90" w:type="dxa"/>
              <w:end w:w="100" w:type="dxa"/>
            </w:tcMar>
          </w:tcPr>
          <w:p>
            <w:pPr>
              <w:spacing w:after="0"/>
            </w:pPr>
            <w:r>
              <w:rPr>
                <w:rFonts w:ascii="Helvetica Neue" w:hAnsi="Helvetica Neue"/>
                <w:b/>
                <w:color w:val="FFFFFF"/>
                <w:sz w:val="17"/>
              </w:rPr>
              <w:t>Einheit</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v_cbpf</w:t>
            </w:r>
          </w:p>
        </w:tc>
        <w:tc>
          <w:tcPr>
            <w:tcW w:type="dxa" w:w="6264"/>
            <w:vAlign w:val="center"/>
            <w:tcMar>
              <w:top w:w="90" w:type="dxa"/>
              <w:start w:w="100" w:type="dxa"/>
              <w:bottom w:w="90" w:type="dxa"/>
              <w:end w:w="100" w:type="dxa"/>
            </w:tcMar>
            <w:shd w:fill="FFFFFF"/>
          </w:tcPr>
          <w:p>
            <w:pPr>
              <w:spacing w:after="0"/>
            </w:pPr>
            <w:r>
              <w:rPr>
                <w:rFonts w:ascii="Helvetica Neue" w:hAnsi="Helvetica Neue"/>
                <w:color w:val="000000"/>
                <w:sz w:val="16"/>
              </w:rPr>
              <w:t>Bilateraler physischer Grenzfluss</w:t>
            </w:r>
          </w:p>
        </w:tc>
        <w:tc>
          <w:tcPr>
            <w:tcW w:type="dxa" w:w="1728"/>
            <w:vAlign w:val="center"/>
            <w:tcMar>
              <w:top w:w="90" w:type="dxa"/>
              <w:start w:w="100" w:type="dxa"/>
              <w:bottom w:w="90" w:type="dxa"/>
              <w:end w:w="100" w:type="dxa"/>
            </w:tcMar>
            <w:shd w:fill="FFFFFF"/>
          </w:tcPr>
          <w:p>
            <w:pPr>
              <w:spacing w:after="0"/>
            </w:pPr>
            <w:r>
              <w:rPr>
                <w:rFonts w:ascii="Helvetica Neue" w:hAnsi="Helvetica Neue"/>
                <w:color w:val="000000"/>
                <w:sz w:val="16"/>
              </w:rPr>
              <w:t>GW</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v_cbet</w:t>
            </w:r>
          </w:p>
        </w:tc>
        <w:tc>
          <w:tcPr>
            <w:tcW w:type="dxa" w:w="6264"/>
            <w:vAlign w:val="center"/>
            <w:tcMar>
              <w:top w:w="90" w:type="dxa"/>
              <w:start w:w="100" w:type="dxa"/>
              <w:bottom w:w="90" w:type="dxa"/>
              <w:end w:w="100" w:type="dxa"/>
            </w:tcMar>
            <w:shd w:fill="EAF2F8"/>
          </w:tcPr>
          <w:p>
            <w:pPr>
              <w:spacing w:after="0"/>
            </w:pPr>
            <w:r>
              <w:rPr>
                <w:rFonts w:ascii="Helvetica Neue" w:hAnsi="Helvetica Neue"/>
                <w:color w:val="000000"/>
                <w:sz w:val="16"/>
              </w:rPr>
              <w:t>Bilateraler grenzüberschreitender Handel</w:t>
            </w:r>
          </w:p>
        </w:tc>
        <w:tc>
          <w:tcPr>
            <w:tcW w:type="dxa" w:w="1728"/>
            <w:vAlign w:val="center"/>
            <w:tcMar>
              <w:top w:w="90" w:type="dxa"/>
              <w:start w:w="100" w:type="dxa"/>
              <w:bottom w:w="90" w:type="dxa"/>
              <w:end w:w="100" w:type="dxa"/>
            </w:tcMar>
            <w:shd w:fill="EAF2F8"/>
          </w:tcPr>
          <w:p>
            <w:pPr>
              <w:spacing w:after="0"/>
            </w:pPr>
            <w:r>
              <w:rPr>
                <w:rFonts w:ascii="Helvetica Neue" w:hAnsi="Helvetica Neue"/>
                <w:color w:val="000000"/>
                <w:sz w:val="16"/>
              </w:rPr>
              <w:t>GW</w:t>
            </w:r>
          </w:p>
        </w:tc>
      </w:tr>
      <w:tr>
        <w:tc>
          <w:tcPr>
            <w:tcW w:type="dxa" w:w="1656"/>
            <w:vAlign w:val="center"/>
            <w:tcMar>
              <w:top w:w="90" w:type="dxa"/>
              <w:start w:w="100" w:type="dxa"/>
              <w:bottom w:w="90" w:type="dxa"/>
              <w:end w:w="100" w:type="dxa"/>
            </w:tcMar>
            <w:shd w:fill="FFFFFF"/>
          </w:tcPr>
          <w:p>
            <w:pPr>
              <w:spacing w:after="0"/>
            </w:pPr>
            <w:r>
              <w:rPr>
                <w:rFonts w:ascii="Helvetica Neue" w:hAnsi="Helvetica Neue"/>
                <w:color w:val="000000"/>
                <w:sz w:val="16"/>
              </w:rPr>
              <w:t>v_price</w:t>
            </w:r>
          </w:p>
        </w:tc>
        <w:tc>
          <w:tcPr>
            <w:tcW w:type="dxa" w:w="6264"/>
            <w:vAlign w:val="center"/>
            <w:tcMar>
              <w:top w:w="90" w:type="dxa"/>
              <w:start w:w="100" w:type="dxa"/>
              <w:bottom w:w="90" w:type="dxa"/>
              <w:end w:w="100" w:type="dxa"/>
            </w:tcMar>
            <w:shd w:fill="FFFFFF"/>
          </w:tcPr>
          <w:p>
            <w:pPr>
              <w:spacing w:after="0"/>
            </w:pPr>
            <w:r>
              <w:rPr>
                <w:rFonts w:ascii="Helvetica Neue" w:hAnsi="Helvetica Neue"/>
                <w:color w:val="000000"/>
                <w:sz w:val="16"/>
              </w:rPr>
              <w:t>Day-Ahead-Preis der Gebotszone Deutschland und Luxemburg</w:t>
            </w:r>
          </w:p>
        </w:tc>
        <w:tc>
          <w:tcPr>
            <w:tcW w:type="dxa" w:w="1728"/>
            <w:vAlign w:val="center"/>
            <w:tcMar>
              <w:top w:w="90" w:type="dxa"/>
              <w:start w:w="100" w:type="dxa"/>
              <w:bottom w:w="90" w:type="dxa"/>
              <w:end w:w="100" w:type="dxa"/>
            </w:tcMar>
            <w:shd w:fill="FFFFFF"/>
          </w:tcPr>
          <w:p>
            <w:pPr>
              <w:spacing w:after="0"/>
            </w:pPr>
            <w:r>
              <w:rPr>
                <w:rFonts w:ascii="Helvetica Neue" w:hAnsi="Helvetica Neue"/>
                <w:color w:val="000000"/>
                <w:sz w:val="16"/>
              </w:rPr>
              <w:t>EUR/MWh</w:t>
            </w:r>
          </w:p>
        </w:tc>
      </w:tr>
      <w:tr>
        <w:tc>
          <w:tcPr>
            <w:tcW w:type="dxa" w:w="1656"/>
            <w:vAlign w:val="center"/>
            <w:tcMar>
              <w:top w:w="90" w:type="dxa"/>
              <w:start w:w="100" w:type="dxa"/>
              <w:bottom w:w="90" w:type="dxa"/>
              <w:end w:w="100" w:type="dxa"/>
            </w:tcMar>
            <w:shd w:fill="EAF2F8"/>
          </w:tcPr>
          <w:p>
            <w:pPr>
              <w:spacing w:after="0"/>
            </w:pPr>
            <w:r>
              <w:rPr>
                <w:rFonts w:ascii="Helvetica Neue" w:hAnsi="Helvetica Neue"/>
                <w:color w:val="000000"/>
                <w:sz w:val="16"/>
              </w:rPr>
              <w:t>v_totalpower</w:t>
            </w:r>
          </w:p>
        </w:tc>
        <w:tc>
          <w:tcPr>
            <w:tcW w:type="dxa" w:w="6264"/>
            <w:vAlign w:val="center"/>
            <w:tcMar>
              <w:top w:w="90" w:type="dxa"/>
              <w:start w:w="100" w:type="dxa"/>
              <w:bottom w:w="90" w:type="dxa"/>
              <w:end w:w="100" w:type="dxa"/>
            </w:tcMar>
            <w:shd w:fill="EAF2F8"/>
          </w:tcPr>
          <w:p>
            <w:pPr>
              <w:spacing w:after="0"/>
            </w:pPr>
            <w:r>
              <w:rPr>
                <w:rFonts w:ascii="Helvetica Neue" w:hAnsi="Helvetica Neue"/>
                <w:color w:val="000000"/>
                <w:sz w:val="16"/>
              </w:rPr>
              <w:t>Deutsche Nettoerzeugung nach Technologien</w:t>
            </w:r>
          </w:p>
        </w:tc>
        <w:tc>
          <w:tcPr>
            <w:tcW w:type="dxa" w:w="1728"/>
            <w:vAlign w:val="center"/>
            <w:tcMar>
              <w:top w:w="90" w:type="dxa"/>
              <w:start w:w="100" w:type="dxa"/>
              <w:bottom w:w="90" w:type="dxa"/>
              <w:end w:w="100" w:type="dxa"/>
            </w:tcMar>
            <w:shd w:fill="EAF2F8"/>
          </w:tcPr>
          <w:p>
            <w:pPr>
              <w:spacing w:after="0"/>
            </w:pPr>
            <w:r>
              <w:rPr>
                <w:rFonts w:ascii="Helvetica Neue" w:hAnsi="Helvetica Neue"/>
                <w:color w:val="000000"/>
                <w:sz w:val="16"/>
              </w:rPr>
              <w:t>MW, anschließend GW</w:t>
            </w:r>
          </w:p>
        </w:tc>
      </w:tr>
    </w:tbl>
    <w:p>
      <w:pPr>
        <w:spacing w:after="20"/>
      </w:pPr>
    </w:p>
    <w:p>
      <w:pPr>
        <w:keepLines w:val="0"/>
      </w:pPr>
      <w:r>
        <w:rPr>
          <w:rFonts w:ascii="Helvetica Neue" w:hAnsi="Helvetica Neue"/>
          <w:color w:val="000000"/>
          <w:sz w:val="19"/>
        </w:rPr>
        <w:t>GW bedeutet Gigawatt und beschreibt Leistung. EUR/MWh bedeutet Euro pro Megawattstunde und beschreibt den Preis einer Energiemenge. Im Vortrag formuliere ich zum Beispiel: 18,3 GW erneuerbare Leistung, das entspricht 50 Prozent der gesamten Erzeugungsleistung. Der Punkt in der Bedienoberfläche trennt die beiden Angaben; er bedeutet keine Multiplikation.</w:t>
      </w:r>
    </w:p>
    <w:p>
      <w:pPr>
        <w:keepLines w:val="0"/>
      </w:pPr>
      <w:r>
        <w:rPr>
          <w:rFonts w:ascii="Helvetica Neue" w:hAnsi="Helvetica Neue"/>
          <w:color w:val="000000"/>
          <w:sz w:val="19"/>
        </w:rPr>
        <w:t>Für CBPF und CBET gilt dieselbe Vorzeichenkonvention: Positive Werte bedeuten Import nach Deutschland, negative Werte Export aus Deutschland. v_totalpower ist am offiziellen Energy-Charts-Endpunkt in MW dokumentiert und wird durch Division durch 1000 in GW umgerechnet. Die anderen drei Größen werden ohne Einheitenumrechnung übernommen.</w:t>
      </w:r>
    </w:p>
    <w:p>
      <w:pPr>
        <w:pStyle w:val="Heading2"/>
        <w:keepNext/>
        <w:pageBreakBefore w:val="0"/>
      </w:pPr>
      <w:r>
        <w:t>Zeitraum und Umfang</w:t>
      </w:r>
    </w:p>
    <w:p>
      <w:pPr>
        <w:keepLines w:val="0"/>
      </w:pPr>
      <w:r>
        <w:rPr>
          <w:rFonts w:ascii="Helvetica Neue" w:hAnsi="Helvetica Neue"/>
          <w:color w:val="000000"/>
          <w:sz w:val="19"/>
        </w:rPr>
        <w:t>Der Datensatz umfasst den vollständigen Mai 2025 in UTC. Das sind 744 Stunden. Für jede Stunde liegen Erzeugungsmix, Preis und die Werte von elf Partnerländern vor. Die Pixelmatrix enthält damit 744 mal 11, also 8184 physische Flusswerte. Der Monat ist lang genug für Tages- und Wochenmuster und bleibt gleichzeitig in einer Gesamtansicht handhabbar.</w:t>
      </w:r>
    </w:p>
    <w:p>
      <w:pPr>
        <w:keepLines w:val="0"/>
      </w:pPr>
      <w:r>
        <w:rPr>
          <w:rFonts w:ascii="Helvetica Neue" w:hAnsi="Helvetica Neue"/>
          <w:color w:val="000000"/>
          <w:sz w:val="19"/>
        </w:rPr>
        <w:t>Die Rohdaten sind je nach View viertelstündlich oder stündlich. Werte innerhalb derselben Stunde werden gemittelt, weil Leistung und Preis dargestellt werden. Eine Summe der vier Viertelstundenleistungen würde die Einheit verfälschen. Die Erzeugungstechnologien werden zu Erneuerbaren, Kohle, Gas und Sonstigen zusammengefasst.</w:t>
      </w:r>
    </w:p>
    <w:p>
      <w:pPr>
        <w:pStyle w:val="Heading1"/>
        <w:keepNext/>
        <w:pageBreakBefore/>
      </w:pPr>
      <w:r>
        <w:t>3 Datenweg und sichere Bereitstellung</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Kurzer Datenfluss von PostgREST über das Exportskript zur JSON-Datei und zu Elm</w:t>
      </w:r>
    </w:p>
    <w:p>
      <w:pPr>
        <w:keepLines w:val="0"/>
      </w:pPr>
      <w:r>
        <w:rPr>
          <w:rFonts w:ascii="Helvetica Neue" w:hAnsi="Helvetica Neue"/>
          <w:color w:val="000000"/>
          <w:sz w:val="19"/>
        </w:rPr>
        <w:t>Die Browseranwendung meldet sich nicht direkt an der Datenbank an. Passwort oder Token wären sonst im ausgelieferten JavaScript sichtbar. Stattdessen ruft ein lokales Python-Skript die geschützten Daten ab, prüft und normalisiert sie und schreibt public/data/energy.json. Diese Datei wird zusammen mit der statischen Anwendung veröffentlicht.</w:t>
      </w:r>
    </w:p>
    <w:p>
      <w:pPr>
        <w:keepLines w:val="0"/>
      </w:pPr>
      <w:r>
        <w:rPr>
          <w:rFonts w:ascii="Helvetica Neue" w:hAnsi="Helvetica Neue"/>
          <w:color w:val="000000"/>
          <w:sz w:val="19"/>
        </w:rPr>
        <w:t>Elm lädt nur die fertige JSON-Datei per HTTP. Damit bleiben Zugangsdaten außerhalb des Frontends und die Visualisierung funktioniert später ohne Datenbankverbindung. Python erzeugt keine Visualisierung; es übernimmt ausschließlich Datenexport und Validierung. Die sichtbaren Diagramme werden als SVG in Elm berechnet.</w:t>
      </w:r>
    </w:p>
    <w:p>
      <w:pPr>
        <w:keepLines/>
        <w:spacing w:before="80" w:after="0"/>
        <w:ind w:left="259" w:right="259"/>
        <w:shd w:fill="F3F6F9"/>
      </w:pPr>
      <w:r>
        <w:rPr>
          <w:rFonts w:ascii="Consolas" w:hAnsi="Consolas"/>
          <w:color w:val="000000"/>
          <w:sz w:val="16"/>
        </w:rPr>
        <w:t>loadDataset : (Result Http.Error Dataset -&gt; msg) -&gt; Cmd msg</w:t>
      </w:r>
    </w:p>
    <w:p>
      <w:pPr>
        <w:keepLines/>
        <w:spacing w:before="0" w:after="0"/>
        <w:ind w:left="259" w:right="259"/>
        <w:shd w:fill="F3F6F9"/>
      </w:pPr>
      <w:r>
        <w:rPr>
          <w:rFonts w:ascii="Consolas" w:hAnsi="Consolas"/>
          <w:color w:val="000000"/>
          <w:sz w:val="16"/>
        </w:rPr>
        <w:t>loadDataset toMsg =</w:t>
      </w:r>
    </w:p>
    <w:p>
      <w:pPr>
        <w:keepLines/>
        <w:spacing w:before="0" w:after="0"/>
        <w:ind w:left="259" w:right="259"/>
        <w:shd w:fill="F3F6F9"/>
      </w:pPr>
      <w:r>
        <w:rPr>
          <w:rFonts w:ascii="Consolas" w:hAnsi="Consolas"/>
          <w:color w:val="000000"/>
          <w:sz w:val="16"/>
        </w:rPr>
        <w:t xml:space="preserve">    Http.get</w:t>
      </w:r>
    </w:p>
    <w:p>
      <w:pPr>
        <w:keepLines/>
        <w:spacing w:before="0" w:after="0"/>
        <w:ind w:left="259" w:right="259"/>
        <w:shd w:fill="F3F6F9"/>
      </w:pPr>
      <w:r>
        <w:rPr>
          <w:rFonts w:ascii="Consolas" w:hAnsi="Consolas"/>
          <w:color w:val="000000"/>
          <w:sz w:val="16"/>
        </w:rPr>
        <w:t xml:space="preserve">        { url = "data/energy.json"</w:t>
      </w:r>
    </w:p>
    <w:p>
      <w:pPr>
        <w:keepLines/>
        <w:spacing w:before="0" w:after="0"/>
        <w:ind w:left="259" w:right="259"/>
        <w:shd w:fill="F3F6F9"/>
      </w:pPr>
      <w:r>
        <w:rPr>
          <w:rFonts w:ascii="Consolas" w:hAnsi="Consolas"/>
          <w:color w:val="000000"/>
          <w:sz w:val="16"/>
        </w:rPr>
        <w:t xml:space="preserve">        , expect = Http.expectJson toMsg datasetDecoder</w:t>
      </w:r>
    </w:p>
    <w:p>
      <w:pPr>
        <w:keepLines/>
        <w:spacing w:before="0" w:after="80"/>
        <w:ind w:left="259" w:right="259"/>
        <w:shd w:fill="F3F6F9"/>
      </w:pPr>
      <w:r>
        <w:rPr>
          <w:rFonts w:ascii="Consolas" w:hAnsi="Consolas"/>
          <w:color w:val="000000"/>
          <w:sz w:val="16"/>
        </w:rPr>
        <w:t xml:space="preserve">        }</w:t>
      </w:r>
    </w:p>
    <w:p>
      <w:pPr>
        <w:keepLines w:val="0"/>
      </w:pPr>
      <w:r>
        <w:rPr>
          <w:rFonts w:ascii="Helvetica Neue" w:hAnsi="Helvetica Neue"/>
          <w:color w:val="000000"/>
          <w:sz w:val="19"/>
        </w:rPr>
        <w:t>Dieser Ausschnitt aus Api.elm zeigt den öffentlichen Datenpfad. Http.get lädt energy.json. Http.expectJson verbindet die Antwort mit dem JSON-Decoder und verpackt Erfolg oder Fehler in eine Elm-Nachricht. Zugangsdaten stehen an dieser Stelle bewusst nicht im Code.</w:t>
      </w:r>
    </w:p>
    <w:p>
      <w:pPr>
        <w:pStyle w:val="Heading2"/>
        <w:keepNext/>
        <w:pageBreakBefore w:val="0"/>
      </w:pPr>
      <w:r>
        <w:t>Prüfungen</w:t>
      </w:r>
    </w:p>
    <w:p>
      <w:pPr>
        <w:keepLines w:val="0"/>
      </w:pPr>
      <w:r>
        <w:rPr>
          <w:rFonts w:ascii="Helvetica Neue" w:hAnsi="Helvetica Neue"/>
          <w:color w:val="000000"/>
          <w:sz w:val="19"/>
        </w:rPr>
        <w:t>Das Validierungsskript kontrolliert 744 lückenlose Stunden, identische Partnerabdeckung, endliche Zahlen, nichtnegative Erzeugungsgruppen und grobe Plausibilitätsgrenzen. Danach wird die Elm-Anwendung mit elm make im optimierten Modus kompiliert. Zusätzlich habe ich alle Auswahlwege und Zeitfenster im Browser geprüft.</w:t>
      </w:r>
    </w:p>
    <w:p>
      <w:pPr>
        <w:pStyle w:val="Heading1"/>
        <w:keepNext/>
        <w:pageBreakBefore/>
      </w:pPr>
      <w:r>
        <w:t>4 Aufgaben und Auswahl der Visualisierungen</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Drei Aufgaben A1 bis A3 und danach die Gesamtansicht</w:t>
      </w:r>
    </w:p>
    <w:p>
      <w:pPr>
        <w:keepLines w:val="0"/>
      </w:pPr>
      <w:r>
        <w:rPr>
          <w:rFonts w:ascii="Helvetica Neue" w:hAnsi="Helvetica Neue"/>
          <w:color w:val="000000"/>
          <w:sz w:val="19"/>
        </w:rPr>
        <w:t>Die Diagrammtypen wurden nicht zuerst ausgewählt. Zunächst habe ich drei Analyseaufgaben formuliert. A1 fragt für eine Stunde nach Richtung und Größenordnung der Länderflüsse. A2 untersucht zeitliche Muster in Erzeugungsmix, Preis und dem Fluss eines ausgewählten Landes. A3 sucht in vielen Länder-Stunden-Kombinationen nach auffälligen Perioden und Richtungswechseln.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080"/>
            <w:vAlign w:val="center"/>
            <w:shd w:fill="082A4A"/>
            <w:tcMar>
              <w:top w:w="90" w:type="dxa"/>
              <w:start w:w="100" w:type="dxa"/>
              <w:bottom w:w="90" w:type="dxa"/>
              <w:end w:w="100" w:type="dxa"/>
            </w:tcMar>
          </w:tcPr>
          <w:p>
            <w:pPr>
              <w:spacing w:after="0"/>
            </w:pPr>
            <w:r>
              <w:rPr>
                <w:rFonts w:ascii="Helvetica Neue" w:hAnsi="Helvetica Neue"/>
                <w:b/>
                <w:color w:val="FFFFFF"/>
                <w:sz w:val="17"/>
              </w:rPr>
              <w:t>Aufgabe</w:t>
            </w:r>
          </w:p>
        </w:tc>
        <w:tc>
          <w:tcPr>
            <w:tcW w:type="dxa" w:w="5328"/>
            <w:vAlign w:val="center"/>
            <w:shd w:fill="082A4A"/>
            <w:tcMar>
              <w:top w:w="90" w:type="dxa"/>
              <w:start w:w="100" w:type="dxa"/>
              <w:bottom w:w="90" w:type="dxa"/>
              <w:end w:w="100" w:type="dxa"/>
            </w:tcMar>
          </w:tcPr>
          <w:p>
            <w:pPr>
              <w:spacing w:after="0"/>
            </w:pPr>
            <w:r>
              <w:rPr>
                <w:rFonts w:ascii="Helvetica Neue" w:hAnsi="Helvetica Neue"/>
                <w:b/>
                <w:color w:val="FFFFFF"/>
                <w:sz w:val="17"/>
              </w:rPr>
              <w:t>Benötigte Sicht</w:t>
            </w:r>
          </w:p>
        </w:tc>
        <w:tc>
          <w:tcPr>
            <w:tcW w:type="dxa" w:w="3168"/>
            <w:vAlign w:val="center"/>
            <w:shd w:fill="082A4A"/>
            <w:tcMar>
              <w:top w:w="90" w:type="dxa"/>
              <w:start w:w="100" w:type="dxa"/>
              <w:bottom w:w="90" w:type="dxa"/>
              <w:end w:w="100" w:type="dxa"/>
            </w:tcMar>
          </w:tcPr>
          <w:p>
            <w:pPr>
              <w:spacing w:after="0"/>
            </w:pPr>
            <w:r>
              <w:rPr>
                <w:rFonts w:ascii="Helvetica Neue" w:hAnsi="Helvetica Neue"/>
                <w:b/>
                <w:color w:val="FFFFFF"/>
                <w:sz w:val="17"/>
              </w:rPr>
              <w:t>Gewählte Technik</w:t>
            </w:r>
          </w:p>
        </w:tc>
      </w:tr>
      <w:tr>
        <w:tc>
          <w:tcPr>
            <w:tcW w:type="dxa" w:w="1080"/>
            <w:vAlign w:val="center"/>
            <w:tcMar>
              <w:top w:w="90" w:type="dxa"/>
              <w:start w:w="100" w:type="dxa"/>
              <w:bottom w:w="90" w:type="dxa"/>
              <w:end w:w="100" w:type="dxa"/>
            </w:tcMar>
            <w:shd w:fill="FFFFFF"/>
          </w:tcPr>
          <w:p>
            <w:pPr>
              <w:spacing w:after="0"/>
            </w:pPr>
            <w:r>
              <w:rPr>
                <w:rFonts w:ascii="Helvetica Neue" w:hAnsi="Helvetica Neue"/>
                <w:color w:val="000000"/>
                <w:sz w:val="16"/>
              </w:rPr>
              <w:t>A1</w:t>
            </w:r>
          </w:p>
        </w:tc>
        <w:tc>
          <w:tcPr>
            <w:tcW w:type="dxa" w:w="5328"/>
            <w:vAlign w:val="center"/>
            <w:tcMar>
              <w:top w:w="90" w:type="dxa"/>
              <w:start w:w="100" w:type="dxa"/>
              <w:bottom w:w="90" w:type="dxa"/>
              <w:end w:w="100" w:type="dxa"/>
            </w:tcMar>
            <w:shd w:fill="FFFFFF"/>
          </w:tcPr>
          <w:p>
            <w:pPr>
              <w:spacing w:after="0"/>
            </w:pPr>
            <w:r>
              <w:rPr>
                <w:rFonts w:ascii="Helvetica Neue" w:hAnsi="Helvetica Neue"/>
                <w:color w:val="000000"/>
                <w:sz w:val="16"/>
              </w:rPr>
              <w:t>Gerichtete Beziehungen Deutschlands zu elf Ländern</w:t>
            </w:r>
          </w:p>
        </w:tc>
        <w:tc>
          <w:tcPr>
            <w:tcW w:type="dxa" w:w="3168"/>
            <w:vAlign w:val="center"/>
            <w:tcMar>
              <w:top w:w="90" w:type="dxa"/>
              <w:start w:w="100" w:type="dxa"/>
              <w:bottom w:w="90" w:type="dxa"/>
              <w:end w:w="100" w:type="dxa"/>
            </w:tcMar>
            <w:shd w:fill="FFFFFF"/>
          </w:tcPr>
          <w:p>
            <w:pPr>
              <w:spacing w:after="0"/>
            </w:pPr>
            <w:r>
              <w:rPr>
                <w:rFonts w:ascii="Helvetica Neue" w:hAnsi="Helvetica Neue"/>
                <w:color w:val="000000"/>
                <w:sz w:val="16"/>
              </w:rPr>
              <w:t>Radialer Netzwerkgraph</w:t>
            </w:r>
          </w:p>
        </w:tc>
      </w:tr>
      <w:tr>
        <w:tc>
          <w:tcPr>
            <w:tcW w:type="dxa" w:w="1080"/>
            <w:vAlign w:val="center"/>
            <w:tcMar>
              <w:top w:w="90" w:type="dxa"/>
              <w:start w:w="100" w:type="dxa"/>
              <w:bottom w:w="90" w:type="dxa"/>
              <w:end w:w="100" w:type="dxa"/>
            </w:tcMar>
            <w:shd w:fill="EAF2F8"/>
          </w:tcPr>
          <w:p>
            <w:pPr>
              <w:spacing w:after="0"/>
            </w:pPr>
            <w:r>
              <w:rPr>
                <w:rFonts w:ascii="Helvetica Neue" w:hAnsi="Helvetica Neue"/>
                <w:color w:val="000000"/>
                <w:sz w:val="16"/>
              </w:rPr>
              <w:t>A2</w:t>
            </w:r>
          </w:p>
        </w:tc>
        <w:tc>
          <w:tcPr>
            <w:tcW w:type="dxa" w:w="5328"/>
            <w:vAlign w:val="center"/>
            <w:tcMar>
              <w:top w:w="90" w:type="dxa"/>
              <w:start w:w="100" w:type="dxa"/>
              <w:bottom w:w="90" w:type="dxa"/>
              <w:end w:w="100" w:type="dxa"/>
            </w:tcMar>
            <w:shd w:fill="EAF2F8"/>
          </w:tcPr>
          <w:p>
            <w:pPr>
              <w:spacing w:after="0"/>
            </w:pPr>
            <w:r>
              <w:rPr>
                <w:rFonts w:ascii="Helvetica Neue" w:hAnsi="Helvetica Neue"/>
                <w:color w:val="000000"/>
                <w:sz w:val="16"/>
              </w:rPr>
              <w:t>Mehrere Größen auf einer gemeinsamen Zeitachse</w:t>
            </w:r>
          </w:p>
        </w:tc>
        <w:tc>
          <w:tcPr>
            <w:tcW w:type="dxa" w:w="3168"/>
            <w:vAlign w:val="center"/>
            <w:tcMar>
              <w:top w:w="90" w:type="dxa"/>
              <w:start w:w="100" w:type="dxa"/>
              <w:bottom w:w="90" w:type="dxa"/>
              <w:end w:w="100" w:type="dxa"/>
            </w:tcMar>
            <w:shd w:fill="EAF2F8"/>
          </w:tcPr>
          <w:p>
            <w:pPr>
              <w:spacing w:after="0"/>
            </w:pPr>
            <w:r>
              <w:rPr>
                <w:rFonts w:ascii="Helvetica Neue" w:hAnsi="Helvetica Neue"/>
                <w:color w:val="000000"/>
                <w:sz w:val="16"/>
              </w:rPr>
              <w:t>Gestapelte Zeitreihe mit Flussdetail</w:t>
            </w:r>
          </w:p>
        </w:tc>
      </w:tr>
      <w:tr>
        <w:tc>
          <w:tcPr>
            <w:tcW w:type="dxa" w:w="1080"/>
            <w:vAlign w:val="center"/>
            <w:tcMar>
              <w:top w:w="90" w:type="dxa"/>
              <w:start w:w="100" w:type="dxa"/>
              <w:bottom w:w="90" w:type="dxa"/>
              <w:end w:w="100" w:type="dxa"/>
            </w:tcMar>
            <w:shd w:fill="FFFFFF"/>
          </w:tcPr>
          <w:p>
            <w:pPr>
              <w:spacing w:after="0"/>
            </w:pPr>
            <w:r>
              <w:rPr>
                <w:rFonts w:ascii="Helvetica Neue" w:hAnsi="Helvetica Neue"/>
                <w:color w:val="000000"/>
                <w:sz w:val="16"/>
              </w:rPr>
              <w:t>A3</w:t>
            </w:r>
          </w:p>
        </w:tc>
        <w:tc>
          <w:tcPr>
            <w:tcW w:type="dxa" w:w="5328"/>
            <w:vAlign w:val="center"/>
            <w:tcMar>
              <w:top w:w="90" w:type="dxa"/>
              <w:start w:w="100" w:type="dxa"/>
              <w:bottom w:w="90" w:type="dxa"/>
              <w:end w:w="100" w:type="dxa"/>
            </w:tcMar>
            <w:shd w:fill="FFFFFF"/>
          </w:tcPr>
          <w:p>
            <w:pPr>
              <w:spacing w:after="0"/>
            </w:pPr>
            <w:r>
              <w:rPr>
                <w:rFonts w:ascii="Helvetica Neue" w:hAnsi="Helvetica Neue"/>
                <w:color w:val="000000"/>
                <w:sz w:val="16"/>
              </w:rPr>
              <w:t>Dichter Überblick über 8184 Länder-Stunden-Werte</w:t>
            </w:r>
          </w:p>
        </w:tc>
        <w:tc>
          <w:tcPr>
            <w:tcW w:type="dxa" w:w="3168"/>
            <w:vAlign w:val="center"/>
            <w:tcMar>
              <w:top w:w="90" w:type="dxa"/>
              <w:start w:w="100" w:type="dxa"/>
              <w:bottom w:w="90" w:type="dxa"/>
              <w:end w:w="100" w:type="dxa"/>
            </w:tcMar>
            <w:shd w:fill="FFFFFF"/>
          </w:tcPr>
          <w:p>
            <w:pPr>
              <w:spacing w:after="0"/>
            </w:pPr>
            <w:r>
              <w:rPr>
                <w:rFonts w:ascii="Helvetica Neue" w:hAnsi="Helvetica Neue"/>
                <w:color w:val="000000"/>
                <w:sz w:val="16"/>
              </w:rPr>
              <w:t>Pixelmatrix</w:t>
            </w:r>
          </w:p>
        </w:tc>
      </w:tr>
    </w:tbl>
    <w:p>
      <w:pPr>
        <w:spacing w:after="20"/>
      </w:pPr>
    </w:p>
    <w:p>
      <w:pPr>
        <w:keepLines w:val="0"/>
      </w:pPr>
      <w:r>
        <w:rPr>
          <w:rFonts w:ascii="Helvetica Neue" w:hAnsi="Helvetica Neue"/>
          <w:color w:val="000000"/>
          <w:sz w:val="19"/>
        </w:rPr>
        <w:t>Die drei Ansichten erfüllen damit unterschiedliche Aufgaben. Entscheidend ist ihre Kopplung: Ein gefundenes Matrixpixel soll dasselbe Land im Netzwerk und dieselbe Stunde in der Zeitreihe aktivieren. Genau dafür besitzt die Elm-Anwendung einen gemeinsamen Auswahlzustand.</w:t>
      </w:r>
    </w:p>
    <w:p>
      <w:pPr>
        <w:pStyle w:val="Heading1"/>
        <w:keepNext/>
        <w:pageBreakBefore/>
      </w:pPr>
      <w:r>
        <w:t>5 Gerichteter Netzwerkgraph</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Frankreich im Netzwerk auswählen und den Tooltip öffnen</w:t>
      </w:r>
    </w:p>
    <w:p>
      <w:pPr>
        <w:keepNext/>
        <w:jc w:val="center"/>
      </w:pPr>
      <w:r>
        <w:drawing>
          <wp:inline>
            <wp:extent cx="4389120" cy="5020648"/>
            <wp:docPr id="2" name="Picture 2" descr="Radialer Netzwerkgraph mit Deutschland im Zentrum und Frankreich als Auswahl"/>
            <wp:cNvGraphicFramePr>
              <a:graphicFrameLocks noChangeAspect="1"/>
            </wp:cNvGraphicFramePr>
            <a:graphic>
              <a:graphicData uri="http://schemas.openxmlformats.org/drawingml/2006/picture">
                <pic:pic>
                  <pic:nvPicPr>
                    <pic:cNvPr id="0" name="02_frankreich_netzwerk.png"/>
                    <pic:cNvPicPr/>
                  </pic:nvPicPr>
                  <pic:blipFill>
                    <a:blip r:embed="rId14"/>
                    <a:stretch>
                      <a:fillRect/>
                    </a:stretch>
                  </pic:blipFill>
                  <pic:spPr>
                    <a:xfrm>
                      <a:off x="0" y="0"/>
                      <a:ext cx="4389120" cy="5020648"/>
                    </a:xfrm>
                    <a:prstGeom prst="rect"/>
                  </pic:spPr>
                </pic:pic>
              </a:graphicData>
            </a:graphic>
          </wp:inline>
        </w:drawing>
      </w:r>
    </w:p>
    <w:p>
      <w:pPr>
        <w:keepLines/>
        <w:spacing w:after="140"/>
        <w:jc w:val="center"/>
      </w:pPr>
      <w:r>
        <w:rPr>
          <w:rFonts w:ascii="Helvetica Neue" w:hAnsi="Helvetica Neue"/>
          <w:i/>
          <w:color w:val="5B7085"/>
          <w:sz w:val="16"/>
        </w:rPr>
        <w:t>Gerichteter Netzwerkgraph mit ausgewählter Beziehung zu Frankreich</w:t>
      </w:r>
    </w:p>
    <w:p>
      <w:pPr>
        <w:keepLines w:val="0"/>
      </w:pPr>
      <w:r>
        <w:rPr>
          <w:rFonts w:ascii="Helvetica Neue" w:hAnsi="Helvetica Neue"/>
          <w:color w:val="000000"/>
          <w:sz w:val="19"/>
        </w:rPr>
        <w:t>Deutschland steht im Zentrum, die elf Partnerländer liegen radial darum. Eine rote Kante mit Pfeil nach Deutschland bedeutet Import. Eine blaue Kante mit Pfeil nach außen bedeutet Export. Die Linienbreite kodiert den absoluten physischen Flussbetrag. Der Tooltip zeigt zusätzlich den exakten CBPF-Wert und den Handelswert aus CBET.</w:t>
      </w:r>
    </w:p>
    <w:p>
      <w:pPr>
        <w:keepLines w:val="0"/>
      </w:pPr>
      <w:r>
        <w:rPr>
          <w:rFonts w:ascii="Helvetica Neue" w:hAnsi="Helvetica Neue"/>
          <w:color w:val="000000"/>
          <w:sz w:val="19"/>
        </w:rPr>
        <w:t>Eine geografische Karte wäre zwar vertraut, würde bei nur einem zentralen Land aber viel Fläche für Geografie verbrauchen. Die tatsächliche Entfernung ist außerdem keine Datendimension. Der radiale Graph priorisiert deshalb die Beziehungen; exakte Werte bleiben über den Tooltip erreichbar.</w:t>
      </w:r>
    </w:p>
    <w:p>
      <w:pPr>
        <w:keepLines/>
        <w:spacing w:before="80" w:after="0"/>
        <w:ind w:left="259" w:right="259"/>
        <w:shd w:fill="F3F6F9"/>
      </w:pPr>
      <w:r>
        <w:rPr>
          <w:rFonts w:ascii="Consolas" w:hAnsi="Consolas"/>
          <w:color w:val="000000"/>
          <w:sz w:val="16"/>
        </w:rPr>
        <w:t>isImport =</w:t>
      </w:r>
    </w:p>
    <w:p>
      <w:pPr>
        <w:keepLines/>
        <w:spacing w:before="0" w:after="0"/>
        <w:ind w:left="259" w:right="259"/>
        <w:shd w:fill="F3F6F9"/>
      </w:pPr>
      <w:r>
        <w:rPr>
          <w:rFonts w:ascii="Consolas" w:hAnsi="Consolas"/>
          <w:color w:val="000000"/>
          <w:sz w:val="16"/>
        </w:rPr>
        <w:t xml:space="preserve">    flow.value &gt;= 0</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color =</w:t>
      </w:r>
    </w:p>
    <w:p>
      <w:pPr>
        <w:keepLines/>
        <w:spacing w:before="0" w:after="0"/>
        <w:ind w:left="259" w:right="259"/>
        <w:shd w:fill="F3F6F9"/>
      </w:pPr>
      <w:r>
        <w:rPr>
          <w:rFonts w:ascii="Consolas" w:hAnsi="Consolas"/>
          <w:color w:val="000000"/>
          <w:sz w:val="16"/>
        </w:rPr>
        <w:t xml:space="preserve">    if isImport then "#c44545" else "#326db6"</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strokeWidth =</w:t>
      </w:r>
    </w:p>
    <w:p>
      <w:pPr>
        <w:keepLines/>
        <w:spacing w:before="0" w:after="80"/>
        <w:ind w:left="259" w:right="259"/>
        <w:shd w:fill="F3F6F9"/>
      </w:pPr>
      <w:r>
        <w:rPr>
          <w:rFonts w:ascii="Consolas" w:hAnsi="Consolas"/>
          <w:color w:val="000000"/>
          <w:sz w:val="16"/>
        </w:rPr>
        <w:t xml:space="preserve">    String.fromFloat (1.5 + min 20 (abs flow.value * 3.2))</w:t>
      </w:r>
    </w:p>
    <w:p>
      <w:pPr>
        <w:keepLines w:val="0"/>
      </w:pPr>
      <w:r>
        <w:rPr>
          <w:rFonts w:ascii="Helvetica Neue" w:hAnsi="Helvetica Neue"/>
          <w:color w:val="000000"/>
          <w:sz w:val="19"/>
        </w:rPr>
        <w:t>Der Code verwendet zuerst das Vorzeichen für die Richtung und Farbe. Für die Breite wird der Betrag genommen, weil minus 3 GW nicht dünner als plus 3 GW sein soll. min 20 begrenzt den zusätzlichen Anteil; zusammen mit 1,5 ergibt sich eine maximale Breite von 21,5 SVG-Einheiten.</w:t>
      </w:r>
    </w:p>
    <w:p>
      <w:pPr>
        <w:pStyle w:val="Heading1"/>
        <w:keepNext/>
        <w:pageBreakBefore/>
      </w:pPr>
      <w:r>
        <w:t>6 Zeitreihe mit Erzeugungsmix und Flussdetail</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Sieben-Tage-Ansicht vom 8. bis 14. Mai mit Frankreich und 11. Mai 11 Uhr</w:t>
      </w:r>
    </w:p>
    <w:p>
      <w:pPr>
        <w:keepNext/>
        <w:jc w:val="center"/>
      </w:pPr>
      <w:r>
        <w:drawing>
          <wp:inline>
            <wp:extent cx="6126480" cy="4870552"/>
            <wp:docPr id="3" name="Picture 3" descr="Gestapelte Erzeugungszeitreihe mit separatem physischen Frankreich-Fluss und Detailkarten"/>
            <wp:cNvGraphicFramePr>
              <a:graphicFrameLocks noChangeAspect="1"/>
            </wp:cNvGraphicFramePr>
            <a:graphic>
              <a:graphicData uri="http://schemas.openxmlformats.org/drawingml/2006/picture">
                <pic:pic>
                  <pic:nvPicPr>
                    <pic:cNvPr id="0" name="03_negativpreis_zeitreihe.png"/>
                    <pic:cNvPicPr/>
                  </pic:nvPicPr>
                  <pic:blipFill>
                    <a:blip r:embed="rId15"/>
                    <a:stretch>
                      <a:fillRect/>
                    </a:stretch>
                  </pic:blipFill>
                  <pic:spPr>
                    <a:xfrm>
                      <a:off x="0" y="0"/>
                      <a:ext cx="6126480" cy="4870552"/>
                    </a:xfrm>
                    <a:prstGeom prst="rect"/>
                  </pic:spPr>
                </pic:pic>
              </a:graphicData>
            </a:graphic>
          </wp:inline>
        </w:drawing>
      </w:r>
    </w:p>
    <w:p>
      <w:pPr>
        <w:keepLines/>
        <w:spacing w:after="140"/>
        <w:jc w:val="center"/>
      </w:pPr>
      <w:r>
        <w:rPr>
          <w:rFonts w:ascii="Helvetica Neue" w:hAnsi="Helvetica Neue"/>
          <w:i/>
          <w:color w:val="5B7085"/>
          <w:sz w:val="16"/>
        </w:rPr>
        <w:t>Zeitreihe am monatlichen Preisminimum mit gekoppelter Frankreich-Auswahl</w:t>
      </w:r>
    </w:p>
    <w:p>
      <w:pPr>
        <w:keepLines w:val="0"/>
      </w:pPr>
      <w:r>
        <w:rPr>
          <w:rFonts w:ascii="Helvetica Neue" w:hAnsi="Helvetica Neue"/>
          <w:color w:val="000000"/>
          <w:sz w:val="19"/>
        </w:rPr>
        <w:t>Die obere Darstellung zeigt absolute Erzeugungsleistung in GW. Grün steht für Erneuerbare, Dunkelgrau für Kohle, Orange für Gas und Hellgrau für Sonstige. Die Gesamthöhe aller Flächen ist die gesamte dargestellte Erzeugungsleistung. Die Prozentwerte erscheinen zusätzlich in den Detailfeldern für die ausgewählte Stunde.</w:t>
      </w:r>
    </w:p>
    <w:p>
      <w:pPr>
        <w:keepLines w:val="0"/>
      </w:pPr>
      <w:r>
        <w:rPr>
          <w:rFonts w:ascii="Helvetica Neue" w:hAnsi="Helvetica Neue"/>
          <w:color w:val="000000"/>
          <w:sz w:val="19"/>
        </w:rPr>
        <w:t>Der Länderfluss liegt auf einer eigenen symmetrischen GW-Skala unterhalb der Erzeugung. Dadurch bleiben Werte von wenigen GW lesbar, obwohl die deutsche Erzeugung mehrere Zehn GW beträgt. Der Strompreis steht in einem Detailfeld und nicht auf derselben Y-Achse, weil EUR/MWh nicht mit GW vermischt werden darf. Die gestrichelte Vertikale verbindet alle Werte derselben Stunde.</w:t>
      </w:r>
    </w:p>
    <w:p>
      <w:pPr>
        <w:keepLines/>
        <w:spacing w:before="80" w:after="0"/>
        <w:ind w:left="259" w:right="259"/>
        <w:shd w:fill="F3F6F9"/>
      </w:pPr>
      <w:r>
        <w:rPr>
          <w:rFonts w:ascii="Consolas" w:hAnsi="Consolas"/>
          <w:color w:val="000000"/>
          <w:sz w:val="16"/>
        </w:rPr>
        <w:t>renewTop sample = sample.generation.renewables</w:t>
      </w:r>
    </w:p>
    <w:p>
      <w:pPr>
        <w:keepLines/>
        <w:spacing w:before="0" w:after="0"/>
        <w:ind w:left="259" w:right="259"/>
        <w:shd w:fill="F3F6F9"/>
      </w:pPr>
      <w:r>
        <w:rPr>
          <w:rFonts w:ascii="Consolas" w:hAnsi="Consolas"/>
          <w:color w:val="000000"/>
          <w:sz w:val="16"/>
        </w:rPr>
        <w:t>coalTop sample = renewTop sample + sample.generation.coal</w:t>
      </w:r>
    </w:p>
    <w:p>
      <w:pPr>
        <w:keepLines/>
        <w:spacing w:before="0" w:after="0"/>
        <w:ind w:left="259" w:right="259"/>
        <w:shd w:fill="F3F6F9"/>
      </w:pPr>
      <w:r>
        <w:rPr>
          <w:rFonts w:ascii="Consolas" w:hAnsi="Consolas"/>
          <w:color w:val="000000"/>
          <w:sz w:val="16"/>
        </w:rPr>
        <w:t>gasTop sample = coalTop sample + sample.generation.gas</w:t>
      </w:r>
    </w:p>
    <w:p>
      <w:pPr>
        <w:keepLines/>
        <w:spacing w:before="0" w:after="0"/>
        <w:ind w:left="259" w:right="259"/>
        <w:shd w:fill="F3F6F9"/>
      </w:pPr>
      <w:r>
        <w:rPr>
          <w:rFonts w:ascii="Consolas" w:hAnsi="Consolas"/>
          <w:color w:val="000000"/>
          <w:sz w:val="16"/>
        </w:rPr>
        <w:t>allTop sample = gasTop sample + sample.generation.other</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area upper lower color =</w:t>
      </w:r>
    </w:p>
    <w:p>
      <w:pPr>
        <w:keepLines/>
        <w:spacing w:before="0" w:after="0"/>
        <w:ind w:left="259" w:right="259"/>
        <w:shd w:fill="F3F6F9"/>
      </w:pPr>
      <w:r>
        <w:rPr>
          <w:rFonts w:ascii="Consolas" w:hAnsi="Consolas"/>
          <w:color w:val="000000"/>
          <w:sz w:val="16"/>
        </w:rPr>
        <w:t xml:space="preserve">    path [ A.d (areaPath x yGeneration samples upper lower)</w:t>
      </w:r>
    </w:p>
    <w:p>
      <w:pPr>
        <w:keepLines/>
        <w:spacing w:before="0" w:after="80"/>
        <w:ind w:left="259" w:right="259"/>
        <w:shd w:fill="F3F6F9"/>
      </w:pPr>
      <w:r>
        <w:rPr>
          <w:rFonts w:ascii="Consolas" w:hAnsi="Consolas"/>
          <w:color w:val="000000"/>
          <w:sz w:val="16"/>
        </w:rPr>
        <w:t xml:space="preserve">         , A.fill color ] []</w:t>
      </w:r>
    </w:p>
    <w:p>
      <w:pPr>
        <w:keepLines w:val="0"/>
      </w:pPr>
      <w:r>
        <w:rPr>
          <w:rFonts w:ascii="Helvetica Neue" w:hAnsi="Helvetica Neue"/>
          <w:color w:val="000000"/>
          <w:sz w:val="19"/>
        </w:rPr>
        <w:t>Für jede gestapelte Fläche berechnet Elm eine obere und eine untere Grenze. areaPath verbindet die oberen Punkte von links nach rechts und die unteren Punkte in umgekehrter Reihenfolge. Mit Z wird der SVG-Pfad geschlossen. So entstehen echte Flächen und keine vorgefertigte Diagrammbibliothek.</w:t>
      </w:r>
    </w:p>
    <w:p>
      <w:pPr>
        <w:pStyle w:val="Heading1"/>
        <w:keepNext/>
        <w:pageBreakBefore/>
      </w:pPr>
      <w:r>
        <w:t>7 Pixelmatrix</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48-Stunden-Ansicht vom 3. bis 4. Mai und Zelle Dänemark am 3. Mai 12 Uhr</w:t>
      </w:r>
    </w:p>
    <w:p>
      <w:pPr>
        <w:keepNext/>
        <w:jc w:val="center"/>
      </w:pPr>
      <w:r>
        <w:drawing>
          <wp:inline>
            <wp:extent cx="6126480" cy="2740013"/>
            <wp:docPr id="4" name="Picture 4" descr="Pixelmatrix der physischen Stromflüsse mit ausgewählter Dänemark-Zelle"/>
            <wp:cNvGraphicFramePr>
              <a:graphicFrameLocks noChangeAspect="1"/>
            </wp:cNvGraphicFramePr>
            <a:graphic>
              <a:graphicData uri="http://schemas.openxmlformats.org/drawingml/2006/picture">
                <pic:pic>
                  <pic:nvPicPr>
                    <pic:cNvPr id="0" name="04_daenemark_matrix.png"/>
                    <pic:cNvPicPr/>
                  </pic:nvPicPr>
                  <pic:blipFill>
                    <a:blip r:embed="rId16"/>
                    <a:stretch>
                      <a:fillRect/>
                    </a:stretch>
                  </pic:blipFill>
                  <pic:spPr>
                    <a:xfrm>
                      <a:off x="0" y="0"/>
                      <a:ext cx="6126480" cy="2740013"/>
                    </a:xfrm>
                    <a:prstGeom prst="rect"/>
                  </pic:spPr>
                </pic:pic>
              </a:graphicData>
            </a:graphic>
          </wp:inline>
        </w:drawing>
      </w:r>
    </w:p>
    <w:p>
      <w:pPr>
        <w:keepLines/>
        <w:spacing w:after="140"/>
        <w:jc w:val="center"/>
      </w:pPr>
      <w:r>
        <w:rPr>
          <w:rFonts w:ascii="Helvetica Neue" w:hAnsi="Helvetica Neue"/>
          <w:i/>
          <w:color w:val="5B7085"/>
          <w:sz w:val="16"/>
        </w:rPr>
        <w:t>Pixelmatrix mit markierter Dänemark-Zeile und ausgewählter Stunde</w:t>
      </w:r>
    </w:p>
    <w:p>
      <w:pPr>
        <w:keepLines w:val="0"/>
      </w:pPr>
      <w:r>
        <w:rPr>
          <w:rFonts w:ascii="Helvetica Neue" w:hAnsi="Helvetica Neue"/>
          <w:color w:val="000000"/>
          <w:sz w:val="19"/>
        </w:rPr>
        <w:t>Jede Zeile steht für ein Partnerland und jede Spalte für eine Stunde. Blau bedeutet Export aus Deutschland, Rot Import nach Deutschland und Hellgrau einen Wert nahe null. Alle Zellen des gesamten Monats verwenden dieselbe globale Grenze. Ein Farbton ist deshalb über Länder und Zeitfenster hinweg vergleichbar.</w:t>
      </w:r>
    </w:p>
    <w:p>
      <w:pPr>
        <w:keepLines w:val="0"/>
      </w:pPr>
      <w:r>
        <w:rPr>
          <w:rFonts w:ascii="Helvetica Neue" w:hAnsi="Helvetica Neue"/>
          <w:color w:val="000000"/>
          <w:sz w:val="19"/>
        </w:rPr>
        <w:t>Ein Klick auf eine Zelle wählt gleichzeitig Land und Stunde. Die goldene Zeile und Spalte bilden ein Fadenkreuz; die aktive Zelle erhält zusätzlich eine dunkle Kontur. Die Matrix ist für Muster und Ausnahmen gedacht. Den genauen Wert liest man anschließend im Tooltip oder in den gekoppelten Detailansichten.</w:t>
      </w:r>
    </w:p>
    <w:p>
      <w:pPr>
        <w:keepLines/>
        <w:spacing w:before="80" w:after="0"/>
        <w:ind w:left="259" w:right="259"/>
        <w:shd w:fill="F3F6F9"/>
      </w:pPr>
      <w:r>
        <w:rPr>
          <w:rFonts w:ascii="Consolas" w:hAnsi="Consolas"/>
          <w:color w:val="000000"/>
          <w:sz w:val="16"/>
        </w:rPr>
        <w:t>maxAbs =</w:t>
      </w:r>
    </w:p>
    <w:p>
      <w:pPr>
        <w:keepLines/>
        <w:spacing w:before="0" w:after="0"/>
        <w:ind w:left="259" w:right="259"/>
        <w:shd w:fill="F3F6F9"/>
      </w:pPr>
      <w:r>
        <w:rPr>
          <w:rFonts w:ascii="Consolas" w:hAnsi="Consolas"/>
          <w:color w:val="000000"/>
          <w:sz w:val="16"/>
        </w:rPr>
        <w:t xml:space="preserve">    countries</w:t>
      </w:r>
    </w:p>
    <w:p>
      <w:pPr>
        <w:keepLines/>
        <w:spacing w:before="0" w:after="0"/>
        <w:ind w:left="259" w:right="259"/>
        <w:shd w:fill="F3F6F9"/>
      </w:pPr>
      <w:r>
        <w:rPr>
          <w:rFonts w:ascii="Consolas" w:hAnsi="Consolas"/>
          <w:color w:val="000000"/>
          <w:sz w:val="16"/>
        </w:rPr>
        <w:t xml:space="preserve">        |&gt; List.concatMap (\country -&gt;</w:t>
      </w:r>
    </w:p>
    <w:p>
      <w:pPr>
        <w:keepLines/>
        <w:spacing w:before="0" w:after="0"/>
        <w:ind w:left="259" w:right="259"/>
        <w:shd w:fill="F3F6F9"/>
      </w:pPr>
      <w:r>
        <w:rPr>
          <w:rFonts w:ascii="Consolas" w:hAnsi="Consolas"/>
          <w:color w:val="000000"/>
          <w:sz w:val="16"/>
        </w:rPr>
        <w:t xml:space="preserve">            List.map (flowFor country &gt;&gt; abs) scaleSamples)</w:t>
      </w:r>
    </w:p>
    <w:p>
      <w:pPr>
        <w:keepLines/>
        <w:spacing w:before="0" w:after="0"/>
        <w:ind w:left="259" w:right="259"/>
        <w:shd w:fill="F3F6F9"/>
      </w:pPr>
      <w:r>
        <w:rPr>
          <w:rFonts w:ascii="Consolas" w:hAnsi="Consolas"/>
          <w:color w:val="000000"/>
          <w:sz w:val="16"/>
        </w:rPr>
        <w:t xml:space="preserve">        |&gt; List.maximum</w:t>
      </w:r>
    </w:p>
    <w:p>
      <w:pPr>
        <w:keepLines/>
        <w:spacing w:before="0" w:after="0"/>
        <w:ind w:left="259" w:right="259"/>
        <w:shd w:fill="F3F6F9"/>
      </w:pPr>
      <w:r>
        <w:rPr>
          <w:rFonts w:ascii="Consolas" w:hAnsi="Consolas"/>
          <w:color w:val="000000"/>
          <w:sz w:val="16"/>
        </w:rPr>
        <w:t xml:space="preserve">        |&gt; Maybe.withDefault 1</w:t>
      </w:r>
    </w:p>
    <w:p>
      <w:pPr>
        <w:keepLines/>
        <w:spacing w:before="0" w:after="0"/>
        <w:ind w:left="259" w:right="259"/>
        <w:shd w:fill="F3F6F9"/>
      </w:pPr>
      <w:r>
        <w:rPr>
          <w:rFonts w:ascii="Consolas" w:hAnsi="Consolas"/>
          <w:color w:val="000000"/>
          <w:sz w:val="16"/>
        </w:rPr>
        <w:t xml:space="preserve"> </w:t>
      </w:r>
    </w:p>
    <w:p>
      <w:pPr>
        <w:keepLines/>
        <w:spacing w:before="0" w:after="80"/>
        <w:ind w:left="259" w:right="259"/>
        <w:shd w:fill="F3F6F9"/>
      </w:pPr>
      <w:r>
        <w:rPr>
          <w:rFonts w:ascii="Consolas" w:hAnsi="Consolas"/>
          <w:color w:val="000000"/>
          <w:sz w:val="16"/>
        </w:rPr>
        <w:t>ratio = min 1 (abs value / maxAbs)</w:t>
      </w:r>
    </w:p>
    <w:p>
      <w:pPr>
        <w:keepLines w:val="0"/>
      </w:pPr>
      <w:r>
        <w:rPr>
          <w:rFonts w:ascii="Helvetica Neue" w:hAnsi="Helvetica Neue"/>
          <w:color w:val="000000"/>
          <w:sz w:val="19"/>
        </w:rPr>
        <w:t>scaleSamples enthält den ganzen Monat, auch wenn nur 48 Stunden sichtbar sind. maxAbs ist deshalb für jede Ansicht gleich. ratio normiert den Betrag zwischen null und eins. Danach mischt colorFor Hellgrau mit Rot oder Blau. Dadurch verändert ein Wechsel des Zeitfensters nicht heimlich die Bedeutung der Farben.</w:t>
      </w:r>
    </w:p>
    <w:p>
      <w:pPr>
        <w:pStyle w:val="Heading1"/>
        <w:keepNext/>
        <w:pageBreakBefore/>
      </w:pPr>
      <w:r>
        <w:t>8 Kopplung und Live Demonstration</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Anwendung im Browser bedienen</w:t>
      </w:r>
    </w:p>
    <w:p>
      <w:pPr>
        <w:keepLines w:val="0"/>
      </w:pPr>
      <w:r>
        <w:rPr>
          <w:rFonts w:ascii="Helvetica Neue" w:hAnsi="Helvetica Neue"/>
          <w:color w:val="000000"/>
          <w:sz w:val="19"/>
        </w:rPr>
        <w:t>Für die Vorführung verwende ich drei unabhängige Beispiele. Ich stelle klar, dass sie keine zwingende Klickfolge bilden. Zuerst zeige ich die Länderwahl im Netzwerk. Danach wähle ich für die Preisbetrachtung ein eigenes Wochenfenster. Abschließend beginne ich mit einem neuen 48-Stunden-Fenster und wähle eine Matrixzelle.</w:t>
      </w:r>
    </w:p>
    <w:p>
      <w:pPr>
        <w:spacing w:after="60"/>
        <w:ind w:left="317" w:hanging="259"/>
      </w:pPr>
      <w:r>
        <w:rPr>
          <w:rFonts w:ascii="Helvetica Neue" w:hAnsi="Helvetica Neue"/>
          <w:color w:val="000000"/>
          <w:sz w:val="19"/>
        </w:rPr>
        <w:t>1. Netzwerk: 1. Mai 2025 um 00 Uhr anzeigen und Frankreich anklicken. Die anderen Kanten werden abgeblendet, Frankreich wird hervorgehoben und die violette Flusslinie erscheint.</w:t>
      </w:r>
    </w:p>
    <w:p>
      <w:pPr>
        <w:spacing w:after="60"/>
        <w:ind w:left="317" w:hanging="259"/>
      </w:pPr>
      <w:r>
        <w:rPr>
          <w:rFonts w:ascii="Helvetica Neue" w:hAnsi="Helvetica Neue"/>
          <w:color w:val="000000"/>
          <w:sz w:val="19"/>
        </w:rPr>
        <w:t>2. Zeitreihe: Auf sieben Tage wechseln, den Zeitraum 8. bis 14. Mai anzeigen, Frankreich wählen und den 11. Mai um 11 Uhr anklicken. Die gemeinsame Zeitmarke und alle Detailwerte wechseln.</w:t>
      </w:r>
    </w:p>
    <w:p>
      <w:pPr>
        <w:spacing w:after="60"/>
        <w:ind w:left="317" w:hanging="259"/>
      </w:pPr>
      <w:r>
        <w:rPr>
          <w:rFonts w:ascii="Helvetica Neue" w:hAnsi="Helvetica Neue"/>
          <w:color w:val="000000"/>
          <w:sz w:val="19"/>
        </w:rPr>
        <w:t>3. Matrix: Auf 48 Stunden wechseln, zum 3. bis 4. Mai navigieren und Dänemark am 3. Mai um 12 Uhr wählen. Partnerland und Stunde werden gemeinsam gesetzt.</w:t>
      </w:r>
    </w:p>
    <w:p>
      <w:pPr>
        <w:keepLines w:val="0"/>
      </w:pPr>
      <w:r>
        <w:rPr>
          <w:rFonts w:ascii="Helvetica Neue" w:hAnsi="Helvetica Neue"/>
          <w:color w:val="000000"/>
          <w:sz w:val="19"/>
        </w:rPr>
        <w:t>Falls während der Vorführung eine falsche Auswahl aktiv ist, nutze ich Auswahl zurücksetzen. Die Zeitfenster 48 Stunden, sieben Tage und gesamter Monat sind bewusst fest definiert. Dadurch bleibt die Matrix lesbar und die Navigation vorhersehbar.</w:t>
      </w:r>
    </w:p>
    <w:p>
      <w:pPr>
        <w:keepLines/>
        <w:spacing w:before="80" w:after="0"/>
        <w:ind w:left="259" w:right="259"/>
        <w:shd w:fill="F3F6F9"/>
      </w:pPr>
      <w:r>
        <w:rPr>
          <w:rFonts w:ascii="Consolas" w:hAnsi="Consolas"/>
          <w:color w:val="000000"/>
          <w:sz w:val="16"/>
        </w:rPr>
        <w:t>( SelectPartner country, Ready state ) -&gt;</w:t>
      </w:r>
    </w:p>
    <w:p>
      <w:pPr>
        <w:keepLines/>
        <w:spacing w:before="0" w:after="0"/>
        <w:ind w:left="259" w:right="259"/>
        <w:shd w:fill="F3F6F9"/>
      </w:pPr>
      <w:r>
        <w:rPr>
          <w:rFonts w:ascii="Consolas" w:hAnsi="Consolas"/>
          <w:color w:val="000000"/>
          <w:sz w:val="16"/>
        </w:rPr>
        <w:t xml:space="preserve">    Ready { state | selectedPartner = Just country }</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 SelectTime index, Ready state ) -&gt;</w:t>
      </w:r>
    </w:p>
    <w:p>
      <w:pPr>
        <w:keepLines/>
        <w:spacing w:before="0" w:after="0"/>
        <w:ind w:left="259" w:right="259"/>
        <w:shd w:fill="F3F6F9"/>
      </w:pPr>
      <w:r>
        <w:rPr>
          <w:rFonts w:ascii="Consolas" w:hAnsi="Consolas"/>
          <w:color w:val="000000"/>
          <w:sz w:val="16"/>
        </w:rPr>
        <w:t xml:space="preserve">    Ready { state | selectedIndex = index }</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 SelectCell country index, Ready state ) -&gt;</w:t>
      </w:r>
    </w:p>
    <w:p>
      <w:pPr>
        <w:keepLines/>
        <w:spacing w:before="0" w:after="0"/>
        <w:ind w:left="259" w:right="259"/>
        <w:shd w:fill="F3F6F9"/>
      </w:pPr>
      <w:r>
        <w:rPr>
          <w:rFonts w:ascii="Consolas" w:hAnsi="Consolas"/>
          <w:color w:val="000000"/>
          <w:sz w:val="16"/>
        </w:rPr>
        <w:t xml:space="preserve">    Ready</w:t>
      </w:r>
    </w:p>
    <w:p>
      <w:pPr>
        <w:keepLines/>
        <w:spacing w:before="0" w:after="0"/>
        <w:ind w:left="259" w:right="259"/>
        <w:shd w:fill="F3F6F9"/>
      </w:pPr>
      <w:r>
        <w:rPr>
          <w:rFonts w:ascii="Consolas" w:hAnsi="Consolas"/>
          <w:color w:val="000000"/>
          <w:sz w:val="16"/>
        </w:rPr>
        <w:t xml:space="preserve">        { state</w:t>
      </w:r>
    </w:p>
    <w:p>
      <w:pPr>
        <w:keepLines/>
        <w:spacing w:before="0" w:after="0"/>
        <w:ind w:left="259" w:right="259"/>
        <w:shd w:fill="F3F6F9"/>
      </w:pPr>
      <w:r>
        <w:rPr>
          <w:rFonts w:ascii="Consolas" w:hAnsi="Consolas"/>
          <w:color w:val="000000"/>
          <w:sz w:val="16"/>
        </w:rPr>
        <w:t xml:space="preserve">            | selectedPartner = Just country</w:t>
      </w:r>
    </w:p>
    <w:p>
      <w:pPr>
        <w:keepLines/>
        <w:spacing w:before="0" w:after="0"/>
        <w:ind w:left="259" w:right="259"/>
        <w:shd w:fill="F3F6F9"/>
      </w:pPr>
      <w:r>
        <w:rPr>
          <w:rFonts w:ascii="Consolas" w:hAnsi="Consolas"/>
          <w:color w:val="000000"/>
          <w:sz w:val="16"/>
        </w:rPr>
        <w:t xml:space="preserve">            , selectedIndex = index</w:t>
      </w:r>
    </w:p>
    <w:p>
      <w:pPr>
        <w:keepLines/>
        <w:spacing w:before="0" w:after="80"/>
        <w:ind w:left="259" w:right="259"/>
        <w:shd w:fill="F3F6F9"/>
      </w:pPr>
      <w:r>
        <w:rPr>
          <w:rFonts w:ascii="Consolas" w:hAnsi="Consolas"/>
          <w:color w:val="000000"/>
          <w:sz w:val="16"/>
        </w:rPr>
        <w:t xml:space="preserve">        }</w:t>
      </w:r>
    </w:p>
    <w:p>
      <w:pPr>
        <w:keepLines w:val="0"/>
      </w:pPr>
      <w:r>
        <w:rPr>
          <w:rFonts w:ascii="Helvetica Neue" w:hAnsi="Helvetica Neue"/>
          <w:color w:val="000000"/>
          <w:sz w:val="19"/>
        </w:rPr>
        <w:t>Diese drei Update-Zweige erklären die Kopplung. Eine Netzwerkauswahl ändert nur selectedPartner, eine Zeitwahl nur selectedIndex. Eine Matrixzelle setzt beide Felder atomar. Alle Ansichten erhalten danach denselben neuen State und können daher nicht mit unterschiedlichen Auswahlzuständen weiterlaufen.</w:t>
      </w:r>
    </w:p>
    <w:p>
      <w:pPr>
        <w:pStyle w:val="Heading1"/>
        <w:keepNext/>
        <w:pageBreakBefore/>
      </w:pPr>
      <w:r>
        <w:t>9 Elm Architektur und Module</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Architekturdiagramm und danach den State-Code</w:t>
      </w:r>
    </w:p>
    <w:p>
      <w:pPr>
        <w:keepLines w:val="0"/>
      </w:pPr>
      <w:r>
        <w:rPr>
          <w:rFonts w:ascii="Helvetica Neue" w:hAnsi="Helvetica Neue"/>
          <w:color w:val="000000"/>
          <w:sz w:val="19"/>
        </w:rPr>
        <w:t>Die Anwendung folgt The Elm Architecture. Das Model enthält den gesamten Zustand. Msg beschreibt mögliche Ereignisse. update erzeugt aus einer Nachricht einen neuen Zustand. view rendert daraus die Oberfläche. Da Elm unveränderliche Daten verwendet, entsteht bei jeder Interaktion ein neuer konsistenter State.</w:t>
      </w:r>
    </w:p>
    <w:p>
      <w:pPr>
        <w:keepNext/>
        <w:jc w:val="center"/>
      </w:pPr>
      <w:r>
        <w:drawing>
          <wp:inline>
            <wp:extent cx="5760720" cy="2660114"/>
            <wp:docPr id="5" name="Picture 5" descr="Moduldiagramm vom JSON-Datensatz über Api und Main zu drei zustandslosen Ansichten"/>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760720" cy="2660114"/>
                    </a:xfrm>
                    <a:prstGeom prst="rect"/>
                  </pic:spPr>
                </pic:pic>
              </a:graphicData>
            </a:graphic>
          </wp:inline>
        </w:drawing>
      </w:r>
    </w:p>
    <w:p>
      <w:pPr>
        <w:keepLines/>
        <w:spacing w:after="140"/>
        <w:jc w:val="center"/>
      </w:pPr>
      <w:r>
        <w:rPr>
          <w:rFonts w:ascii="Helvetica Neue" w:hAnsi="Helvetica Neue"/>
          <w:i/>
          <w:color w:val="5B7085"/>
          <w:sz w:val="16"/>
        </w:rPr>
        <w:t>Daten- und Zustandsfluss der Elm-Anwendung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944"/>
            <w:vAlign w:val="center"/>
            <w:shd w:fill="082A4A"/>
            <w:tcMar>
              <w:top w:w="90" w:type="dxa"/>
              <w:start w:w="100" w:type="dxa"/>
              <w:bottom w:w="90" w:type="dxa"/>
              <w:end w:w="100" w:type="dxa"/>
            </w:tcMar>
          </w:tcPr>
          <w:p>
            <w:pPr>
              <w:spacing w:after="0"/>
            </w:pPr>
            <w:r>
              <w:rPr>
                <w:rFonts w:ascii="Helvetica Neue" w:hAnsi="Helvetica Neue"/>
                <w:b/>
                <w:color w:val="FFFFFF"/>
                <w:sz w:val="17"/>
              </w:rPr>
              <w:t>Modul</w:t>
            </w:r>
          </w:p>
        </w:tc>
        <w:tc>
          <w:tcPr>
            <w:tcW w:type="dxa" w:w="4680"/>
            <w:vAlign w:val="center"/>
            <w:shd w:fill="082A4A"/>
            <w:tcMar>
              <w:top w:w="90" w:type="dxa"/>
              <w:start w:w="100" w:type="dxa"/>
              <w:bottom w:w="90" w:type="dxa"/>
              <w:end w:w="100" w:type="dxa"/>
            </w:tcMar>
          </w:tcPr>
          <w:p>
            <w:pPr>
              <w:spacing w:after="0"/>
            </w:pPr>
            <w:r>
              <w:rPr>
                <w:rFonts w:ascii="Helvetica Neue" w:hAnsi="Helvetica Neue"/>
                <w:b/>
                <w:color w:val="FFFFFF"/>
                <w:sz w:val="17"/>
              </w:rPr>
              <w:t>Aufgabe</w:t>
            </w:r>
          </w:p>
        </w:tc>
        <w:tc>
          <w:tcPr>
            <w:tcW w:type="dxa" w:w="3024"/>
            <w:vAlign w:val="center"/>
            <w:shd w:fill="082A4A"/>
            <w:tcMar>
              <w:top w:w="90" w:type="dxa"/>
              <w:start w:w="100" w:type="dxa"/>
              <w:bottom w:w="90" w:type="dxa"/>
              <w:end w:w="100" w:type="dxa"/>
            </w:tcMar>
          </w:tcPr>
          <w:p>
            <w:pPr>
              <w:spacing w:after="0"/>
            </w:pPr>
            <w:r>
              <w:rPr>
                <w:rFonts w:ascii="Helvetica Neue" w:hAnsi="Helvetica Neue"/>
                <w:b/>
                <w:color w:val="FFFFFF"/>
                <w:sz w:val="17"/>
              </w:rPr>
              <w:t>Wichtiger Punkt</w:t>
            </w:r>
          </w:p>
        </w:tc>
      </w:tr>
      <w:tr>
        <w:tc>
          <w:tcPr>
            <w:tcW w:type="dxa" w:w="1944"/>
            <w:vAlign w:val="center"/>
            <w:tcMar>
              <w:top w:w="90" w:type="dxa"/>
              <w:start w:w="100" w:type="dxa"/>
              <w:bottom w:w="90" w:type="dxa"/>
              <w:end w:w="100" w:type="dxa"/>
            </w:tcMar>
            <w:shd w:fill="FFFFFF"/>
          </w:tcPr>
          <w:p>
            <w:pPr>
              <w:spacing w:after="0"/>
            </w:pPr>
            <w:r>
              <w:rPr>
                <w:rFonts w:ascii="Helvetica Neue" w:hAnsi="Helvetica Neue"/>
                <w:color w:val="000000"/>
                <w:sz w:val="16"/>
              </w:rPr>
              <w:t>Domain.elm</w:t>
            </w:r>
          </w:p>
        </w:tc>
        <w:tc>
          <w:tcPr>
            <w:tcW w:type="dxa" w:w="4680"/>
            <w:vAlign w:val="center"/>
            <w:tcMar>
              <w:top w:w="90" w:type="dxa"/>
              <w:start w:w="100" w:type="dxa"/>
              <w:bottom w:w="90" w:type="dxa"/>
              <w:end w:w="100" w:type="dxa"/>
            </w:tcMar>
            <w:shd w:fill="FFFFFF"/>
          </w:tcPr>
          <w:p>
            <w:pPr>
              <w:spacing w:after="0"/>
            </w:pPr>
            <w:r>
              <w:rPr>
                <w:rFonts w:ascii="Helvetica Neue" w:hAnsi="Helvetica Neue"/>
                <w:color w:val="000000"/>
                <w:sz w:val="16"/>
              </w:rPr>
              <w:t>Typen für Datensatz, Stundenwerte, Erzeugung und Flüsse</w:t>
            </w:r>
          </w:p>
        </w:tc>
        <w:tc>
          <w:tcPr>
            <w:tcW w:type="dxa" w:w="3024"/>
            <w:vAlign w:val="center"/>
            <w:tcMar>
              <w:top w:w="90" w:type="dxa"/>
              <w:start w:w="100" w:type="dxa"/>
              <w:bottom w:w="90" w:type="dxa"/>
              <w:end w:w="100" w:type="dxa"/>
            </w:tcMar>
            <w:shd w:fill="FFFFFF"/>
          </w:tcPr>
          <w:p>
            <w:pPr>
              <w:spacing w:after="0"/>
            </w:pPr>
            <w:r>
              <w:rPr>
                <w:rFonts w:ascii="Helvetica Neue" w:hAnsi="Helvetica Neue"/>
                <w:color w:val="000000"/>
                <w:sz w:val="16"/>
              </w:rPr>
              <w:t>Gemeinsames fachliches Modell</w:t>
            </w:r>
          </w:p>
        </w:tc>
      </w:tr>
      <w:tr>
        <w:tc>
          <w:tcPr>
            <w:tcW w:type="dxa" w:w="1944"/>
            <w:vAlign w:val="center"/>
            <w:tcMar>
              <w:top w:w="90" w:type="dxa"/>
              <w:start w:w="100" w:type="dxa"/>
              <w:bottom w:w="90" w:type="dxa"/>
              <w:end w:w="100" w:type="dxa"/>
            </w:tcMar>
            <w:shd w:fill="EAF2F8"/>
          </w:tcPr>
          <w:p>
            <w:pPr>
              <w:spacing w:after="0"/>
            </w:pPr>
            <w:r>
              <w:rPr>
                <w:rFonts w:ascii="Helvetica Neue" w:hAnsi="Helvetica Neue"/>
                <w:color w:val="000000"/>
                <w:sz w:val="16"/>
              </w:rPr>
              <w:t>Api.elm</w:t>
            </w:r>
          </w:p>
        </w:tc>
        <w:tc>
          <w:tcPr>
            <w:tcW w:type="dxa" w:w="4680"/>
            <w:vAlign w:val="center"/>
            <w:tcMar>
              <w:top w:w="90" w:type="dxa"/>
              <w:start w:w="100" w:type="dxa"/>
              <w:bottom w:w="90" w:type="dxa"/>
              <w:end w:w="100" w:type="dxa"/>
            </w:tcMar>
            <w:shd w:fill="EAF2F8"/>
          </w:tcPr>
          <w:p>
            <w:pPr>
              <w:spacing w:after="0"/>
            </w:pPr>
            <w:r>
              <w:rPr>
                <w:rFonts w:ascii="Helvetica Neue" w:hAnsi="Helvetica Neue"/>
                <w:color w:val="000000"/>
                <w:sz w:val="16"/>
              </w:rPr>
              <w:t>HTTP-Abruf und JSON-Decoder</w:t>
            </w:r>
          </w:p>
        </w:tc>
        <w:tc>
          <w:tcPr>
            <w:tcW w:type="dxa" w:w="3024"/>
            <w:vAlign w:val="center"/>
            <w:tcMar>
              <w:top w:w="90" w:type="dxa"/>
              <w:start w:w="100" w:type="dxa"/>
              <w:bottom w:w="90" w:type="dxa"/>
              <w:end w:w="100" w:type="dxa"/>
            </w:tcMar>
            <w:shd w:fill="EAF2F8"/>
          </w:tcPr>
          <w:p>
            <w:pPr>
              <w:spacing w:after="0"/>
            </w:pPr>
            <w:r>
              <w:rPr>
                <w:rFonts w:ascii="Helvetica Neue" w:hAnsi="Helvetica Neue"/>
                <w:color w:val="000000"/>
                <w:sz w:val="16"/>
              </w:rPr>
              <w:t>Fehler wird als Result an Main gemeldet</w:t>
            </w:r>
          </w:p>
        </w:tc>
      </w:tr>
      <w:tr>
        <w:tc>
          <w:tcPr>
            <w:tcW w:type="dxa" w:w="1944"/>
            <w:vAlign w:val="center"/>
            <w:tcMar>
              <w:top w:w="90" w:type="dxa"/>
              <w:start w:w="100" w:type="dxa"/>
              <w:bottom w:w="90" w:type="dxa"/>
              <w:end w:w="100" w:type="dxa"/>
            </w:tcMar>
            <w:shd w:fill="FFFFFF"/>
          </w:tcPr>
          <w:p>
            <w:pPr>
              <w:spacing w:after="0"/>
            </w:pPr>
            <w:r>
              <w:rPr>
                <w:rFonts w:ascii="Helvetica Neue" w:hAnsi="Helvetica Neue"/>
                <w:color w:val="000000"/>
                <w:sz w:val="16"/>
              </w:rPr>
              <w:t>Main.elm</w:t>
            </w:r>
          </w:p>
        </w:tc>
        <w:tc>
          <w:tcPr>
            <w:tcW w:type="dxa" w:w="4680"/>
            <w:vAlign w:val="center"/>
            <w:tcMar>
              <w:top w:w="90" w:type="dxa"/>
              <w:start w:w="100" w:type="dxa"/>
              <w:bottom w:w="90" w:type="dxa"/>
              <w:end w:w="100" w:type="dxa"/>
            </w:tcMar>
            <w:shd w:fill="FFFFFF"/>
          </w:tcPr>
          <w:p>
            <w:pPr>
              <w:spacing w:after="0"/>
            </w:pPr>
            <w:r>
              <w:rPr>
                <w:rFonts w:ascii="Helvetica Neue" w:hAnsi="Helvetica Neue"/>
                <w:color w:val="000000"/>
                <w:sz w:val="16"/>
              </w:rPr>
              <w:t>Model, Update, Zeitfenster und Kopplung</w:t>
            </w:r>
          </w:p>
        </w:tc>
        <w:tc>
          <w:tcPr>
            <w:tcW w:type="dxa" w:w="3024"/>
            <w:vAlign w:val="center"/>
            <w:tcMar>
              <w:top w:w="90" w:type="dxa"/>
              <w:start w:w="100" w:type="dxa"/>
              <w:bottom w:w="90" w:type="dxa"/>
              <w:end w:w="100" w:type="dxa"/>
            </w:tcMar>
            <w:shd w:fill="FFFFFF"/>
          </w:tcPr>
          <w:p>
            <w:pPr>
              <w:spacing w:after="0"/>
            </w:pPr>
            <w:r>
              <w:rPr>
                <w:rFonts w:ascii="Helvetica Neue" w:hAnsi="Helvetica Neue"/>
                <w:color w:val="000000"/>
                <w:sz w:val="16"/>
              </w:rPr>
              <w:t>Ein gemeinsamer Auswahlzustand</w:t>
            </w:r>
          </w:p>
        </w:tc>
      </w:tr>
      <w:tr>
        <w:tc>
          <w:tcPr>
            <w:tcW w:type="dxa" w:w="1944"/>
            <w:vAlign w:val="center"/>
            <w:tcMar>
              <w:top w:w="90" w:type="dxa"/>
              <w:start w:w="100" w:type="dxa"/>
              <w:bottom w:w="90" w:type="dxa"/>
              <w:end w:w="100" w:type="dxa"/>
            </w:tcMar>
            <w:shd w:fill="EAF2F8"/>
          </w:tcPr>
          <w:p>
            <w:pPr>
              <w:spacing w:after="0"/>
            </w:pPr>
            <w:r>
              <w:rPr>
                <w:rFonts w:ascii="Helvetica Neue" w:hAnsi="Helvetica Neue"/>
                <w:color w:val="000000"/>
                <w:sz w:val="16"/>
              </w:rPr>
              <w:t>FlowNetwork.elm</w:t>
            </w:r>
          </w:p>
        </w:tc>
        <w:tc>
          <w:tcPr>
            <w:tcW w:type="dxa" w:w="4680"/>
            <w:vAlign w:val="center"/>
            <w:tcMar>
              <w:top w:w="90" w:type="dxa"/>
              <w:start w:w="100" w:type="dxa"/>
              <w:bottom w:w="90" w:type="dxa"/>
              <w:end w:w="100" w:type="dxa"/>
            </w:tcMar>
            <w:shd w:fill="EAF2F8"/>
          </w:tcPr>
          <w:p>
            <w:pPr>
              <w:spacing w:after="0"/>
            </w:pPr>
            <w:r>
              <w:rPr>
                <w:rFonts w:ascii="Helvetica Neue" w:hAnsi="Helvetica Neue"/>
                <w:color w:val="000000"/>
                <w:sz w:val="16"/>
              </w:rPr>
              <w:t>Gerichtete und gewichtete SVG-Kanten</w:t>
            </w:r>
          </w:p>
        </w:tc>
        <w:tc>
          <w:tcPr>
            <w:tcW w:type="dxa" w:w="3024"/>
            <w:vAlign w:val="center"/>
            <w:tcMar>
              <w:top w:w="90" w:type="dxa"/>
              <w:start w:w="100" w:type="dxa"/>
              <w:bottom w:w="90" w:type="dxa"/>
              <w:end w:w="100" w:type="dxa"/>
            </w:tcMar>
            <w:shd w:fill="EAF2F8"/>
          </w:tcPr>
          <w:p>
            <w:pPr>
              <w:spacing w:after="0"/>
            </w:pPr>
            <w:r>
              <w:rPr>
                <w:rFonts w:ascii="Helvetica Neue" w:hAnsi="Helvetica Neue"/>
                <w:color w:val="000000"/>
                <w:sz w:val="16"/>
              </w:rPr>
              <w:t>Landwahl über Callback</w:t>
            </w:r>
          </w:p>
        </w:tc>
      </w:tr>
      <w:tr>
        <w:tc>
          <w:tcPr>
            <w:tcW w:type="dxa" w:w="1944"/>
            <w:vAlign w:val="center"/>
            <w:tcMar>
              <w:top w:w="90" w:type="dxa"/>
              <w:start w:w="100" w:type="dxa"/>
              <w:bottom w:w="90" w:type="dxa"/>
              <w:end w:w="100" w:type="dxa"/>
            </w:tcMar>
            <w:shd w:fill="FFFFFF"/>
          </w:tcPr>
          <w:p>
            <w:pPr>
              <w:spacing w:after="0"/>
            </w:pPr>
            <w:r>
              <w:rPr>
                <w:rFonts w:ascii="Helvetica Neue" w:hAnsi="Helvetica Neue"/>
                <w:color w:val="000000"/>
                <w:sz w:val="16"/>
              </w:rPr>
              <w:t>TimeSeries.elm</w:t>
            </w:r>
          </w:p>
        </w:tc>
        <w:tc>
          <w:tcPr>
            <w:tcW w:type="dxa" w:w="4680"/>
            <w:vAlign w:val="center"/>
            <w:tcMar>
              <w:top w:w="90" w:type="dxa"/>
              <w:start w:w="100" w:type="dxa"/>
              <w:bottom w:w="90" w:type="dxa"/>
              <w:end w:w="100" w:type="dxa"/>
            </w:tcMar>
            <w:shd w:fill="FFFFFF"/>
          </w:tcPr>
          <w:p>
            <w:pPr>
              <w:spacing w:after="0"/>
            </w:pPr>
            <w:r>
              <w:rPr>
                <w:rFonts w:ascii="Helvetica Neue" w:hAnsi="Helvetica Neue"/>
                <w:color w:val="000000"/>
                <w:sz w:val="16"/>
              </w:rPr>
              <w:t>Gestapelte Flächen, Flusslinie und Detailwerte</w:t>
            </w:r>
          </w:p>
        </w:tc>
        <w:tc>
          <w:tcPr>
            <w:tcW w:type="dxa" w:w="3024"/>
            <w:vAlign w:val="center"/>
            <w:tcMar>
              <w:top w:w="90" w:type="dxa"/>
              <w:start w:w="100" w:type="dxa"/>
              <w:bottom w:w="90" w:type="dxa"/>
              <w:end w:w="100" w:type="dxa"/>
            </w:tcMar>
            <w:shd w:fill="FFFFFF"/>
          </w:tcPr>
          <w:p>
            <w:pPr>
              <w:spacing w:after="0"/>
            </w:pPr>
            <w:r>
              <w:rPr>
                <w:rFonts w:ascii="Helvetica Neue" w:hAnsi="Helvetica Neue"/>
                <w:color w:val="000000"/>
                <w:sz w:val="16"/>
              </w:rPr>
              <w:t>Stundenwahl über Callback</w:t>
            </w:r>
          </w:p>
        </w:tc>
      </w:tr>
      <w:tr>
        <w:tc>
          <w:tcPr>
            <w:tcW w:type="dxa" w:w="1944"/>
            <w:vAlign w:val="center"/>
            <w:tcMar>
              <w:top w:w="90" w:type="dxa"/>
              <w:start w:w="100" w:type="dxa"/>
              <w:bottom w:w="90" w:type="dxa"/>
              <w:end w:w="100" w:type="dxa"/>
            </w:tcMar>
            <w:shd w:fill="EAF2F8"/>
          </w:tcPr>
          <w:p>
            <w:pPr>
              <w:spacing w:after="0"/>
            </w:pPr>
            <w:r>
              <w:rPr>
                <w:rFonts w:ascii="Helvetica Neue" w:hAnsi="Helvetica Neue"/>
                <w:color w:val="000000"/>
                <w:sz w:val="16"/>
              </w:rPr>
              <w:t>FlowMatrix.elm</w:t>
            </w:r>
          </w:p>
        </w:tc>
        <w:tc>
          <w:tcPr>
            <w:tcW w:type="dxa" w:w="4680"/>
            <w:vAlign w:val="center"/>
            <w:tcMar>
              <w:top w:w="90" w:type="dxa"/>
              <w:start w:w="100" w:type="dxa"/>
              <w:bottom w:w="90" w:type="dxa"/>
              <w:end w:w="100" w:type="dxa"/>
            </w:tcMar>
            <w:shd w:fill="EAF2F8"/>
          </w:tcPr>
          <w:p>
            <w:pPr>
              <w:spacing w:after="0"/>
            </w:pPr>
            <w:r>
              <w:rPr>
                <w:rFonts w:ascii="Helvetica Neue" w:hAnsi="Helvetica Neue"/>
                <w:color w:val="000000"/>
                <w:sz w:val="16"/>
              </w:rPr>
              <w:t>Globale Farbskala und Zellen</w:t>
            </w:r>
          </w:p>
        </w:tc>
        <w:tc>
          <w:tcPr>
            <w:tcW w:type="dxa" w:w="3024"/>
            <w:vAlign w:val="center"/>
            <w:tcMar>
              <w:top w:w="90" w:type="dxa"/>
              <w:start w:w="100" w:type="dxa"/>
              <w:bottom w:w="90" w:type="dxa"/>
              <w:end w:w="100" w:type="dxa"/>
            </w:tcMar>
            <w:shd w:fill="EAF2F8"/>
          </w:tcPr>
          <w:p>
            <w:pPr>
              <w:spacing w:after="0"/>
            </w:pPr>
            <w:r>
              <w:rPr>
                <w:rFonts w:ascii="Helvetica Neue" w:hAnsi="Helvetica Neue"/>
                <w:color w:val="000000"/>
                <w:sz w:val="16"/>
              </w:rPr>
              <w:t>Land und Stunde gemeinsam wählen</w:t>
            </w:r>
          </w:p>
        </w:tc>
      </w:tr>
    </w:tbl>
    <w:p>
      <w:pPr>
        <w:spacing w:after="20"/>
      </w:pPr>
    </w:p>
    <w:p>
      <w:pPr>
        <w:pStyle w:val="Heading1"/>
        <w:keepNext/>
        <w:pageBreakBefore/>
      </w:pPr>
      <w:r>
        <w:t>10 Zentrale Elm Datentypen</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State und Msg nebeneinander erläutern</w:t>
      </w:r>
    </w:p>
    <w:p>
      <w:pPr>
        <w:keepLines/>
        <w:spacing w:before="80" w:after="0"/>
        <w:ind w:left="259" w:right="259"/>
        <w:shd w:fill="F3F6F9"/>
      </w:pPr>
      <w:r>
        <w:rPr>
          <w:rFonts w:ascii="Consolas" w:hAnsi="Consolas"/>
          <w:color w:val="000000"/>
          <w:sz w:val="16"/>
        </w:rPr>
        <w:t>type Model</w:t>
      </w:r>
    </w:p>
    <w:p>
      <w:pPr>
        <w:keepLines/>
        <w:spacing w:before="0" w:after="0"/>
        <w:ind w:left="259" w:right="259"/>
        <w:shd w:fill="F3F6F9"/>
      </w:pPr>
      <w:r>
        <w:rPr>
          <w:rFonts w:ascii="Consolas" w:hAnsi="Consolas"/>
          <w:color w:val="000000"/>
          <w:sz w:val="16"/>
        </w:rPr>
        <w:t xml:space="preserve">    = Loading</w:t>
      </w:r>
    </w:p>
    <w:p>
      <w:pPr>
        <w:keepLines/>
        <w:spacing w:before="0" w:after="0"/>
        <w:ind w:left="259" w:right="259"/>
        <w:shd w:fill="F3F6F9"/>
      </w:pPr>
      <w:r>
        <w:rPr>
          <w:rFonts w:ascii="Consolas" w:hAnsi="Consolas"/>
          <w:color w:val="000000"/>
          <w:sz w:val="16"/>
        </w:rPr>
        <w:t xml:space="preserve">    | Failed String</w:t>
      </w:r>
    </w:p>
    <w:p>
      <w:pPr>
        <w:keepLines/>
        <w:spacing w:before="0" w:after="0"/>
        <w:ind w:left="259" w:right="259"/>
        <w:shd w:fill="F3F6F9"/>
      </w:pPr>
      <w:r>
        <w:rPr>
          <w:rFonts w:ascii="Consolas" w:hAnsi="Consolas"/>
          <w:color w:val="000000"/>
          <w:sz w:val="16"/>
        </w:rPr>
        <w:t xml:space="preserve">    | Ready State</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type alias State =</w:t>
      </w:r>
    </w:p>
    <w:p>
      <w:pPr>
        <w:keepLines/>
        <w:spacing w:before="0" w:after="0"/>
        <w:ind w:left="259" w:right="259"/>
        <w:shd w:fill="F3F6F9"/>
      </w:pPr>
      <w:r>
        <w:rPr>
          <w:rFonts w:ascii="Consolas" w:hAnsi="Consolas"/>
          <w:color w:val="000000"/>
          <w:sz w:val="16"/>
        </w:rPr>
        <w:t xml:space="preserve">    { dataset : Dataset</w:t>
      </w:r>
    </w:p>
    <w:p>
      <w:pPr>
        <w:keepLines/>
        <w:spacing w:before="0" w:after="0"/>
        <w:ind w:left="259" w:right="259"/>
        <w:shd w:fill="F3F6F9"/>
      </w:pPr>
      <w:r>
        <w:rPr>
          <w:rFonts w:ascii="Consolas" w:hAnsi="Consolas"/>
          <w:color w:val="000000"/>
          <w:sz w:val="16"/>
        </w:rPr>
        <w:t xml:space="preserve">    , selectedIndex : Int</w:t>
      </w:r>
    </w:p>
    <w:p>
      <w:pPr>
        <w:keepLines/>
        <w:spacing w:before="0" w:after="0"/>
        <w:ind w:left="259" w:right="259"/>
        <w:shd w:fill="F3F6F9"/>
      </w:pPr>
      <w:r>
        <w:rPr>
          <w:rFonts w:ascii="Consolas" w:hAnsi="Consolas"/>
          <w:color w:val="000000"/>
          <w:sz w:val="16"/>
        </w:rPr>
        <w:t xml:space="preserve">    , selectedPartner : Maybe String</w:t>
      </w:r>
    </w:p>
    <w:p>
      <w:pPr>
        <w:keepLines/>
        <w:spacing w:before="0" w:after="0"/>
        <w:ind w:left="259" w:right="259"/>
        <w:shd w:fill="F3F6F9"/>
      </w:pPr>
      <w:r>
        <w:rPr>
          <w:rFonts w:ascii="Consolas" w:hAnsi="Consolas"/>
          <w:color w:val="000000"/>
          <w:sz w:val="16"/>
        </w:rPr>
        <w:t xml:space="preserve">    , windowStart : Int</w:t>
      </w:r>
    </w:p>
    <w:p>
      <w:pPr>
        <w:keepLines/>
        <w:spacing w:before="0" w:after="0"/>
        <w:ind w:left="259" w:right="259"/>
        <w:shd w:fill="F3F6F9"/>
      </w:pPr>
      <w:r>
        <w:rPr>
          <w:rFonts w:ascii="Consolas" w:hAnsi="Consolas"/>
          <w:color w:val="000000"/>
          <w:sz w:val="16"/>
        </w:rPr>
        <w:t xml:space="preserve">    , windowSize : Int</w:t>
      </w:r>
    </w:p>
    <w:p>
      <w:pPr>
        <w:keepLines/>
        <w:spacing w:before="0" w:after="80"/>
        <w:ind w:left="259" w:right="259"/>
        <w:shd w:fill="F3F6F9"/>
      </w:pPr>
      <w:r>
        <w:rPr>
          <w:rFonts w:ascii="Consolas" w:hAnsi="Consolas"/>
          <w:color w:val="000000"/>
          <w:sz w:val="16"/>
        </w:rPr>
        <w:t xml:space="preserve">    }</w:t>
      </w:r>
    </w:p>
    <w:p>
      <w:pPr>
        <w:keepLines w:val="0"/>
      </w:pPr>
      <w:r>
        <w:rPr>
          <w:rFonts w:ascii="Helvetica Neue" w:hAnsi="Helvetica Neue"/>
          <w:color w:val="000000"/>
          <w:sz w:val="19"/>
        </w:rPr>
        <w:t>Model trennt Laden, Fehler und die fertige Anwendung. Im Ready-State liegt der Datensatz zusammen mit der globalen Stundenposition, dem optionalen Partnerland und dem sichtbaren Zeitfenster. Maybe String ist wichtig: Die Erzeugungszeitreihe funktioniert auch dann, wenn noch kein Land gewählt wurde.</w:t>
      </w:r>
    </w:p>
    <w:p>
      <w:pPr>
        <w:keepLines/>
        <w:spacing w:before="80" w:after="0"/>
        <w:ind w:left="259" w:right="259"/>
        <w:shd w:fill="F3F6F9"/>
      </w:pPr>
      <w:r>
        <w:rPr>
          <w:rFonts w:ascii="Consolas" w:hAnsi="Consolas"/>
          <w:color w:val="000000"/>
          <w:sz w:val="16"/>
        </w:rPr>
        <w:t>type Msg</w:t>
      </w:r>
    </w:p>
    <w:p>
      <w:pPr>
        <w:keepLines/>
        <w:spacing w:before="0" w:after="0"/>
        <w:ind w:left="259" w:right="259"/>
        <w:shd w:fill="F3F6F9"/>
      </w:pPr>
      <w:r>
        <w:rPr>
          <w:rFonts w:ascii="Consolas" w:hAnsi="Consolas"/>
          <w:color w:val="000000"/>
          <w:sz w:val="16"/>
        </w:rPr>
        <w:t xml:space="preserve">    = GotDataset (Result Http.Error Dataset)</w:t>
      </w:r>
    </w:p>
    <w:p>
      <w:pPr>
        <w:keepLines/>
        <w:spacing w:before="0" w:after="0"/>
        <w:ind w:left="259" w:right="259"/>
        <w:shd w:fill="F3F6F9"/>
      </w:pPr>
      <w:r>
        <w:rPr>
          <w:rFonts w:ascii="Consolas" w:hAnsi="Consolas"/>
          <w:color w:val="000000"/>
          <w:sz w:val="16"/>
        </w:rPr>
        <w:t xml:space="preserve">    | SelectPartner String</w:t>
      </w:r>
    </w:p>
    <w:p>
      <w:pPr>
        <w:keepLines/>
        <w:spacing w:before="0" w:after="0"/>
        <w:ind w:left="259" w:right="259"/>
        <w:shd w:fill="F3F6F9"/>
      </w:pPr>
      <w:r>
        <w:rPr>
          <w:rFonts w:ascii="Consolas" w:hAnsi="Consolas"/>
          <w:color w:val="000000"/>
          <w:sz w:val="16"/>
        </w:rPr>
        <w:t xml:space="preserve">    | SelectTime Int</w:t>
      </w:r>
    </w:p>
    <w:p>
      <w:pPr>
        <w:keepLines/>
        <w:spacing w:before="0" w:after="0"/>
        <w:ind w:left="259" w:right="259"/>
        <w:shd w:fill="F3F6F9"/>
      </w:pPr>
      <w:r>
        <w:rPr>
          <w:rFonts w:ascii="Consolas" w:hAnsi="Consolas"/>
          <w:color w:val="000000"/>
          <w:sz w:val="16"/>
        </w:rPr>
        <w:t xml:space="preserve">    | SelectCell String Int</w:t>
      </w:r>
    </w:p>
    <w:p>
      <w:pPr>
        <w:keepLines/>
        <w:spacing w:before="0" w:after="0"/>
        <w:ind w:left="259" w:right="259"/>
        <w:shd w:fill="F3F6F9"/>
      </w:pPr>
      <w:r>
        <w:rPr>
          <w:rFonts w:ascii="Consolas" w:hAnsi="Consolas"/>
          <w:color w:val="000000"/>
          <w:sz w:val="16"/>
        </w:rPr>
        <w:t xml:space="preserve">    | SetWindowSize Int</w:t>
      </w:r>
    </w:p>
    <w:p>
      <w:pPr>
        <w:keepLines/>
        <w:spacing w:before="0" w:after="0"/>
        <w:ind w:left="259" w:right="259"/>
        <w:shd w:fill="F3F6F9"/>
      </w:pPr>
      <w:r>
        <w:rPr>
          <w:rFonts w:ascii="Consolas" w:hAnsi="Consolas"/>
          <w:color w:val="000000"/>
          <w:sz w:val="16"/>
        </w:rPr>
        <w:t xml:space="preserve">    | MoveWindow Int</w:t>
      </w:r>
    </w:p>
    <w:p>
      <w:pPr>
        <w:keepLines/>
        <w:spacing w:before="0" w:after="80"/>
        <w:ind w:left="259" w:right="259"/>
        <w:shd w:fill="F3F6F9"/>
      </w:pPr>
      <w:r>
        <w:rPr>
          <w:rFonts w:ascii="Consolas" w:hAnsi="Consolas"/>
          <w:color w:val="000000"/>
          <w:sz w:val="16"/>
        </w:rPr>
        <w:t xml:space="preserve">    | Reset</w:t>
      </w:r>
    </w:p>
    <w:p>
      <w:pPr>
        <w:keepLines w:val="0"/>
      </w:pPr>
      <w:r>
        <w:rPr>
          <w:rFonts w:ascii="Helvetica Neue" w:hAnsi="Helvetica Neue"/>
          <w:color w:val="000000"/>
          <w:sz w:val="19"/>
        </w:rPr>
        <w:t>Jede Benutzeraktion besitzt eine eigene Nachricht. Das macht die Zustandsübergänge nachvollziehbar und testbar. Besonders wichtig ist die Trennung zwischen SelectPartner, SelectTime und SelectCell. Dadurch ist klar, welche Dimension eine Interaktion verändert.</w:t>
      </w:r>
    </w:p>
    <w:p>
      <w:pPr>
        <w:keepLines/>
        <w:spacing w:before="80" w:after="0"/>
        <w:ind w:left="259" w:right="259"/>
        <w:shd w:fill="F3F6F9"/>
      </w:pPr>
      <w:r>
        <w:rPr>
          <w:rFonts w:ascii="Consolas" w:hAnsi="Consolas"/>
          <w:color w:val="000000"/>
          <w:sz w:val="16"/>
        </w:rPr>
        <w:t>View.TimeSeries.view visibleSamples visibleSelectedIndex</w:t>
      </w:r>
    </w:p>
    <w:p>
      <w:pPr>
        <w:keepLines/>
        <w:spacing w:before="0" w:after="0"/>
        <w:ind w:left="259" w:right="259"/>
        <w:shd w:fill="F3F6F9"/>
      </w:pPr>
      <w:r>
        <w:rPr>
          <w:rFonts w:ascii="Consolas" w:hAnsi="Consolas"/>
          <w:color w:val="000000"/>
          <w:sz w:val="16"/>
        </w:rPr>
        <w:t xml:space="preserve">    state.selectedPartner</w:t>
      </w:r>
    </w:p>
    <w:p>
      <w:pPr>
        <w:keepLines/>
        <w:spacing w:before="0" w:after="0"/>
        <w:ind w:left="259" w:right="259"/>
        <w:shd w:fill="F3F6F9"/>
      </w:pPr>
      <w:r>
        <w:rPr>
          <w:rFonts w:ascii="Consolas" w:hAnsi="Consolas"/>
          <w:color w:val="000000"/>
          <w:sz w:val="16"/>
        </w:rPr>
        <w:t xml:space="preserve">    (\localIndex -&gt; SelectTime (state.windowStart + localIndex))</w:t>
      </w:r>
    </w:p>
    <w:p>
      <w:pPr>
        <w:keepLines/>
        <w:spacing w:before="0" w:after="0"/>
        <w:ind w:left="259" w:right="259"/>
        <w:shd w:fill="F3F6F9"/>
      </w:pPr>
      <w:r>
        <w:rPr>
          <w:rFonts w:ascii="Consolas" w:hAnsi="Consolas"/>
          <w:color w:val="000000"/>
          <w:sz w:val="16"/>
        </w:rPr>
        <w:t xml:space="preserve"> </w:t>
      </w:r>
    </w:p>
    <w:p>
      <w:pPr>
        <w:keepLines/>
        <w:spacing w:before="0" w:after="0"/>
        <w:ind w:left="259" w:right="259"/>
        <w:shd w:fill="F3F6F9"/>
      </w:pPr>
      <w:r>
        <w:rPr>
          <w:rFonts w:ascii="Consolas" w:hAnsi="Consolas"/>
          <w:color w:val="000000"/>
          <w:sz w:val="16"/>
        </w:rPr>
        <w:t>View.FlowMatrix.view countryList samples visibleSamples</w:t>
      </w:r>
    </w:p>
    <w:p>
      <w:pPr>
        <w:keepLines/>
        <w:spacing w:before="0" w:after="0"/>
        <w:ind w:left="259" w:right="259"/>
        <w:shd w:fill="F3F6F9"/>
      </w:pPr>
      <w:r>
        <w:rPr>
          <w:rFonts w:ascii="Consolas" w:hAnsi="Consolas"/>
          <w:color w:val="000000"/>
          <w:sz w:val="16"/>
        </w:rPr>
        <w:t xml:space="preserve">    visibleSelectedIndex state.selectedPartner</w:t>
      </w:r>
    </w:p>
    <w:p>
      <w:pPr>
        <w:keepLines/>
        <w:spacing w:before="0" w:after="0"/>
        <w:ind w:left="259" w:right="259"/>
        <w:shd w:fill="F3F6F9"/>
      </w:pPr>
      <w:r>
        <w:rPr>
          <w:rFonts w:ascii="Consolas" w:hAnsi="Consolas"/>
          <w:color w:val="000000"/>
          <w:sz w:val="16"/>
        </w:rPr>
        <w:t xml:space="preserve">    (\country localIndex -&gt;</w:t>
      </w:r>
    </w:p>
    <w:p>
      <w:pPr>
        <w:keepLines/>
        <w:spacing w:before="0" w:after="80"/>
        <w:ind w:left="259" w:right="259"/>
        <w:shd w:fill="F3F6F9"/>
      </w:pPr>
      <w:r>
        <w:rPr>
          <w:rFonts w:ascii="Consolas" w:hAnsi="Consolas"/>
          <w:color w:val="000000"/>
          <w:sz w:val="16"/>
        </w:rPr>
        <w:t xml:space="preserve">        SelectCell country (state.windowStart + localIndex))</w:t>
      </w:r>
    </w:p>
    <w:p>
      <w:pPr>
        <w:keepLines w:val="0"/>
      </w:pPr>
      <w:r>
        <w:rPr>
          <w:rFonts w:ascii="Helvetica Neue" w:hAnsi="Helvetica Neue"/>
          <w:color w:val="000000"/>
          <w:sz w:val="19"/>
        </w:rPr>
        <w:t>Die Ansichten arbeiten mit einem lokalen Index ihres sichtbaren Fensters. Main addiert windowStart und übersetzt ihn damit in den globalen Index der 744 Stunden. Diese Umrechnung verhindert, dass ein Klick im zweiten Wochenfenster versehentlich eine Stunde aus dem Monatsanfang auswählt.</w:t>
      </w:r>
    </w:p>
    <w:p>
      <w:pPr>
        <w:pStyle w:val="Heading1"/>
        <w:keepNext/>
        <w:pageBreakBefore/>
      </w:pPr>
      <w:r>
        <w:t>11 Fallanalysen und Ergebnisse</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Jeweils die passende annotierte Abbildung oder den gespeicherten Zustand zeigen</w:t>
      </w:r>
    </w:p>
    <w:p>
      <w:pPr>
        <w:pStyle w:val="Heading2"/>
        <w:keepNext/>
        <w:pageBreakBefore w:val="0"/>
      </w:pPr>
      <w:r>
        <w:t>Frankreich am 1 Mai um 00 Uhr</w:t>
      </w:r>
    </w:p>
    <w:p>
      <w:pPr>
        <w:keepLines w:val="0"/>
      </w:pPr>
      <w:r>
        <w:rPr>
          <w:rFonts w:ascii="Helvetica Neue" w:hAnsi="Helvetica Neue"/>
          <w:color w:val="000000"/>
          <w:sz w:val="19"/>
        </w:rPr>
        <w:t>Der physische Fluss aus Frankreich beträgt plus 0,058 GW und zeigt damit einen kleinen Import nach Deutschland. Der Handelswert beträgt gleichzeitig minus 2,940 GW und steht für kommerziellen Export. Das Beispiel zeigt, warum physischer Fluss und Handel nicht synonym verwendet werden dürfen.</w:t>
      </w:r>
    </w:p>
    <w:p>
      <w:pPr>
        <w:pStyle w:val="Heading2"/>
        <w:keepNext/>
        <w:pageBreakBefore w:val="0"/>
      </w:pPr>
      <w:r>
        <w:t>Preisminimum am 11 Mai um 11 Uhr</w:t>
      </w:r>
    </w:p>
    <w:p>
      <w:pPr>
        <w:keepLines w:val="0"/>
      </w:pPr>
      <w:r>
        <w:rPr>
          <w:rFonts w:ascii="Helvetica Neue" w:hAnsi="Helvetica Neue"/>
          <w:color w:val="000000"/>
          <w:sz w:val="19"/>
        </w:rPr>
        <w:t>Der Day-Ahead-Preis erreicht minus 250,32 EUR/MWh. Die erneuerbare Leistung beträgt 58,961 GW und damit 88,7 Prozent der dargestellten Gesamterzeugung von ungefähr 66,5 GW. Gleichzeitig importiert Deutschland physisch plus 1,382 GW aus Frankreich.</w:t>
      </w:r>
    </w:p>
    <w:p>
      <w:pPr>
        <w:keepLines w:val="0"/>
      </w:pPr>
      <w:r>
        <w:rPr>
          <w:rFonts w:ascii="Helvetica Neue" w:hAnsi="Helvetica Neue"/>
          <w:color w:val="000000"/>
          <w:sz w:val="19"/>
        </w:rPr>
        <w:t>Über den gesamten Mai korreliert der Preis mit der absoluten erneuerbaren Leistung mit r gleich minus 0,758 und mit dem erneuerbaren Anteil mit r gleich minus 0,817. Die einfache Summe der elf physischen Länderflüsse korreliert mit dem Preis dagegen nur mit r gleich 0,084. Diese Werte beschreiben Zusammenhänge im Mai, aber keine Ursache.</w:t>
      </w:r>
    </w:p>
    <w:p>
      <w:pPr>
        <w:pStyle w:val="Heading2"/>
        <w:keepNext/>
        <w:pageBreakBefore w:val="0"/>
      </w:pPr>
      <w:r>
        <w:t>Dänemark am 3 Mai um 12 Uhr</w:t>
      </w:r>
    </w:p>
    <w:p>
      <w:pPr>
        <w:keepLines w:val="0"/>
      </w:pPr>
      <w:r>
        <w:rPr>
          <w:rFonts w:ascii="Helvetica Neue" w:hAnsi="Helvetica Neue"/>
          <w:color w:val="000000"/>
          <w:sz w:val="19"/>
        </w:rPr>
        <w:t>Die ausgewählte Matrixzelle zeigt minus 1,710 GW und damit Export aus Deutschland nach Dänemark. In derselben Stunde sind viele andere Partner ebenfalls blau oder nahe null, während Frankreich mit plus 0,582 GW rötlich ist. Deutschland kann also gleichzeitig gegenüber verschiedenen Ländern unterschiedliche Rollen einnehmen.</w:t>
      </w:r>
    </w:p>
    <w:p>
      <w:pPr>
        <w:pStyle w:val="Heading2"/>
        <w:keepNext/>
        <w:pageBreakBefore w:val="0"/>
      </w:pPr>
      <w:r>
        <w:t>So formuliere ich die Interpretation</w:t>
      </w:r>
    </w:p>
    <w:p>
      <w:pPr>
        <w:keepLines w:val="0"/>
      </w:pPr>
      <w:r>
        <w:rPr>
          <w:rFonts w:ascii="Helvetica Neue" w:hAnsi="Helvetica Neue"/>
          <w:color w:val="000000"/>
          <w:sz w:val="19"/>
        </w:rPr>
        <w:t>Ich spreche von einem sichtbaren oder statistischen Zusammenhang, nicht von einem Kausalnachweis. Nachfrage, Wetter, installierte Leistung, Netzengpässe und Marktmechanismen fehlen im Datensatz. Die Visualisierung hilft, eine Hypothese zu finden und anhand konkreter Werte zu prüfen; sie erklärt nicht allein, warum ein Preis oder Fluss entstanden ist.</w:t>
      </w:r>
    </w:p>
    <w:p>
      <w:pPr>
        <w:pStyle w:val="Heading1"/>
        <w:keepNext/>
        <w:pageBreakBefore/>
      </w:pPr>
      <w:r>
        <w:t>12 Fachliche Einordnung und Grenzen</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Vier kurze Literaturbezüge und anschließend die Grenzen</w:t>
      </w:r>
    </w:p>
    <w:p>
      <w:pPr>
        <w:keepLines w:val="0"/>
      </w:pPr>
      <w:r>
        <w:rPr>
          <w:rFonts w:ascii="Helvetica Neue" w:hAnsi="Helvetica Neue"/>
          <w:color w:val="000000"/>
          <w:sz w:val="19"/>
        </w:rPr>
        <w:t>Der Entwurf folgt dem verschachtelten Modell von Tamara Munzner: Zuerst wurden Domänenproblem und Aufgaben bestimmt, dann die visuellen Kodierungen und anschließend ihre technische Umsetzung. Aigner und Kollegen begründen die gemeinsame und geordnete Zeitachse. Keim beschreibt die platzsparende Stärke pixelorientierter Verfahren. North und Shneiderman liefern die Grundlage für koordinierte Ansichten und Brushing-and-Linking.</w:t>
      </w:r>
    </w:p>
    <w:p>
      <w:pPr>
        <w:keepLines w:val="0"/>
      </w:pPr>
      <w:r>
        <w:rPr>
          <w:rFonts w:ascii="Helvetica Neue" w:hAnsi="Helvetica Neue"/>
          <w:color w:val="000000"/>
          <w:sz w:val="19"/>
        </w:rPr>
        <w:t>Verwandte Visual-Analytics-Arbeiten zu Smart Grids koppeln ebenfalls mehrere Ansichten. Mein Projekt unterscheidet sich durch den retrospektiven Fokus auf Länderflüsse, Erzeugungsmix und Preis. Es enthält kein Alarmmodell und gibt keine Handlungsempfehlungen.</w:t>
      </w:r>
    </w:p>
    <w:p>
      <w:pPr>
        <w:pStyle w:val="Heading2"/>
        <w:keepNext/>
        <w:pageBreakBefore w:val="0"/>
      </w:pPr>
      <w:r>
        <w:t>Grenzen der Untersuchung</w:t>
      </w:r>
    </w:p>
    <w:p>
      <w:pPr>
        <w:spacing w:after="40"/>
        <w:ind w:left="288" w:hanging="216"/>
      </w:pPr>
      <w:r>
        <w:rPr>
          <w:rFonts w:ascii="Helvetica Neue" w:hAnsi="Helvetica Neue"/>
          <w:color w:val="000000"/>
          <w:sz w:val="19"/>
        </w:rPr>
        <w:t>• Der Mai 2025 erlaubt keine saisonalen oder mehrjährigen Aussagen.</w:t>
      </w:r>
    </w:p>
    <w:p>
      <w:pPr>
        <w:spacing w:after="40"/>
        <w:ind w:left="288" w:hanging="216"/>
      </w:pPr>
      <w:r>
        <w:rPr>
          <w:rFonts w:ascii="Helvetica Neue" w:hAnsi="Helvetica Neue"/>
          <w:color w:val="000000"/>
          <w:sz w:val="19"/>
        </w:rPr>
        <w:t>• v_totalpower umfasst auch industrielle Eigenerzeugung.</w:t>
      </w:r>
    </w:p>
    <w:p>
      <w:pPr>
        <w:spacing w:after="40"/>
        <w:ind w:left="288" w:hanging="216"/>
      </w:pPr>
      <w:r>
        <w:rPr>
          <w:rFonts w:ascii="Helvetica Neue" w:hAnsi="Helvetica Neue"/>
          <w:color w:val="000000"/>
          <w:sz w:val="19"/>
        </w:rPr>
        <w:t>• Zeitgleich auftretende Erzeugung und Grenzflüsse zeigen nicht die physische Herkunft einzelner Strommengen.</w:t>
      </w:r>
    </w:p>
    <w:p>
      <w:pPr>
        <w:spacing w:after="40"/>
        <w:ind w:left="288" w:hanging="216"/>
      </w:pPr>
      <w:r>
        <w:rPr>
          <w:rFonts w:ascii="Helvetica Neue" w:hAnsi="Helvetica Neue"/>
          <w:color w:val="000000"/>
          <w:sz w:val="19"/>
        </w:rPr>
        <w:t>• Die Summe der elf bilateralen Flüsse ist eine eigene explorative Kennzahl und kein separates Energy-Charts-Messfeld.</w:t>
      </w:r>
    </w:p>
    <w:p>
      <w:pPr>
        <w:spacing w:after="40"/>
        <w:ind w:left="288" w:hanging="216"/>
      </w:pPr>
      <w:r>
        <w:rPr>
          <w:rFonts w:ascii="Helvetica Neue" w:hAnsi="Helvetica Neue"/>
          <w:color w:val="000000"/>
          <w:sz w:val="19"/>
        </w:rPr>
        <w:t>• Freies Zoomen, Mehrfachauswahl und Sortierung der Matrixzeilen wurden nicht umgesetzt.</w:t>
      </w:r>
    </w:p>
    <w:p>
      <w:pPr>
        <w:pStyle w:val="Heading2"/>
        <w:keepNext/>
        <w:pageBreakBefore w:val="0"/>
      </w:pPr>
      <w:r>
        <w:t>Sinnvolle Erweiterungen</w:t>
      </w:r>
    </w:p>
    <w:p>
      <w:pPr>
        <w:keepLines w:val="0"/>
      </w:pPr>
      <w:r>
        <w:rPr>
          <w:rFonts w:ascii="Helvetica Neue" w:hAnsi="Helvetica Neue"/>
          <w:color w:val="000000"/>
          <w:sz w:val="19"/>
        </w:rPr>
        <w:t>Sinnvolle nächste Schritte wären frei wählbare Start- und Enddaten, ein Drill-down auf einzelne Erzeugungstechnologien, ein Scatterplot für Preis und erneuerbare Leistung, eine Differenzansicht für CBPF und CBET sowie saisonale oder mehrjährige Analysen.</w:t>
      </w:r>
    </w:p>
    <w:p>
      <w:pPr>
        <w:pStyle w:val="Heading1"/>
        <w:keepNext/>
        <w:pageBreakBefore/>
      </w:pPr>
      <w:r>
        <w:t>13 Fazit</w:t>
      </w:r>
    </w:p>
    <w:p>
      <w:pPr>
        <w:keepNext/>
        <w:spacing w:before="40" w:after="120"/>
      </w:pPr>
      <w:r>
        <w:rPr>
          <w:rFonts w:ascii="Helvetica Neue" w:hAnsi="Helvetica Neue"/>
          <w:b/>
          <w:color w:val="5B7085"/>
          <w:sz w:val="17"/>
        </w:rPr>
        <w:t xml:space="preserve">Zeigen  </w:t>
      </w:r>
      <w:r>
        <w:rPr>
          <w:rFonts w:ascii="Helvetica Neue" w:hAnsi="Helvetica Neue"/>
          <w:i/>
          <w:color w:val="5B7085"/>
          <w:sz w:val="17"/>
        </w:rPr>
        <w:t>Gesamtansicht oder eine Folie mit den drei Ansichten</w:t>
      </w:r>
    </w:p>
    <w:p>
      <w:pPr>
        <w:keepLines w:val="0"/>
      </w:pPr>
      <w:r>
        <w:rPr>
          <w:rFonts w:ascii="Helvetica Neue" w:hAnsi="Helvetica Neue"/>
          <w:color w:val="000000"/>
          <w:sz w:val="19"/>
        </w:rPr>
        <w:t>Ich fasse zusammen: Der Netzwerkgraph beantwortet, mit welchen Ländern Deutschland in einer Stunde physisch verbunden ist und in welche Richtung Leistung fließt. Die Zeitreihe zeigt, wie sich Erzeugungsmix, Preis und ein ausgewählter Länderfluss zeitlich entwickeln. Die Pixelmatrix verdichtet den Monat zu einem Überblick und dient gleichzeitig als Auswahlwerkzeug.</w:t>
      </w:r>
    </w:p>
    <w:p>
      <w:pPr>
        <w:keepLines w:val="0"/>
      </w:pPr>
      <w:r>
        <w:rPr>
          <w:rFonts w:ascii="Helvetica Neue" w:hAnsi="Helvetica Neue"/>
          <w:color w:val="000000"/>
          <w:sz w:val="19"/>
        </w:rPr>
        <w:t>Der wichtigste technische Punkt ist der gemeinsame Elm-Zustand. Land, Stunde und Zeitfenster werden zentral verwaltet und an alle zustandslosen Ansichten weitergegeben. Dadurch wirkt jede Auswahl über die Grenzen eines einzelnen Diagramms hinaus.</w:t>
      </w:r>
    </w:p>
    <w:p>
      <w:pPr>
        <w:keepLines w:val="0"/>
      </w:pPr>
      <w:r>
        <w:rPr>
          <w:rFonts w:ascii="Helvetica Neue" w:hAnsi="Helvetica Neue"/>
          <w:color w:val="000000"/>
          <w:sz w:val="19"/>
        </w:rPr>
        <w:t>Inhaltlich zeigt die Fallanalyse einen deutlichen negativen Zusammenhang zwischen erneuerbarer Erzeugung und Preis im Mai 2025. Sie zeigt außerdem, dass physischer Fluss und Handel unterschiedliche Richtungen haben können und dass Deutschland in derselben Stunde gegenüber verschiedenen Ländern importieren und exportieren kann.</w:t>
      </w:r>
    </w:p>
    <w:p>
      <w:pPr>
        <w:keepLines w:val="0"/>
      </w:pPr>
      <w:r>
        <w:rPr>
          <w:rFonts w:ascii="Helvetica Neue" w:hAnsi="Helvetica Neue"/>
          <w:color w:val="000000"/>
          <w:sz w:val="19"/>
        </w:rPr>
        <w:t>Damit endet mein Vortrag. Vielen Dank für Ihre Aufmerksamkeit. Ich beantworte gern Ihre Fragen.</w:t>
      </w:r>
    </w:p>
    <w:p>
      <w:pPr>
        <w:pStyle w:val="Heading1"/>
        <w:keepNext/>
        <w:pageBreakBefore/>
      </w:pPr>
      <w:r>
        <w:t>Fragen und kurze Antworten</w:t>
      </w:r>
    </w:p>
    <w:p>
      <w:pPr>
        <w:pStyle w:val="Heading2"/>
        <w:keepNext/>
        <w:pageBreakBefore w:val="0"/>
      </w:pPr>
      <w:r>
        <w:t>Warum kein geografischer Kartenausschnitt</w:t>
      </w:r>
    </w:p>
    <w:p>
      <w:pPr>
        <w:keepLines w:val="0"/>
      </w:pPr>
      <w:r>
        <w:rPr>
          <w:rFonts w:ascii="Helvetica Neue" w:hAnsi="Helvetica Neue"/>
          <w:color w:val="000000"/>
          <w:sz w:val="19"/>
        </w:rPr>
        <w:t>Die Entfernung zwischen Ländern ist keine Datendimension. Für elf Beziehungen zu einem Zentrum zeigt der radiale Graph Richtung und Betrag platzsparender. Eine Karte wäre eine sinnvolle spätere Ergänzung für geografische Orientierung.</w:t>
      </w:r>
    </w:p>
    <w:p>
      <w:pPr>
        <w:pStyle w:val="Heading2"/>
        <w:keepNext/>
        <w:pageBreakBefore w:val="0"/>
      </w:pPr>
      <w:r>
        <w:t>Warum wird der Preis nicht als Linie über die Erzeugung gelegt</w:t>
      </w:r>
    </w:p>
    <w:p>
      <w:pPr>
        <w:keepLines w:val="0"/>
      </w:pPr>
      <w:r>
        <w:rPr>
          <w:rFonts w:ascii="Helvetica Neue" w:hAnsi="Helvetica Neue"/>
          <w:color w:val="000000"/>
          <w:sz w:val="19"/>
        </w:rPr>
        <w:t>Preis wird in EUR/MWh gemessen, Erzeugung in GW. Eine gemeinsame Y-Achse wäre fachlich falsch. Der Preis steht deshalb im Detailfeld derselben ausgewählten Stunde.</w:t>
      </w:r>
    </w:p>
    <w:p>
      <w:pPr>
        <w:pStyle w:val="Heading2"/>
        <w:keepNext/>
        <w:pageBreakBefore w:val="0"/>
      </w:pPr>
      <w:r>
        <w:t>Warum wird Python verwendet, obwohl Elm gefordert ist</w:t>
      </w:r>
    </w:p>
    <w:p>
      <w:pPr>
        <w:keepLines w:val="0"/>
      </w:pPr>
      <w:r>
        <w:rPr>
          <w:rFonts w:ascii="Helvetica Neue" w:hAnsi="Helvetica Neue"/>
          <w:color w:val="000000"/>
          <w:sz w:val="19"/>
        </w:rPr>
        <w:t>Python übernimmt nur geschützten Datenabruf, Normalisierung und Validierung. Alle drei interaktiven Visualisierungen, ihre SVG-Geometrie und ihre Kopplung sind in Elm implementiert.</w:t>
      </w:r>
    </w:p>
    <w:p>
      <w:pPr>
        <w:pStyle w:val="Heading2"/>
        <w:keepNext/>
        <w:pageBreakBefore w:val="0"/>
      </w:pPr>
      <w:r>
        <w:t>Was ist der Unterschied zwischen CBPF und CBET</w:t>
      </w:r>
    </w:p>
    <w:p>
      <w:pPr>
        <w:keepLines w:val="0"/>
      </w:pPr>
      <w:r>
        <w:rPr>
          <w:rFonts w:ascii="Helvetica Neue" w:hAnsi="Helvetica Neue"/>
          <w:color w:val="000000"/>
          <w:sz w:val="19"/>
        </w:rPr>
        <w:t>CBPF beschreibt den gemessenen physischen Grenzfluss. CBET beschreibt den kommerziellen grenzüberschreitenden Handel. Beide können gleichzeitig unterschiedliche Vorzeichen besitzen.</w:t>
      </w:r>
    </w:p>
    <w:p>
      <w:pPr>
        <w:pStyle w:val="Heading2"/>
        <w:keepNext/>
        <w:pageBreakBefore w:val="0"/>
      </w:pPr>
      <w:r>
        <w:t>Warum Mai 2025</w:t>
      </w:r>
    </w:p>
    <w:p>
      <w:pPr>
        <w:keepLines w:val="0"/>
      </w:pPr>
      <w:r>
        <w:rPr>
          <w:rFonts w:ascii="Helvetica Neue" w:hAnsi="Helvetica Neue"/>
          <w:color w:val="000000"/>
          <w:sz w:val="19"/>
        </w:rPr>
        <w:t>Ein vollständiger Monat enthält 744 Stunden, mehrere Tages- und Wochenmuster sowie positive und negative Preise. Er ist groß genug für Exploration und bleibt in der Pixelmatrix handhabbar.</w:t>
      </w:r>
    </w:p>
    <w:p>
      <w:pPr>
        <w:pStyle w:val="Heading2"/>
        <w:keepNext/>
        <w:pageBreakBefore w:val="0"/>
      </w:pPr>
      <w:r>
        <w:t>Sind die Farben der Matrix zwischen Zeilen vergleichbar</w:t>
      </w:r>
    </w:p>
    <w:p>
      <w:pPr>
        <w:keepLines w:val="0"/>
      </w:pPr>
      <w:r>
        <w:rPr>
          <w:rFonts w:ascii="Helvetica Neue" w:hAnsi="Helvetica Neue"/>
          <w:color w:val="000000"/>
          <w:sz w:val="19"/>
        </w:rPr>
        <w:t>Ja. Das Maximum wird aus allen 8184 Monatswerten gebildet. Es hängt nicht vom sichtbaren Fenster oder vom Partnerland ab.</w:t>
      </w:r>
    </w:p>
    <w:p>
      <w:pPr>
        <w:pStyle w:val="Heading2"/>
        <w:keepNext/>
        <w:pageBreakBefore w:val="0"/>
      </w:pPr>
      <w:r>
        <w:t>Was bedeutet ein negativer Preis</w:t>
      </w:r>
    </w:p>
    <w:p>
      <w:pPr>
        <w:keepLines w:val="0"/>
      </w:pPr>
      <w:r>
        <w:rPr>
          <w:rFonts w:ascii="Helvetica Neue" w:hAnsi="Helvetica Neue"/>
          <w:color w:val="000000"/>
          <w:sz w:val="19"/>
        </w:rPr>
        <w:t>Der Day-Ahead-Marktpreis liegt unter null. Das kann bei hohem Angebot, geringer Nachfrage oder begrenzter Flexibilität auftreten. Die Anwendung zeigt Zusammenhänge, beweist aber keine einzelne Ursache.</w:t>
      </w:r>
    </w:p>
    <w:p>
      <w:pPr>
        <w:pStyle w:val="Heading2"/>
        <w:keepNext/>
        <w:pageBreakBefore w:val="0"/>
      </w:pPr>
      <w:r>
        <w:t>Wie werden Zugangsdaten geschützt</w:t>
      </w:r>
    </w:p>
    <w:p>
      <w:pPr>
        <w:keepLines w:val="0"/>
      </w:pPr>
      <w:r>
        <w:rPr>
          <w:rFonts w:ascii="Helvetica Neue" w:hAnsi="Helvetica Neue"/>
          <w:color w:val="000000"/>
          <w:sz w:val="19"/>
        </w:rPr>
        <w:t>Nur das lokale Exportskript verwendet Token oder Passwort. Die veröffentlichte Elm-Anwendung lädt eine vorbereitete JSON-Datei und enthält keine Datenbankzugangsdaten.</w:t>
      </w:r>
    </w:p>
    <w:p>
      <w:pPr>
        <w:pStyle w:val="Heading2"/>
        <w:keepNext/>
        <w:pageBreakBefore w:val="0"/>
      </w:pPr>
      <w:r>
        <w:t>Was würdest du als Nächstes verbessern</w:t>
      </w:r>
    </w:p>
    <w:p>
      <w:pPr>
        <w:keepLines w:val="0"/>
      </w:pPr>
      <w:r>
        <w:rPr>
          <w:rFonts w:ascii="Helvetica Neue" w:hAnsi="Helvetica Neue"/>
          <w:color w:val="000000"/>
          <w:sz w:val="19"/>
        </w:rPr>
        <w:t>Ich würde frei wählbare Zeiträume, einen Drill-down auf Einzeltechnologien und einen Scatterplot für Preis-Erzeugungs-Zusammenhänge ergänzen.</w:t>
      </w:r>
    </w:p>
    <w:p>
      <w:pPr>
        <w:pStyle w:val="Heading2"/>
        <w:keepNext/>
        <w:pageBreakBefore w:val="0"/>
      </w:pPr>
      <w:r>
        <w:t>Quellen für Rückfragen</w:t>
      </w:r>
    </w:p>
    <w:p>
      <w:pPr>
        <w:spacing w:after="40"/>
        <w:ind w:left="288" w:hanging="216"/>
      </w:pPr>
      <w:r>
        <w:rPr>
          <w:rFonts w:ascii="Helvetica Neue" w:hAnsi="Helvetica Neue"/>
          <w:color w:val="000000"/>
          <w:sz w:val="19"/>
        </w:rPr>
        <w:t>• Energy-Charts API und OpenAPI-Spezifikation</w:t>
      </w:r>
    </w:p>
    <w:p>
      <w:pPr>
        <w:spacing w:after="40"/>
        <w:ind w:left="288" w:hanging="216"/>
      </w:pPr>
      <w:r>
        <w:rPr>
          <w:rFonts w:ascii="Helvetica Neue" w:hAnsi="Helvetica Neue"/>
          <w:color w:val="000000"/>
          <w:sz w:val="19"/>
        </w:rPr>
        <w:t>• PostgREST-Dokumentation zu Tabellen, Views, Limits und Pagination</w:t>
      </w:r>
    </w:p>
    <w:p>
      <w:pPr>
        <w:spacing w:after="40"/>
        <w:ind w:left="288" w:hanging="216"/>
      </w:pPr>
      <w:r>
        <w:rPr>
          <w:rFonts w:ascii="Helvetica Neue" w:hAnsi="Helvetica Neue"/>
          <w:color w:val="000000"/>
          <w:sz w:val="19"/>
        </w:rPr>
        <w:t>• Elm Guide zu The Elm Architecture</w:t>
      </w:r>
    </w:p>
    <w:p>
      <w:pPr>
        <w:spacing w:after="40"/>
        <w:ind w:left="288" w:hanging="216"/>
      </w:pPr>
      <w:r>
        <w:rPr>
          <w:rFonts w:ascii="Helvetica Neue" w:hAnsi="Helvetica Neue"/>
          <w:color w:val="000000"/>
          <w:sz w:val="19"/>
        </w:rPr>
        <w:t>• Tamara Munzner zu Design und Validierung von Visualisierungen</w:t>
      </w:r>
    </w:p>
    <w:p>
      <w:pPr>
        <w:spacing w:after="40"/>
        <w:ind w:left="288" w:hanging="216"/>
      </w:pPr>
      <w:r>
        <w:rPr>
          <w:rFonts w:ascii="Helvetica Neue" w:hAnsi="Helvetica Neue"/>
          <w:color w:val="000000"/>
          <w:sz w:val="19"/>
        </w:rPr>
        <w:t>• Aigner, Miksch, Schumann und Tominski zu zeitbezogenen Daten</w:t>
      </w:r>
    </w:p>
    <w:p>
      <w:pPr>
        <w:spacing w:after="40"/>
        <w:ind w:left="288" w:hanging="216"/>
      </w:pPr>
      <w:r>
        <w:rPr>
          <w:rFonts w:ascii="Helvetica Neue" w:hAnsi="Helvetica Neue"/>
          <w:color w:val="000000"/>
          <w:sz w:val="19"/>
        </w:rPr>
        <w:t>• Daniel A. Keim zu pixelorientierten Visualisierungstechniken</w:t>
      </w:r>
    </w:p>
    <w:p>
      <w:pPr>
        <w:spacing w:after="40"/>
        <w:ind w:left="288" w:hanging="216"/>
      </w:pPr>
      <w:r>
        <w:rPr>
          <w:rFonts w:ascii="Helvetica Neue" w:hAnsi="Helvetica Neue"/>
          <w:color w:val="000000"/>
          <w:sz w:val="19"/>
        </w:rPr>
        <w:t>• North und Shneiderman zu koordinierten Ansichten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color w:val="5B7085"/>
        <w:sz w:val="15"/>
      </w:rPr>
      <w:t>Jann Körner | Vortragsmanuskript | Informationsvisualisierung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Helvetica Neue" w:hAnsi="Helvetica Neue"/>
      <w:color w:val="000000"/>
      <w:sz w:val="19"/>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00"/>
    </w:pPr>
    <w:rPr>
      <w:rFonts w:ascii="Helvetica Neue" w:hAnsi="Helvetica Neue"/>
      <w:b/>
      <w:bCs w:val="1"/>
      <w:color w:val="000000"/>
      <w:sz w:val="28"/>
      <w:szCs w:val="27"/>
    </w:rPr>
  </w:style>
  <w:style w:type="paragraph" w:styleId="Heading2">
    <w:name w:val="heading 2"/>
    <w:basedOn w:val="Normal"/>
    <w:next w:val="Normal"/>
    <w:pPr>
      <w:keepNext/>
      <w:keepLines w:val="1"/>
      <w:spacing w:after="100" w:before="200" w:lineRule="auto"/>
    </w:pPr>
    <w:rPr>
      <w:rFonts w:ascii="Helvetica Neue" w:cs="Calibri" w:eastAsia="Calibri" w:hAnsi="Helvetica Neue"/>
      <w:b/>
      <w:bCs w:val="1"/>
      <w:smallCaps w:val="1"/>
      <w:color w:val="000000"/>
      <w:sz w:val="22"/>
      <w:szCs w:val="19"/>
    </w:rPr>
  </w:style>
  <w:style w:type="paragraph" w:styleId="Heading3">
    <w:name w:val="heading 3"/>
    <w:basedOn w:val="Normal"/>
    <w:next w:val="Normal"/>
    <w:pPr>
      <w:keepNext/>
      <w:keepLines w:val="1"/>
      <w:spacing w:before="200" w:after="100"/>
    </w:pPr>
    <w:rPr>
      <w:rFonts w:ascii="Helvetica Neue" w:cs="Helvetica Neue" w:eastAsia="Helvetica Neue" w:hAnsi="Helvetica Neue"/>
      <w:b/>
      <w:bCs w:val="1"/>
      <w:color w:val="000000"/>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60" w:lineRule="auto"/>
    </w:pPr>
    <w:rPr>
      <w:b/>
      <w:bCs w:val="1"/>
      <w:color w:val="000000"/>
      <w:sz w:val="48"/>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Vortragsmanuskript Deutschlands Rolle im europäischen Stromnetz</dc:title>
  <cp:lastModifiedBy>python-docx</cp:lastModifiedBy>
  <cp:revision>1</cp:revision>
  <dcterms:modified xsi:type="dcterms:W3CDTF">2026-09-11T12:13:28Z</dcterms:modified>
  <dc:subject>Projektvortrag Informationsvisualisierung</dc:subject>
  <dc:creator>Jann Körner</dc:creator>
  <cp:keywords>Elm, Visual Analytics, Energy Charts, Stromnetz</cp:keywords>
</cp:coreProperties>
</file>