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sz w:val="46"/>
        </w:rPr>
        <w:t>Final ESG Generated-vs-Actual Analysis</w:t>
      </w:r>
    </w:p>
    <w:p>
      <w:pPr>
        <w:spacing w:after="280"/>
      </w:pPr>
      <w:r>
        <w:rPr>
          <w:rFonts w:ascii="Calibri" w:hAnsi="Calibri"/>
          <w:color w:val="4B5563"/>
          <w:sz w:val="24"/>
        </w:rPr>
        <w:t>Integrated synthesis of Python text metrics and LLM-style qualitative analysis</w:t>
      </w:r>
    </w:p>
    <w:p>
      <w:pPr>
        <w:pStyle w:val="Heading1"/>
      </w:pPr>
      <w:r>
        <w:t>Executive Summary</w:t>
      </w:r>
    </w:p>
    <w:p>
      <w:r>
        <w:t>The DataNXT-generated ESG reports reproduce the broad ESG structure of the official benchmark reports, but they are much shorter and more standardized. The official reports remain stronger as audit-ready disclosure documents because they contain more quantified evidence, reporting-boundary detail, framework language, and company-specific risk information.</w:t>
      </w:r>
    </w:p>
    <w:p>
      <w:pPr>
        <w:pStyle w:val="ListBullet"/>
        <w:spacing w:after="80" w:line="280" w:lineRule="auto"/>
      </w:pPr>
      <w:r>
        <w:t>Closest generated-vs-actual vocabulary match: SAP with TF-IDF cosine similarity of 0.3436.</w:t>
      </w:r>
    </w:p>
    <w:p>
      <w:pPr>
        <w:pStyle w:val="ListBullet"/>
        <w:spacing w:after="80" w:line="280" w:lineRule="auto"/>
      </w:pPr>
      <w:r>
        <w:t>Lowest generated-vs-actual vocabulary match: Zalando with TF-IDF cosine similarity of 0.2665.</w:t>
      </w:r>
    </w:p>
    <w:p>
      <w:pPr>
        <w:pStyle w:val="ListBullet"/>
        <w:spacing w:after="80" w:line="280" w:lineRule="auto"/>
      </w:pPr>
      <w:r>
        <w:t>Across all four companies, generated reports are compact summaries rather than substitutes for official ESG or annual-report disclosures.</w:t>
      </w:r>
    </w:p>
    <w:p>
      <w:pPr>
        <w:pStyle w:val="ListBullet"/>
        <w:spacing w:after="80" w:line="280" w:lineRule="auto"/>
      </w:pPr>
      <w:r>
        <w:t>The strongest qualitative limitation is not direct contradiction, but missing depth: official reports include disclosure boundaries, assurance language, materiality framing, tables, and operational metrics that generated reports compress.</w:t>
      </w:r>
    </w:p>
    <w:p>
      <w:pPr>
        <w:pStyle w:val="Heading1"/>
      </w:pPr>
      <w:r>
        <w:t>Data and Source Basis</w:t>
      </w:r>
    </w:p>
    <w:tbl>
      <w:tblPr>
        <w:tblStyle w:val="TableGrid"/>
        <w:tblW w:type="dxa" w:w="9360"/>
        <w:jc w:val="left"/>
        <w:tblLayout w:type="fixed"/>
        <w:tblLook w:firstColumn="1" w:firstRow="1" w:lastColumn="0" w:lastRow="0" w:noHBand="0" w:noVBand="1" w:val="04A0"/>
        <w:tblInd w:type="dxa" w:w="120"/>
      </w:tblPr>
      <w:tblGrid>
        <w:gridCol w:w="1260"/>
        <w:gridCol w:w="3000"/>
        <w:gridCol w:w="5100"/>
      </w:tblGrid>
      <w:tr>
        <w:tc>
          <w:tcPr>
            <w:tcW w:type="dxa" w:w="1260"/>
            <w:vAlign w:val="center"/>
            <w:tcMar>
              <w:top w:w="80" w:type="dxa"/>
              <w:start w:w="120" w:type="dxa"/>
              <w:bottom w:w="80" w:type="dxa"/>
              <w:end w:w="120" w:type="dxa"/>
            </w:tcMar>
            <w:shd w:fill="F2F4F7"/>
          </w:tcPr>
          <w:p>
            <w:pPr>
              <w:spacing w:after="60"/>
            </w:pPr>
            <w:r>
              <w:rPr>
                <w:rFonts w:ascii="Calibri" w:hAnsi="Calibri"/>
                <w:b/>
                <w:sz w:val="18"/>
              </w:rPr>
              <w:t>Company</w:t>
            </w:r>
          </w:p>
        </w:tc>
        <w:tc>
          <w:tcPr>
            <w:tcW w:type="dxa" w:w="3000"/>
            <w:vAlign w:val="center"/>
            <w:tcMar>
              <w:top w:w="80" w:type="dxa"/>
              <w:start w:w="120" w:type="dxa"/>
              <w:bottom w:w="80" w:type="dxa"/>
              <w:end w:w="120" w:type="dxa"/>
            </w:tcMar>
            <w:shd w:fill="F2F4F7"/>
          </w:tcPr>
          <w:p>
            <w:pPr>
              <w:spacing w:after="60"/>
            </w:pPr>
            <w:r>
              <w:rPr>
                <w:rFonts w:ascii="Calibri" w:hAnsi="Calibri"/>
                <w:b/>
                <w:sz w:val="18"/>
              </w:rPr>
              <w:t>Generated source</w:t>
            </w:r>
          </w:p>
        </w:tc>
        <w:tc>
          <w:tcPr>
            <w:tcW w:type="dxa" w:w="5100"/>
            <w:vAlign w:val="center"/>
            <w:tcMar>
              <w:top w:w="80" w:type="dxa"/>
              <w:start w:w="120" w:type="dxa"/>
              <w:bottom w:w="80" w:type="dxa"/>
              <w:end w:w="120" w:type="dxa"/>
            </w:tcMar>
            <w:shd w:fill="F2F4F7"/>
          </w:tcPr>
          <w:p>
            <w:pPr>
              <w:spacing w:after="60"/>
            </w:pPr>
            <w:r>
              <w:rPr>
                <w:rFonts w:ascii="Calibri" w:hAnsi="Calibri"/>
                <w:b/>
                <w:sz w:val="18"/>
              </w:rPr>
              <w:t>Actual benchmark source</w:t>
            </w:r>
          </w:p>
        </w:tc>
      </w:tr>
      <w:tr>
        <w:tc>
          <w:tcPr>
            <w:tcW w:type="dxa" w:w="1260"/>
            <w:vAlign w:val="center"/>
            <w:tcMar>
              <w:top w:w="80" w:type="dxa"/>
              <w:start w:w="120" w:type="dxa"/>
              <w:bottom w:w="80" w:type="dxa"/>
              <w:end w:w="120" w:type="dxa"/>
            </w:tcMar>
          </w:tcPr>
          <w:p>
            <w:pPr>
              <w:spacing w:after="60"/>
            </w:pPr>
            <w:r>
              <w:rPr>
                <w:rFonts w:ascii="Calibri" w:hAnsi="Calibri"/>
                <w:sz w:val="18"/>
              </w:rPr>
              <w:t>Amazon</w:t>
            </w:r>
          </w:p>
        </w:tc>
        <w:tc>
          <w:tcPr>
            <w:tcW w:type="dxa" w:w="3000"/>
            <w:vAlign w:val="center"/>
            <w:tcMar>
              <w:top w:w="80" w:type="dxa"/>
              <w:start w:w="120" w:type="dxa"/>
              <w:bottom w:w="80" w:type="dxa"/>
              <w:end w:w="120" w:type="dxa"/>
            </w:tcMar>
          </w:tcPr>
          <w:p>
            <w:pPr>
              <w:spacing w:after="60"/>
            </w:pPr>
            <w:r>
              <w:rPr>
                <w:rFonts w:ascii="Calibri" w:hAnsi="Calibri"/>
                <w:sz w:val="18"/>
              </w:rPr>
              <w:t>Amazon_ESG_Report_Generated.docx</w:t>
            </w:r>
          </w:p>
        </w:tc>
        <w:tc>
          <w:tcPr>
            <w:tcW w:type="dxa" w:w="5100"/>
            <w:vAlign w:val="center"/>
            <w:tcMar>
              <w:top w:w="80" w:type="dxa"/>
              <w:start w:w="120" w:type="dxa"/>
              <w:bottom w:w="80" w:type="dxa"/>
              <w:end w:w="120" w:type="dxa"/>
            </w:tcMar>
          </w:tcPr>
          <w:p>
            <w:pPr>
              <w:spacing w:after="60"/>
            </w:pPr>
            <w:r>
              <w:rPr>
                <w:rFonts w:ascii="Calibri" w:hAnsi="Calibri"/>
                <w:sz w:val="18"/>
              </w:rPr>
              <w:t>2024 Amazon Sustainability Report - 2024-amazon-sustainability-report.pdf</w:t>
            </w:r>
          </w:p>
        </w:tc>
      </w:tr>
      <w:tr>
        <w:tc>
          <w:tcPr>
            <w:tcW w:type="dxa" w:w="1260"/>
            <w:vAlign w:val="center"/>
            <w:tcMar>
              <w:top w:w="80" w:type="dxa"/>
              <w:start w:w="120" w:type="dxa"/>
              <w:bottom w:w="80" w:type="dxa"/>
              <w:end w:w="120" w:type="dxa"/>
            </w:tcMar>
          </w:tcPr>
          <w:p>
            <w:pPr>
              <w:spacing w:after="60"/>
            </w:pPr>
            <w:r>
              <w:rPr>
                <w:rFonts w:ascii="Calibri" w:hAnsi="Calibri"/>
                <w:sz w:val="18"/>
              </w:rPr>
              <w:t>Microsoft</w:t>
            </w:r>
          </w:p>
        </w:tc>
        <w:tc>
          <w:tcPr>
            <w:tcW w:type="dxa" w:w="3000"/>
            <w:vAlign w:val="center"/>
            <w:tcMar>
              <w:top w:w="80" w:type="dxa"/>
              <w:start w:w="120" w:type="dxa"/>
              <w:bottom w:w="80" w:type="dxa"/>
              <w:end w:w="120" w:type="dxa"/>
            </w:tcMar>
          </w:tcPr>
          <w:p>
            <w:pPr>
              <w:spacing w:after="60"/>
            </w:pPr>
            <w:r>
              <w:rPr>
                <w:rFonts w:ascii="Calibri" w:hAnsi="Calibri"/>
                <w:sz w:val="18"/>
              </w:rPr>
              <w:t>Microsoft_ESG_Report_Generated.docx</w:t>
            </w:r>
          </w:p>
        </w:tc>
        <w:tc>
          <w:tcPr>
            <w:tcW w:type="dxa" w:w="5100"/>
            <w:vAlign w:val="center"/>
            <w:tcMar>
              <w:top w:w="80" w:type="dxa"/>
              <w:start w:w="120" w:type="dxa"/>
              <w:bottom w:w="80" w:type="dxa"/>
              <w:end w:w="120" w:type="dxa"/>
            </w:tcMar>
          </w:tcPr>
          <w:p>
            <w:pPr>
              <w:spacing w:after="60"/>
            </w:pPr>
            <w:r>
              <w:rPr>
                <w:rFonts w:ascii="Calibri" w:hAnsi="Calibri"/>
                <w:sz w:val="18"/>
              </w:rPr>
              <w:t>microsoft_2025_environmental_sustainability_report.pdf; microsoft_2025_impact_summary.pdf</w:t>
            </w:r>
          </w:p>
        </w:tc>
      </w:tr>
      <w:tr>
        <w:tc>
          <w:tcPr>
            <w:tcW w:type="dxa" w:w="1260"/>
            <w:vAlign w:val="center"/>
            <w:tcMar>
              <w:top w:w="80" w:type="dxa"/>
              <w:start w:w="120" w:type="dxa"/>
              <w:bottom w:w="80" w:type="dxa"/>
              <w:end w:w="120" w:type="dxa"/>
            </w:tcMar>
          </w:tcPr>
          <w:p>
            <w:pPr>
              <w:spacing w:after="60"/>
            </w:pPr>
            <w:r>
              <w:rPr>
                <w:rFonts w:ascii="Calibri" w:hAnsi="Calibri"/>
                <w:sz w:val="18"/>
              </w:rPr>
              <w:t>SAP</w:t>
            </w:r>
          </w:p>
        </w:tc>
        <w:tc>
          <w:tcPr>
            <w:tcW w:type="dxa" w:w="3000"/>
            <w:vAlign w:val="center"/>
            <w:tcMar>
              <w:top w:w="80" w:type="dxa"/>
              <w:start w:w="120" w:type="dxa"/>
              <w:bottom w:w="80" w:type="dxa"/>
              <w:end w:w="120" w:type="dxa"/>
            </w:tcMar>
          </w:tcPr>
          <w:p>
            <w:pPr>
              <w:spacing w:after="60"/>
            </w:pPr>
            <w:r>
              <w:rPr>
                <w:rFonts w:ascii="Calibri" w:hAnsi="Calibri"/>
                <w:sz w:val="18"/>
              </w:rPr>
              <w:t>SAP_ESG_Report_Generated.docx</w:t>
            </w:r>
          </w:p>
        </w:tc>
        <w:tc>
          <w:tcPr>
            <w:tcW w:type="dxa" w:w="5100"/>
            <w:vAlign w:val="center"/>
            <w:tcMar>
              <w:top w:w="80" w:type="dxa"/>
              <w:start w:w="120" w:type="dxa"/>
              <w:bottom w:w="80" w:type="dxa"/>
              <w:end w:w="120" w:type="dxa"/>
            </w:tcMar>
          </w:tcPr>
          <w:p>
            <w:pPr>
              <w:spacing w:after="60"/>
            </w:pPr>
            <w:r>
              <w:rPr>
                <w:rFonts w:ascii="Calibri" w:hAnsi="Calibri"/>
                <w:sz w:val="18"/>
              </w:rPr>
              <w:t>SAP Integrated Report 2025 Official Online Benchmark.html</w:t>
            </w:r>
          </w:p>
        </w:tc>
      </w:tr>
      <w:tr>
        <w:tc>
          <w:tcPr>
            <w:tcW w:type="dxa" w:w="1260"/>
            <w:vAlign w:val="center"/>
            <w:tcMar>
              <w:top w:w="80" w:type="dxa"/>
              <w:start w:w="120" w:type="dxa"/>
              <w:bottom w:w="80" w:type="dxa"/>
              <w:end w:w="120" w:type="dxa"/>
            </w:tcMar>
          </w:tcPr>
          <w:p>
            <w:pPr>
              <w:spacing w:after="60"/>
            </w:pPr>
            <w:r>
              <w:rPr>
                <w:rFonts w:ascii="Calibri" w:hAnsi="Calibri"/>
                <w:sz w:val="18"/>
              </w:rPr>
              <w:t>Zalando</w:t>
            </w:r>
          </w:p>
        </w:tc>
        <w:tc>
          <w:tcPr>
            <w:tcW w:type="dxa" w:w="3000"/>
            <w:vAlign w:val="center"/>
            <w:tcMar>
              <w:top w:w="80" w:type="dxa"/>
              <w:start w:w="120" w:type="dxa"/>
              <w:bottom w:w="80" w:type="dxa"/>
              <w:end w:w="120" w:type="dxa"/>
            </w:tcMar>
          </w:tcPr>
          <w:p>
            <w:pPr>
              <w:spacing w:after="60"/>
            </w:pPr>
            <w:r>
              <w:rPr>
                <w:rFonts w:ascii="Calibri" w:hAnsi="Calibri"/>
                <w:sz w:val="18"/>
              </w:rPr>
              <w:t>Zalando_ESG_Report_Generated.docx</w:t>
            </w:r>
          </w:p>
        </w:tc>
        <w:tc>
          <w:tcPr>
            <w:tcW w:type="dxa" w:w="5100"/>
            <w:vAlign w:val="center"/>
            <w:tcMar>
              <w:top w:w="80" w:type="dxa"/>
              <w:start w:w="120" w:type="dxa"/>
              <w:bottom w:w="80" w:type="dxa"/>
              <w:end w:w="120" w:type="dxa"/>
            </w:tcMar>
          </w:tcPr>
          <w:p>
            <w:pPr>
              <w:spacing w:after="60"/>
            </w:pPr>
            <w:r>
              <w:rPr>
                <w:rFonts w:ascii="Calibri" w:hAnsi="Calibri"/>
                <w:sz w:val="18"/>
              </w:rPr>
              <w:t>zalando-se_en_full-csrd-esrs-report_annual-report_2025.pdf</w:t>
            </w:r>
          </w:p>
        </w:tc>
      </w:tr>
    </w:tbl>
    <w:p>
      <w:pPr>
        <w:pStyle w:val="Heading1"/>
      </w:pPr>
      <w:r>
        <w:t>Python Analysis Findings</w:t>
      </w:r>
    </w:p>
    <w:p>
      <w:pPr>
        <w:jc w:val="center"/>
      </w:pPr>
      <w:r>
        <w:drawing>
          <wp:inline xmlns:a="http://schemas.openxmlformats.org/drawingml/2006/main" xmlns:pic="http://schemas.openxmlformats.org/drawingml/2006/picture">
            <wp:extent cx="5760720" cy="3149194"/>
            <wp:docPr id="1" name="Picture 1"/>
            <wp:cNvGraphicFramePr>
              <a:graphicFrameLocks noChangeAspect="1"/>
            </wp:cNvGraphicFramePr>
            <a:graphic>
              <a:graphicData uri="http://schemas.openxmlformats.org/drawingml/2006/picture">
                <pic:pic>
                  <pic:nvPicPr>
                    <pic:cNvPr id="0" name="together_similarity.png"/>
                    <pic:cNvPicPr/>
                  </pic:nvPicPr>
                  <pic:blipFill>
                    <a:blip r:embed="rId10"/>
                    <a:stretch>
                      <a:fillRect/>
                    </a:stretch>
                  </pic:blipFill>
                  <pic:spPr>
                    <a:xfrm>
                      <a:off x="0" y="0"/>
                      <a:ext cx="5760720" cy="3149194"/>
                    </a:xfrm>
                    <a:prstGeom prst="rect"/>
                  </pic:spPr>
                </pic:pic>
              </a:graphicData>
            </a:graphic>
          </wp:inline>
        </w:drawing>
      </w:r>
    </w:p>
    <w:p>
      <w:pPr>
        <w:spacing w:after="200"/>
        <w:jc w:val="center"/>
      </w:pPr>
      <w:r>
        <w:rPr>
          <w:rFonts w:ascii="Calibri" w:hAnsi="Calibri"/>
          <w:i/>
          <w:color w:val="4B5563"/>
          <w:sz w:val="18"/>
        </w:rPr>
        <w:t>Figure 1. Similarity between generated and official benchmark reports.</w:t>
      </w:r>
    </w:p>
    <w:p>
      <w:pPr>
        <w:jc w:val="center"/>
      </w:pPr>
      <w:r>
        <w:drawing>
          <wp:inline xmlns:a="http://schemas.openxmlformats.org/drawingml/2006/main" xmlns:pic="http://schemas.openxmlformats.org/drawingml/2006/picture">
            <wp:extent cx="5760720" cy="3149194"/>
            <wp:docPr id="2" name="Picture 2"/>
            <wp:cNvGraphicFramePr>
              <a:graphicFrameLocks noChangeAspect="1"/>
            </wp:cNvGraphicFramePr>
            <a:graphic>
              <a:graphicData uri="http://schemas.openxmlformats.org/drawingml/2006/picture">
                <pic:pic>
                  <pic:nvPicPr>
                    <pic:cNvPr id="0" name="together_length_percent.png"/>
                    <pic:cNvPicPr/>
                  </pic:nvPicPr>
                  <pic:blipFill>
                    <a:blip r:embed="rId11"/>
                    <a:stretch>
                      <a:fillRect/>
                    </a:stretch>
                  </pic:blipFill>
                  <pic:spPr>
                    <a:xfrm>
                      <a:off x="0" y="0"/>
                      <a:ext cx="5760720" cy="3149194"/>
                    </a:xfrm>
                    <a:prstGeom prst="rect"/>
                  </pic:spPr>
                </pic:pic>
              </a:graphicData>
            </a:graphic>
          </wp:inline>
        </w:drawing>
      </w:r>
    </w:p>
    <w:p>
      <w:pPr>
        <w:spacing w:after="200"/>
        <w:jc w:val="center"/>
      </w:pPr>
      <w:r>
        <w:rPr>
          <w:rFonts w:ascii="Calibri" w:hAnsi="Calibri"/>
          <w:i/>
          <w:color w:val="4B5563"/>
          <w:sz w:val="18"/>
        </w:rPr>
        <w:t>Figure 2. Generated report length as a percentage of actual report length.</w:t>
      </w:r>
    </w:p>
    <w:p>
      <w:pPr>
        <w:jc w:val="center"/>
      </w:pPr>
      <w:r>
        <w:drawing>
          <wp:inline xmlns:a="http://schemas.openxmlformats.org/drawingml/2006/main" xmlns:pic="http://schemas.openxmlformats.org/drawingml/2006/picture">
            <wp:extent cx="5760720" cy="3149194"/>
            <wp:docPr id="3" name="Picture 3"/>
            <wp:cNvGraphicFramePr>
              <a:graphicFrameLocks noChangeAspect="1"/>
            </wp:cNvGraphicFramePr>
            <a:graphic>
              <a:graphicData uri="http://schemas.openxmlformats.org/drawingml/2006/picture">
                <pic:pic>
                  <pic:nvPicPr>
                    <pic:cNvPr id="0" name="together_numeric_density.png"/>
                    <pic:cNvPicPr/>
                  </pic:nvPicPr>
                  <pic:blipFill>
                    <a:blip r:embed="rId12"/>
                    <a:stretch>
                      <a:fillRect/>
                    </a:stretch>
                  </pic:blipFill>
                  <pic:spPr>
                    <a:xfrm>
                      <a:off x="0" y="0"/>
                      <a:ext cx="5760720" cy="3149194"/>
                    </a:xfrm>
                    <a:prstGeom prst="rect"/>
                  </pic:spPr>
                </pic:pic>
              </a:graphicData>
            </a:graphic>
          </wp:inline>
        </w:drawing>
      </w:r>
    </w:p>
    <w:p>
      <w:pPr>
        <w:spacing w:after="200"/>
        <w:jc w:val="center"/>
      </w:pPr>
      <w:r>
        <w:rPr>
          <w:rFonts w:ascii="Calibri" w:hAnsi="Calibri"/>
          <w:i/>
          <w:color w:val="4B5563"/>
          <w:sz w:val="18"/>
        </w:rPr>
        <w:t>Figure 3. Numeric evidence density in generated and actual reports.</w:t>
      </w:r>
    </w:p>
    <w:p>
      <w:r>
        <w:t>The similarity scores are modest across all companies. This is expected because official reports are much longer and contain large sections of regulatory, financial, assurance, and framework-specific disclosure language. Jaccard similarity is especially low because it compares cleaned vocabulary set overlap and is sensitive to the much broader vocabulary in actual reports.</w:t>
      </w:r>
    </w:p>
    <w:tbl>
      <w:tblPr>
        <w:tblStyle w:val="TableGrid"/>
        <w:tblW w:type="dxa" w:w="9360"/>
        <w:jc w:val="left"/>
        <w:tblLayout w:type="fixed"/>
        <w:tblLook w:firstColumn="1" w:firstRow="1" w:lastColumn="0" w:lastRow="0" w:noHBand="0" w:noVBand="1" w:val="04A0"/>
        <w:tblInd w:type="dxa" w:w="120"/>
      </w:tblPr>
      <w:tblGrid>
        <w:gridCol w:w="1260"/>
        <w:gridCol w:w="1500"/>
        <w:gridCol w:w="1260"/>
        <w:gridCol w:w="2640"/>
        <w:gridCol w:w="2700"/>
      </w:tblGrid>
      <w:tr>
        <w:tc>
          <w:tcPr>
            <w:tcW w:type="dxa" w:w="1260"/>
            <w:vAlign w:val="center"/>
            <w:tcMar>
              <w:top w:w="80" w:type="dxa"/>
              <w:start w:w="120" w:type="dxa"/>
              <w:bottom w:w="80" w:type="dxa"/>
              <w:end w:w="120" w:type="dxa"/>
            </w:tcMar>
            <w:shd w:fill="F2F4F7"/>
          </w:tcPr>
          <w:p>
            <w:pPr>
              <w:spacing w:after="60"/>
            </w:pPr>
            <w:r>
              <w:rPr>
                <w:rFonts w:ascii="Calibri" w:hAnsi="Calibri"/>
                <w:b/>
                <w:sz w:val="18"/>
              </w:rPr>
              <w:t>Company</w:t>
            </w:r>
          </w:p>
        </w:tc>
        <w:tc>
          <w:tcPr>
            <w:tcW w:type="dxa" w:w="1500"/>
            <w:vAlign w:val="center"/>
            <w:tcMar>
              <w:top w:w="80" w:type="dxa"/>
              <w:start w:w="120" w:type="dxa"/>
              <w:bottom w:w="80" w:type="dxa"/>
              <w:end w:w="120" w:type="dxa"/>
            </w:tcMar>
            <w:shd w:fill="F2F4F7"/>
          </w:tcPr>
          <w:p>
            <w:pPr>
              <w:spacing w:after="60"/>
            </w:pPr>
            <w:r>
              <w:rPr>
                <w:rFonts w:ascii="Calibri" w:hAnsi="Calibri"/>
                <w:b/>
                <w:sz w:val="18"/>
              </w:rPr>
              <w:t>TF-IDF cosine</w:t>
            </w:r>
          </w:p>
        </w:tc>
        <w:tc>
          <w:tcPr>
            <w:tcW w:type="dxa" w:w="1260"/>
            <w:vAlign w:val="center"/>
            <w:tcMar>
              <w:top w:w="80" w:type="dxa"/>
              <w:start w:w="120" w:type="dxa"/>
              <w:bottom w:w="80" w:type="dxa"/>
              <w:end w:w="120" w:type="dxa"/>
            </w:tcMar>
            <w:shd w:fill="F2F4F7"/>
          </w:tcPr>
          <w:p>
            <w:pPr>
              <w:spacing w:after="60"/>
            </w:pPr>
            <w:r>
              <w:rPr>
                <w:rFonts w:ascii="Calibri" w:hAnsi="Calibri"/>
                <w:b/>
                <w:sz w:val="18"/>
              </w:rPr>
              <w:t>Jaccard</w:t>
            </w:r>
          </w:p>
        </w:tc>
        <w:tc>
          <w:tcPr>
            <w:tcW w:type="dxa" w:w="2640"/>
            <w:vAlign w:val="center"/>
            <w:tcMar>
              <w:top w:w="80" w:type="dxa"/>
              <w:start w:w="120" w:type="dxa"/>
              <w:bottom w:w="80" w:type="dxa"/>
              <w:end w:w="120" w:type="dxa"/>
            </w:tcMar>
            <w:shd w:fill="F2F4F7"/>
          </w:tcPr>
          <w:p>
            <w:pPr>
              <w:spacing w:after="60"/>
            </w:pPr>
            <w:r>
              <w:rPr>
                <w:rFonts w:ascii="Calibri" w:hAnsi="Calibri"/>
                <w:b/>
                <w:sz w:val="18"/>
              </w:rPr>
              <w:t>Generated length as % of actual</w:t>
            </w:r>
          </w:p>
        </w:tc>
        <w:tc>
          <w:tcPr>
            <w:tcW w:type="dxa" w:w="2700"/>
            <w:vAlign w:val="center"/>
            <w:tcMar>
              <w:top w:w="80" w:type="dxa"/>
              <w:start w:w="120" w:type="dxa"/>
              <w:bottom w:w="80" w:type="dxa"/>
              <w:end w:w="120" w:type="dxa"/>
            </w:tcMar>
            <w:shd w:fill="F2F4F7"/>
          </w:tcPr>
          <w:p>
            <w:pPr>
              <w:spacing w:after="60"/>
            </w:pPr>
            <w:r>
              <w:rPr>
                <w:rFonts w:ascii="Calibri" w:hAnsi="Calibri"/>
                <w:b/>
                <w:sz w:val="18"/>
              </w:rPr>
              <w:t>Numeric density gap</w:t>
            </w:r>
          </w:p>
        </w:tc>
      </w:tr>
      <w:tr>
        <w:tc>
          <w:tcPr>
            <w:tcW w:type="dxa" w:w="1260"/>
            <w:vAlign w:val="center"/>
            <w:tcMar>
              <w:top w:w="80" w:type="dxa"/>
              <w:start w:w="120" w:type="dxa"/>
              <w:bottom w:w="80" w:type="dxa"/>
              <w:end w:w="120" w:type="dxa"/>
            </w:tcMar>
          </w:tcPr>
          <w:p>
            <w:pPr>
              <w:spacing w:after="60"/>
            </w:pPr>
            <w:r>
              <w:rPr>
                <w:rFonts w:ascii="Calibri" w:hAnsi="Calibri"/>
                <w:sz w:val="18"/>
              </w:rPr>
              <w:t>Amazon</w:t>
            </w:r>
          </w:p>
        </w:tc>
        <w:tc>
          <w:tcPr>
            <w:tcW w:type="dxa" w:w="1500"/>
            <w:vAlign w:val="center"/>
            <w:tcMar>
              <w:top w:w="80" w:type="dxa"/>
              <w:start w:w="120" w:type="dxa"/>
              <w:bottom w:w="80" w:type="dxa"/>
              <w:end w:w="120" w:type="dxa"/>
            </w:tcMar>
          </w:tcPr>
          <w:p>
            <w:pPr>
              <w:spacing w:after="60"/>
            </w:pPr>
            <w:r>
              <w:rPr>
                <w:rFonts w:ascii="Calibri" w:hAnsi="Calibri"/>
                <w:sz w:val="18"/>
              </w:rPr>
              <w:t>0.2874</w:t>
            </w:r>
          </w:p>
        </w:tc>
        <w:tc>
          <w:tcPr>
            <w:tcW w:type="dxa" w:w="1260"/>
            <w:vAlign w:val="center"/>
            <w:tcMar>
              <w:top w:w="80" w:type="dxa"/>
              <w:start w:w="120" w:type="dxa"/>
              <w:bottom w:w="80" w:type="dxa"/>
              <w:end w:w="120" w:type="dxa"/>
            </w:tcMar>
          </w:tcPr>
          <w:p>
            <w:pPr>
              <w:spacing w:after="60"/>
            </w:pPr>
            <w:r>
              <w:rPr>
                <w:rFonts w:ascii="Calibri" w:hAnsi="Calibri"/>
                <w:sz w:val="18"/>
              </w:rPr>
              <w:t>0.0615</w:t>
            </w:r>
          </w:p>
        </w:tc>
        <w:tc>
          <w:tcPr>
            <w:tcW w:type="dxa" w:w="2640"/>
            <w:vAlign w:val="center"/>
            <w:tcMar>
              <w:top w:w="80" w:type="dxa"/>
              <w:start w:w="120" w:type="dxa"/>
              <w:bottom w:w="80" w:type="dxa"/>
              <w:end w:w="120" w:type="dxa"/>
            </w:tcMar>
          </w:tcPr>
          <w:p>
            <w:pPr>
              <w:spacing w:after="60"/>
            </w:pPr>
            <w:r>
              <w:rPr>
                <w:rFonts w:ascii="Calibri" w:hAnsi="Calibri"/>
                <w:sz w:val="18"/>
              </w:rPr>
              <w:t>2.51</w:t>
            </w:r>
          </w:p>
        </w:tc>
        <w:tc>
          <w:tcPr>
            <w:tcW w:type="dxa" w:w="2700"/>
            <w:vAlign w:val="center"/>
            <w:tcMar>
              <w:top w:w="80" w:type="dxa"/>
              <w:start w:w="120" w:type="dxa"/>
              <w:bottom w:w="80" w:type="dxa"/>
              <w:end w:w="120" w:type="dxa"/>
            </w:tcMar>
          </w:tcPr>
          <w:p>
            <w:pPr>
              <w:spacing w:after="60"/>
            </w:pPr>
            <w:r>
              <w:rPr>
                <w:rFonts w:ascii="Calibri" w:hAnsi="Calibri"/>
                <w:sz w:val="18"/>
              </w:rPr>
              <w:t>-8.09</w:t>
            </w:r>
          </w:p>
        </w:tc>
      </w:tr>
      <w:tr>
        <w:tc>
          <w:tcPr>
            <w:tcW w:type="dxa" w:w="1260"/>
            <w:vAlign w:val="center"/>
            <w:tcMar>
              <w:top w:w="80" w:type="dxa"/>
              <w:start w:w="120" w:type="dxa"/>
              <w:bottom w:w="80" w:type="dxa"/>
              <w:end w:w="120" w:type="dxa"/>
            </w:tcMar>
          </w:tcPr>
          <w:p>
            <w:pPr>
              <w:spacing w:after="60"/>
            </w:pPr>
            <w:r>
              <w:rPr>
                <w:rFonts w:ascii="Calibri" w:hAnsi="Calibri"/>
                <w:sz w:val="18"/>
              </w:rPr>
              <w:t>Microsoft</w:t>
            </w:r>
          </w:p>
        </w:tc>
        <w:tc>
          <w:tcPr>
            <w:tcW w:type="dxa" w:w="1500"/>
            <w:vAlign w:val="center"/>
            <w:tcMar>
              <w:top w:w="80" w:type="dxa"/>
              <w:start w:w="120" w:type="dxa"/>
              <w:bottom w:w="80" w:type="dxa"/>
              <w:end w:w="120" w:type="dxa"/>
            </w:tcMar>
          </w:tcPr>
          <w:p>
            <w:pPr>
              <w:spacing w:after="60"/>
            </w:pPr>
            <w:r>
              <w:rPr>
                <w:rFonts w:ascii="Calibri" w:hAnsi="Calibri"/>
                <w:sz w:val="18"/>
              </w:rPr>
              <w:t>0.2766</w:t>
            </w:r>
          </w:p>
        </w:tc>
        <w:tc>
          <w:tcPr>
            <w:tcW w:type="dxa" w:w="1260"/>
            <w:vAlign w:val="center"/>
            <w:tcMar>
              <w:top w:w="80" w:type="dxa"/>
              <w:start w:w="120" w:type="dxa"/>
              <w:bottom w:w="80" w:type="dxa"/>
              <w:end w:w="120" w:type="dxa"/>
            </w:tcMar>
          </w:tcPr>
          <w:p>
            <w:pPr>
              <w:spacing w:after="60"/>
            </w:pPr>
            <w:r>
              <w:rPr>
                <w:rFonts w:ascii="Calibri" w:hAnsi="Calibri"/>
                <w:sz w:val="18"/>
              </w:rPr>
              <w:t>0.0542</w:t>
            </w:r>
          </w:p>
        </w:tc>
        <w:tc>
          <w:tcPr>
            <w:tcW w:type="dxa" w:w="2640"/>
            <w:vAlign w:val="center"/>
            <w:tcMar>
              <w:top w:w="80" w:type="dxa"/>
              <w:start w:w="120" w:type="dxa"/>
              <w:bottom w:w="80" w:type="dxa"/>
              <w:end w:w="120" w:type="dxa"/>
            </w:tcMar>
          </w:tcPr>
          <w:p>
            <w:pPr>
              <w:spacing w:after="60"/>
            </w:pPr>
            <w:r>
              <w:rPr>
                <w:rFonts w:ascii="Calibri" w:hAnsi="Calibri"/>
                <w:sz w:val="18"/>
              </w:rPr>
              <w:t>2.29</w:t>
            </w:r>
          </w:p>
        </w:tc>
        <w:tc>
          <w:tcPr>
            <w:tcW w:type="dxa" w:w="2700"/>
            <w:vAlign w:val="center"/>
            <w:tcMar>
              <w:top w:w="80" w:type="dxa"/>
              <w:start w:w="120" w:type="dxa"/>
              <w:bottom w:w="80" w:type="dxa"/>
              <w:end w:w="120" w:type="dxa"/>
            </w:tcMar>
          </w:tcPr>
          <w:p>
            <w:pPr>
              <w:spacing w:after="60"/>
            </w:pPr>
            <w:r>
              <w:rPr>
                <w:rFonts w:ascii="Calibri" w:hAnsi="Calibri"/>
                <w:sz w:val="18"/>
              </w:rPr>
              <w:t>4.81</w:t>
            </w:r>
          </w:p>
        </w:tc>
      </w:tr>
      <w:tr>
        <w:tc>
          <w:tcPr>
            <w:tcW w:type="dxa" w:w="1260"/>
            <w:vAlign w:val="center"/>
            <w:tcMar>
              <w:top w:w="80" w:type="dxa"/>
              <w:start w:w="120" w:type="dxa"/>
              <w:bottom w:w="80" w:type="dxa"/>
              <w:end w:w="120" w:type="dxa"/>
            </w:tcMar>
          </w:tcPr>
          <w:p>
            <w:pPr>
              <w:spacing w:after="60"/>
            </w:pPr>
            <w:r>
              <w:rPr>
                <w:rFonts w:ascii="Calibri" w:hAnsi="Calibri"/>
                <w:sz w:val="18"/>
              </w:rPr>
              <w:t>SAP</w:t>
            </w:r>
          </w:p>
        </w:tc>
        <w:tc>
          <w:tcPr>
            <w:tcW w:type="dxa" w:w="1500"/>
            <w:vAlign w:val="center"/>
            <w:tcMar>
              <w:top w:w="80" w:type="dxa"/>
              <w:start w:w="120" w:type="dxa"/>
              <w:bottom w:w="80" w:type="dxa"/>
              <w:end w:w="120" w:type="dxa"/>
            </w:tcMar>
          </w:tcPr>
          <w:p>
            <w:pPr>
              <w:spacing w:after="60"/>
            </w:pPr>
            <w:r>
              <w:rPr>
                <w:rFonts w:ascii="Calibri" w:hAnsi="Calibri"/>
                <w:sz w:val="18"/>
              </w:rPr>
              <w:t>0.3436</w:t>
            </w:r>
          </w:p>
        </w:tc>
        <w:tc>
          <w:tcPr>
            <w:tcW w:type="dxa" w:w="1260"/>
            <w:vAlign w:val="center"/>
            <w:tcMar>
              <w:top w:w="80" w:type="dxa"/>
              <w:start w:w="120" w:type="dxa"/>
              <w:bottom w:w="80" w:type="dxa"/>
              <w:end w:w="120" w:type="dxa"/>
            </w:tcMar>
          </w:tcPr>
          <w:p>
            <w:pPr>
              <w:spacing w:after="60"/>
            </w:pPr>
            <w:r>
              <w:rPr>
                <w:rFonts w:ascii="Calibri" w:hAnsi="Calibri"/>
                <w:sz w:val="18"/>
              </w:rPr>
              <w:t>0.1366</w:t>
            </w:r>
          </w:p>
        </w:tc>
        <w:tc>
          <w:tcPr>
            <w:tcW w:type="dxa" w:w="2640"/>
            <w:vAlign w:val="center"/>
            <w:tcMar>
              <w:top w:w="80" w:type="dxa"/>
              <w:start w:w="120" w:type="dxa"/>
              <w:bottom w:w="80" w:type="dxa"/>
              <w:end w:w="120" w:type="dxa"/>
            </w:tcMar>
          </w:tcPr>
          <w:p>
            <w:pPr>
              <w:spacing w:after="60"/>
            </w:pPr>
            <w:r>
              <w:rPr>
                <w:rFonts w:ascii="Calibri" w:hAnsi="Calibri"/>
                <w:sz w:val="18"/>
              </w:rPr>
              <w:t>22.85</w:t>
            </w:r>
          </w:p>
        </w:tc>
        <w:tc>
          <w:tcPr>
            <w:tcW w:type="dxa" w:w="2700"/>
            <w:vAlign w:val="center"/>
            <w:tcMar>
              <w:top w:w="80" w:type="dxa"/>
              <w:start w:w="120" w:type="dxa"/>
              <w:bottom w:w="80" w:type="dxa"/>
              <w:end w:w="120" w:type="dxa"/>
            </w:tcMar>
          </w:tcPr>
          <w:p>
            <w:pPr>
              <w:spacing w:after="60"/>
            </w:pPr>
            <w:r>
              <w:rPr>
                <w:rFonts w:ascii="Calibri" w:hAnsi="Calibri"/>
                <w:sz w:val="18"/>
              </w:rPr>
              <w:t>2.38</w:t>
            </w:r>
          </w:p>
        </w:tc>
      </w:tr>
      <w:tr>
        <w:tc>
          <w:tcPr>
            <w:tcW w:type="dxa" w:w="1260"/>
            <w:vAlign w:val="center"/>
            <w:tcMar>
              <w:top w:w="80" w:type="dxa"/>
              <w:start w:w="120" w:type="dxa"/>
              <w:bottom w:w="80" w:type="dxa"/>
              <w:end w:w="120" w:type="dxa"/>
            </w:tcMar>
          </w:tcPr>
          <w:p>
            <w:pPr>
              <w:spacing w:after="60"/>
            </w:pPr>
            <w:r>
              <w:rPr>
                <w:rFonts w:ascii="Calibri" w:hAnsi="Calibri"/>
                <w:sz w:val="18"/>
              </w:rPr>
              <w:t>Zalando</w:t>
            </w:r>
          </w:p>
        </w:tc>
        <w:tc>
          <w:tcPr>
            <w:tcW w:type="dxa" w:w="1500"/>
            <w:vAlign w:val="center"/>
            <w:tcMar>
              <w:top w:w="80" w:type="dxa"/>
              <w:start w:w="120" w:type="dxa"/>
              <w:bottom w:w="80" w:type="dxa"/>
              <w:end w:w="120" w:type="dxa"/>
            </w:tcMar>
          </w:tcPr>
          <w:p>
            <w:pPr>
              <w:spacing w:after="60"/>
            </w:pPr>
            <w:r>
              <w:rPr>
                <w:rFonts w:ascii="Calibri" w:hAnsi="Calibri"/>
                <w:sz w:val="18"/>
              </w:rPr>
              <w:t>0.2665</w:t>
            </w:r>
          </w:p>
        </w:tc>
        <w:tc>
          <w:tcPr>
            <w:tcW w:type="dxa" w:w="1260"/>
            <w:vAlign w:val="center"/>
            <w:tcMar>
              <w:top w:w="80" w:type="dxa"/>
              <w:start w:w="120" w:type="dxa"/>
              <w:bottom w:w="80" w:type="dxa"/>
              <w:end w:w="120" w:type="dxa"/>
            </w:tcMar>
          </w:tcPr>
          <w:p>
            <w:pPr>
              <w:spacing w:after="60"/>
            </w:pPr>
            <w:r>
              <w:rPr>
                <w:rFonts w:ascii="Calibri" w:hAnsi="Calibri"/>
                <w:sz w:val="18"/>
              </w:rPr>
              <w:t>0.0548</w:t>
            </w:r>
          </w:p>
        </w:tc>
        <w:tc>
          <w:tcPr>
            <w:tcW w:type="dxa" w:w="2640"/>
            <w:vAlign w:val="center"/>
            <w:tcMar>
              <w:top w:w="80" w:type="dxa"/>
              <w:start w:w="120" w:type="dxa"/>
              <w:bottom w:w="80" w:type="dxa"/>
              <w:end w:w="120" w:type="dxa"/>
            </w:tcMar>
          </w:tcPr>
          <w:p>
            <w:pPr>
              <w:spacing w:after="60"/>
            </w:pPr>
            <w:r>
              <w:rPr>
                <w:rFonts w:ascii="Calibri" w:hAnsi="Calibri"/>
                <w:sz w:val="18"/>
              </w:rPr>
              <w:t>0.86</w:t>
            </w:r>
          </w:p>
        </w:tc>
        <w:tc>
          <w:tcPr>
            <w:tcW w:type="dxa" w:w="2700"/>
            <w:vAlign w:val="center"/>
            <w:tcMar>
              <w:top w:w="80" w:type="dxa"/>
              <w:start w:w="120" w:type="dxa"/>
              <w:bottom w:w="80" w:type="dxa"/>
              <w:end w:w="120" w:type="dxa"/>
            </w:tcMar>
          </w:tcPr>
          <w:p>
            <w:pPr>
              <w:spacing w:after="60"/>
            </w:pPr>
            <w:r>
              <w:rPr>
                <w:rFonts w:ascii="Calibri" w:hAnsi="Calibri"/>
                <w:sz w:val="18"/>
              </w:rPr>
              <w:t>-0.35</w:t>
            </w:r>
          </w:p>
        </w:tc>
      </w:tr>
    </w:tbl>
    <w:p>
      <w:pPr>
        <w:pStyle w:val="Heading1"/>
      </w:pPr>
      <w:r>
        <w:t>Metric Definitions</w:t>
      </w:r>
    </w:p>
    <w:p>
      <w:r>
        <w:t>The Python analysis uses transparent count-based and similarity-based indicators. Density metrics normalize counts by word count, so they are useful for comparing generated and actual reports of very different length, but they should always be interpreted together with the absolute document size.</w:t>
      </w:r>
    </w:p>
    <w:p>
      <w:pPr>
        <w:pStyle w:val="Heading2"/>
      </w:pPr>
      <w:r>
        <w:t>Document-Level Metrics</w:t>
      </w:r>
    </w:p>
    <w:tbl>
      <w:tblPr>
        <w:tblStyle w:val="TableGrid"/>
        <w:tblW w:type="dxa" w:w="9360"/>
        <w:jc w:val="left"/>
        <w:tblLayout w:type="fixed"/>
        <w:tblLook w:firstColumn="1" w:firstRow="1" w:lastColumn="0" w:lastRow="0" w:noHBand="0" w:noVBand="1" w:val="04A0"/>
        <w:tblInd w:type="dxa" w:w="120"/>
      </w:tblPr>
      <w:tblGrid>
        <w:gridCol w:w="2100"/>
        <w:gridCol w:w="3660"/>
        <w:gridCol w:w="3600"/>
      </w:tblGrid>
      <w:tr>
        <w:tc>
          <w:tcPr>
            <w:tcW w:type="dxa" w:w="2100"/>
            <w:vAlign w:val="center"/>
            <w:tcMar>
              <w:top w:w="80" w:type="dxa"/>
              <w:start w:w="120" w:type="dxa"/>
              <w:bottom w:w="80" w:type="dxa"/>
              <w:end w:w="120" w:type="dxa"/>
            </w:tcMar>
            <w:shd w:fill="F2F4F7"/>
          </w:tcPr>
          <w:p>
            <w:pPr>
              <w:spacing w:after="60"/>
            </w:pPr>
            <w:r>
              <w:rPr>
                <w:rFonts w:ascii="Calibri" w:hAnsi="Calibri"/>
                <w:b/>
                <w:sz w:val="18"/>
              </w:rPr>
              <w:t>Metric</w:t>
            </w:r>
          </w:p>
        </w:tc>
        <w:tc>
          <w:tcPr>
            <w:tcW w:type="dxa" w:w="3660"/>
            <w:vAlign w:val="center"/>
            <w:tcMar>
              <w:top w:w="80" w:type="dxa"/>
              <w:start w:w="120" w:type="dxa"/>
              <w:bottom w:w="80" w:type="dxa"/>
              <w:end w:w="120" w:type="dxa"/>
            </w:tcMar>
            <w:shd w:fill="F2F4F7"/>
          </w:tcPr>
          <w:p>
            <w:pPr>
              <w:spacing w:after="60"/>
            </w:pPr>
            <w:r>
              <w:rPr>
                <w:rFonts w:ascii="Calibri" w:hAnsi="Calibri"/>
                <w:b/>
                <w:sz w:val="18"/>
              </w:rPr>
              <w:t>Calculation</w:t>
            </w:r>
          </w:p>
        </w:tc>
        <w:tc>
          <w:tcPr>
            <w:tcW w:type="dxa" w:w="3600"/>
            <w:vAlign w:val="center"/>
            <w:tcMar>
              <w:top w:w="80" w:type="dxa"/>
              <w:start w:w="120" w:type="dxa"/>
              <w:bottom w:w="80" w:type="dxa"/>
              <w:end w:w="120" w:type="dxa"/>
            </w:tcMar>
            <w:shd w:fill="F2F4F7"/>
          </w:tcPr>
          <w:p>
            <w:pPr>
              <w:spacing w:after="60"/>
            </w:pPr>
            <w:r>
              <w:rPr>
                <w:rFonts w:ascii="Calibri" w:hAnsi="Calibri"/>
                <w:b/>
                <w:sz w:val="18"/>
              </w:rPr>
              <w:t>How to read it</w:t>
            </w:r>
          </w:p>
        </w:tc>
      </w:tr>
      <w:tr>
        <w:tc>
          <w:tcPr>
            <w:tcW w:type="dxa" w:w="2100"/>
            <w:vAlign w:val="center"/>
            <w:tcMar>
              <w:top w:w="80" w:type="dxa"/>
              <w:start w:w="120" w:type="dxa"/>
              <w:bottom w:w="80" w:type="dxa"/>
              <w:end w:w="120" w:type="dxa"/>
            </w:tcMar>
          </w:tcPr>
          <w:p>
            <w:pPr>
              <w:spacing w:after="60"/>
            </w:pPr>
            <w:r>
              <w:rPr>
                <w:rFonts w:ascii="Calibri" w:hAnsi="Calibri"/>
                <w:sz w:val="18"/>
              </w:rPr>
              <w:t>Word count</w:t>
            </w:r>
          </w:p>
        </w:tc>
        <w:tc>
          <w:tcPr>
            <w:tcW w:type="dxa" w:w="3660"/>
            <w:vAlign w:val="center"/>
            <w:tcMar>
              <w:top w:w="80" w:type="dxa"/>
              <w:start w:w="120" w:type="dxa"/>
              <w:bottom w:w="80" w:type="dxa"/>
              <w:end w:w="120" w:type="dxa"/>
            </w:tcMar>
          </w:tcPr>
          <w:p>
            <w:pPr>
              <w:spacing w:after="60"/>
            </w:pPr>
            <w:r>
              <w:rPr>
                <w:rFonts w:ascii="Calibri" w:hAnsi="Calibri"/>
                <w:sz w:val="18"/>
              </w:rPr>
              <w:t>Number of regex-tokenized word tokens in the extracted report text.</w:t>
            </w:r>
          </w:p>
        </w:tc>
        <w:tc>
          <w:tcPr>
            <w:tcW w:type="dxa" w:w="3600"/>
            <w:vAlign w:val="center"/>
            <w:tcMar>
              <w:top w:w="80" w:type="dxa"/>
              <w:start w:w="120" w:type="dxa"/>
              <w:bottom w:w="80" w:type="dxa"/>
              <w:end w:w="120" w:type="dxa"/>
            </w:tcMar>
          </w:tcPr>
          <w:p>
            <w:pPr>
              <w:spacing w:after="60"/>
            </w:pPr>
            <w:r>
              <w:rPr>
                <w:rFonts w:ascii="Calibri" w:hAnsi="Calibri"/>
                <w:sz w:val="18"/>
              </w:rPr>
              <w:t>Shows the document size. Generated reports are intentionally much shorter than official benchmark reports.</w:t>
            </w:r>
          </w:p>
        </w:tc>
      </w:tr>
      <w:tr>
        <w:tc>
          <w:tcPr>
            <w:tcW w:type="dxa" w:w="2100"/>
            <w:vAlign w:val="center"/>
            <w:tcMar>
              <w:top w:w="80" w:type="dxa"/>
              <w:start w:w="120" w:type="dxa"/>
              <w:bottom w:w="80" w:type="dxa"/>
              <w:end w:w="120" w:type="dxa"/>
            </w:tcMar>
          </w:tcPr>
          <w:p>
            <w:pPr>
              <w:spacing w:after="60"/>
            </w:pPr>
            <w:r>
              <w:rPr>
                <w:rFonts w:ascii="Calibri" w:hAnsi="Calibri"/>
                <w:sz w:val="18"/>
              </w:rPr>
              <w:t>Sentence count</w:t>
            </w:r>
          </w:p>
        </w:tc>
        <w:tc>
          <w:tcPr>
            <w:tcW w:type="dxa" w:w="3660"/>
            <w:vAlign w:val="center"/>
            <w:tcMar>
              <w:top w:w="80" w:type="dxa"/>
              <w:start w:w="120" w:type="dxa"/>
              <w:bottom w:w="80" w:type="dxa"/>
              <w:end w:w="120" w:type="dxa"/>
            </w:tcMar>
          </w:tcPr>
          <w:p>
            <w:pPr>
              <w:spacing w:after="60"/>
            </w:pPr>
            <w:r>
              <w:rPr>
                <w:rFonts w:ascii="Calibri" w:hAnsi="Calibri"/>
                <w:sz w:val="18"/>
              </w:rPr>
              <w:t>Number of sentence-like text segments after splitting on sentence punctuation.</w:t>
            </w:r>
          </w:p>
        </w:tc>
        <w:tc>
          <w:tcPr>
            <w:tcW w:type="dxa" w:w="3600"/>
            <w:vAlign w:val="center"/>
            <w:tcMar>
              <w:top w:w="80" w:type="dxa"/>
              <w:start w:w="120" w:type="dxa"/>
              <w:bottom w:w="80" w:type="dxa"/>
              <w:end w:w="120" w:type="dxa"/>
            </w:tcMar>
          </w:tcPr>
          <w:p>
            <w:pPr>
              <w:spacing w:after="60"/>
            </w:pPr>
            <w:r>
              <w:rPr>
                <w:rFonts w:ascii="Calibri" w:hAnsi="Calibri"/>
                <w:sz w:val="18"/>
              </w:rPr>
              <w:t>Helps compare structural density and how much narrative material is available for analysis.</w:t>
            </w:r>
          </w:p>
        </w:tc>
      </w:tr>
      <w:tr>
        <w:tc>
          <w:tcPr>
            <w:tcW w:type="dxa" w:w="2100"/>
            <w:vAlign w:val="center"/>
            <w:tcMar>
              <w:top w:w="80" w:type="dxa"/>
              <w:start w:w="120" w:type="dxa"/>
              <w:bottom w:w="80" w:type="dxa"/>
              <w:end w:w="120" w:type="dxa"/>
            </w:tcMar>
          </w:tcPr>
          <w:p>
            <w:pPr>
              <w:spacing w:after="60"/>
            </w:pPr>
            <w:r>
              <w:rPr>
                <w:rFonts w:ascii="Calibri" w:hAnsi="Calibri"/>
                <w:sz w:val="18"/>
              </w:rPr>
              <w:t>Average sentence length</w:t>
            </w:r>
          </w:p>
        </w:tc>
        <w:tc>
          <w:tcPr>
            <w:tcW w:type="dxa" w:w="3660"/>
            <w:vAlign w:val="center"/>
            <w:tcMar>
              <w:top w:w="80" w:type="dxa"/>
              <w:start w:w="120" w:type="dxa"/>
              <w:bottom w:w="80" w:type="dxa"/>
              <w:end w:w="120" w:type="dxa"/>
            </w:tcMar>
          </w:tcPr>
          <w:p>
            <w:pPr>
              <w:spacing w:after="60"/>
            </w:pPr>
            <w:r>
              <w:rPr>
                <w:rFonts w:ascii="Calibri" w:hAnsi="Calibri"/>
                <w:sz w:val="18"/>
              </w:rPr>
              <w:t>Word count divided by sentence count.</w:t>
            </w:r>
          </w:p>
        </w:tc>
        <w:tc>
          <w:tcPr>
            <w:tcW w:type="dxa" w:w="3600"/>
            <w:vAlign w:val="center"/>
            <w:tcMar>
              <w:top w:w="80" w:type="dxa"/>
              <w:start w:w="120" w:type="dxa"/>
              <w:bottom w:w="80" w:type="dxa"/>
              <w:end w:w="120" w:type="dxa"/>
            </w:tcMar>
          </w:tcPr>
          <w:p>
            <w:pPr>
              <w:spacing w:after="60"/>
            </w:pPr>
            <w:r>
              <w:rPr>
                <w:rFonts w:ascii="Calibri" w:hAnsi="Calibri"/>
                <w:sz w:val="18"/>
              </w:rPr>
              <w:t>Longer sentences can indicate denser regulatory or technical disclosure language.</w:t>
            </w:r>
          </w:p>
        </w:tc>
      </w:tr>
      <w:tr>
        <w:tc>
          <w:tcPr>
            <w:tcW w:type="dxa" w:w="2100"/>
            <w:vAlign w:val="center"/>
            <w:tcMar>
              <w:top w:w="80" w:type="dxa"/>
              <w:start w:w="120" w:type="dxa"/>
              <w:bottom w:w="80" w:type="dxa"/>
              <w:end w:w="120" w:type="dxa"/>
            </w:tcMar>
          </w:tcPr>
          <w:p>
            <w:pPr>
              <w:spacing w:after="60"/>
            </w:pPr>
            <w:r>
              <w:rPr>
                <w:rFonts w:ascii="Calibri" w:hAnsi="Calibri"/>
                <w:sz w:val="18"/>
              </w:rPr>
              <w:t>Unique terms</w:t>
            </w:r>
          </w:p>
        </w:tc>
        <w:tc>
          <w:tcPr>
            <w:tcW w:type="dxa" w:w="3660"/>
            <w:vAlign w:val="center"/>
            <w:tcMar>
              <w:top w:w="80" w:type="dxa"/>
              <w:start w:w="120" w:type="dxa"/>
              <w:bottom w:w="80" w:type="dxa"/>
              <w:end w:w="120" w:type="dxa"/>
            </w:tcMar>
          </w:tcPr>
          <w:p>
            <w:pPr>
              <w:spacing w:after="60"/>
            </w:pPr>
            <w:r>
              <w:rPr>
                <w:rFonts w:ascii="Calibri" w:hAnsi="Calibri"/>
                <w:sz w:val="18"/>
              </w:rPr>
              <w:t>Number of distinct cleaned terms after lowercasing, stopword removal, and domain-stopword filtering.</w:t>
            </w:r>
          </w:p>
        </w:tc>
        <w:tc>
          <w:tcPr>
            <w:tcW w:type="dxa" w:w="3600"/>
            <w:vAlign w:val="center"/>
            <w:tcMar>
              <w:top w:w="80" w:type="dxa"/>
              <w:start w:w="120" w:type="dxa"/>
              <w:bottom w:w="80" w:type="dxa"/>
              <w:end w:w="120" w:type="dxa"/>
            </w:tcMar>
          </w:tcPr>
          <w:p>
            <w:pPr>
              <w:spacing w:after="60"/>
            </w:pPr>
            <w:r>
              <w:rPr>
                <w:rFonts w:ascii="Calibri" w:hAnsi="Calibri"/>
                <w:sz w:val="18"/>
              </w:rPr>
              <w:t>Captures vocabulary breadth after removing common filler words.</w:t>
            </w:r>
          </w:p>
        </w:tc>
      </w:tr>
      <w:tr>
        <w:tc>
          <w:tcPr>
            <w:tcW w:type="dxa" w:w="2100"/>
            <w:vAlign w:val="center"/>
            <w:tcMar>
              <w:top w:w="80" w:type="dxa"/>
              <w:start w:w="120" w:type="dxa"/>
              <w:bottom w:w="80" w:type="dxa"/>
              <w:end w:w="120" w:type="dxa"/>
            </w:tcMar>
          </w:tcPr>
          <w:p>
            <w:pPr>
              <w:spacing w:after="60"/>
            </w:pPr>
            <w:r>
              <w:rPr>
                <w:rFonts w:ascii="Calibri" w:hAnsi="Calibri"/>
                <w:sz w:val="18"/>
              </w:rPr>
              <w:t>Lexical diversity</w:t>
            </w:r>
          </w:p>
        </w:tc>
        <w:tc>
          <w:tcPr>
            <w:tcW w:type="dxa" w:w="3660"/>
            <w:vAlign w:val="center"/>
            <w:tcMar>
              <w:top w:w="80" w:type="dxa"/>
              <w:start w:w="120" w:type="dxa"/>
              <w:bottom w:w="80" w:type="dxa"/>
              <w:end w:w="120" w:type="dxa"/>
            </w:tcMar>
          </w:tcPr>
          <w:p>
            <w:pPr>
              <w:spacing w:after="60"/>
            </w:pPr>
            <w:r>
              <w:rPr>
                <w:rFonts w:ascii="Calibri" w:hAnsi="Calibri"/>
                <w:sz w:val="18"/>
              </w:rPr>
              <w:t>Unique cleaned terms divided by total cleaned terms.</w:t>
            </w:r>
          </w:p>
        </w:tc>
        <w:tc>
          <w:tcPr>
            <w:tcW w:type="dxa" w:w="3600"/>
            <w:vAlign w:val="center"/>
            <w:tcMar>
              <w:top w:w="80" w:type="dxa"/>
              <w:start w:w="120" w:type="dxa"/>
              <w:bottom w:w="80" w:type="dxa"/>
              <w:end w:w="120" w:type="dxa"/>
            </w:tcMar>
          </w:tcPr>
          <w:p>
            <w:pPr>
              <w:spacing w:after="60"/>
            </w:pPr>
            <w:r>
              <w:rPr>
                <w:rFonts w:ascii="Calibri" w:hAnsi="Calibri"/>
                <w:sz w:val="18"/>
              </w:rPr>
              <w:t>Higher values mean more varied vocabulary; very short texts can show high values even when evidence depth is limited.</w:t>
            </w:r>
          </w:p>
        </w:tc>
      </w:tr>
      <w:tr>
        <w:tc>
          <w:tcPr>
            <w:tcW w:type="dxa" w:w="2100"/>
            <w:vAlign w:val="center"/>
            <w:tcMar>
              <w:top w:w="80" w:type="dxa"/>
              <w:start w:w="120" w:type="dxa"/>
              <w:bottom w:w="80" w:type="dxa"/>
              <w:end w:w="120" w:type="dxa"/>
            </w:tcMar>
          </w:tcPr>
          <w:p>
            <w:pPr>
              <w:spacing w:after="60"/>
            </w:pPr>
            <w:r>
              <w:rPr>
                <w:rFonts w:ascii="Calibri" w:hAnsi="Calibri"/>
                <w:sz w:val="18"/>
              </w:rPr>
              <w:t>Numeric mentions</w:t>
            </w:r>
          </w:p>
        </w:tc>
        <w:tc>
          <w:tcPr>
            <w:tcW w:type="dxa" w:w="3660"/>
            <w:vAlign w:val="center"/>
            <w:tcMar>
              <w:top w:w="80" w:type="dxa"/>
              <w:start w:w="120" w:type="dxa"/>
              <w:bottom w:w="80" w:type="dxa"/>
              <w:end w:w="120" w:type="dxa"/>
            </w:tcMar>
          </w:tcPr>
          <w:p>
            <w:pPr>
              <w:spacing w:after="60"/>
            </w:pPr>
            <w:r>
              <w:rPr>
                <w:rFonts w:ascii="Calibri" w:hAnsi="Calibri"/>
                <w:sz w:val="18"/>
              </w:rPr>
              <w:t>Count of number-like patterns such as years, percentages, monetary values, and quantities.</w:t>
            </w:r>
          </w:p>
        </w:tc>
        <w:tc>
          <w:tcPr>
            <w:tcW w:type="dxa" w:w="3600"/>
            <w:vAlign w:val="center"/>
            <w:tcMar>
              <w:top w:w="80" w:type="dxa"/>
              <w:start w:w="120" w:type="dxa"/>
              <w:bottom w:w="80" w:type="dxa"/>
              <w:end w:w="120" w:type="dxa"/>
            </w:tcMar>
          </w:tcPr>
          <w:p>
            <w:pPr>
              <w:spacing w:after="60"/>
            </w:pPr>
            <w:r>
              <w:rPr>
                <w:rFonts w:ascii="Calibri" w:hAnsi="Calibri"/>
                <w:sz w:val="18"/>
              </w:rPr>
              <w:t>Approximates how often the report uses quantified evidence.</w:t>
            </w:r>
          </w:p>
        </w:tc>
      </w:tr>
      <w:tr>
        <w:tc>
          <w:tcPr>
            <w:tcW w:type="dxa" w:w="2100"/>
            <w:vAlign w:val="center"/>
            <w:tcMar>
              <w:top w:w="80" w:type="dxa"/>
              <w:start w:w="120" w:type="dxa"/>
              <w:bottom w:w="80" w:type="dxa"/>
              <w:end w:w="120" w:type="dxa"/>
            </w:tcMar>
          </w:tcPr>
          <w:p>
            <w:pPr>
              <w:spacing w:after="60"/>
            </w:pPr>
            <w:r>
              <w:rPr>
                <w:rFonts w:ascii="Calibri" w:hAnsi="Calibri"/>
                <w:sz w:val="18"/>
              </w:rPr>
              <w:t>Numeric evidence density</w:t>
            </w:r>
          </w:p>
        </w:tc>
        <w:tc>
          <w:tcPr>
            <w:tcW w:type="dxa" w:w="3660"/>
            <w:vAlign w:val="center"/>
            <w:tcMar>
              <w:top w:w="80" w:type="dxa"/>
              <w:start w:w="120" w:type="dxa"/>
              <w:bottom w:w="80" w:type="dxa"/>
              <w:end w:w="120" w:type="dxa"/>
            </w:tcMar>
          </w:tcPr>
          <w:p>
            <w:pPr>
              <w:spacing w:after="60"/>
            </w:pPr>
            <w:r>
              <w:rPr>
                <w:rFonts w:ascii="Calibri" w:hAnsi="Calibri"/>
                <w:sz w:val="18"/>
              </w:rPr>
              <w:t>Numeric mentions per 1,000 words.</w:t>
            </w:r>
          </w:p>
        </w:tc>
        <w:tc>
          <w:tcPr>
            <w:tcW w:type="dxa" w:w="3600"/>
            <w:vAlign w:val="center"/>
            <w:tcMar>
              <w:top w:w="80" w:type="dxa"/>
              <w:start w:w="120" w:type="dxa"/>
              <w:bottom w:w="80" w:type="dxa"/>
              <w:end w:w="120" w:type="dxa"/>
            </w:tcMar>
          </w:tcPr>
          <w:p>
            <w:pPr>
              <w:spacing w:after="60"/>
            </w:pPr>
            <w:r>
              <w:rPr>
                <w:rFonts w:ascii="Calibri" w:hAnsi="Calibri"/>
                <w:sz w:val="18"/>
              </w:rPr>
              <w:t>Shows how concentrated numerical evidence is. A high density does not necessarily mean more total evidence if the report is short.</w:t>
            </w:r>
          </w:p>
        </w:tc>
      </w:tr>
    </w:tbl>
    <w:p>
      <w:pPr>
        <w:pStyle w:val="Heading2"/>
      </w:pPr>
      <w:r>
        <w:t>ESG and Tone Metrics</w:t>
      </w:r>
    </w:p>
    <w:tbl>
      <w:tblPr>
        <w:tblStyle w:val="TableGrid"/>
        <w:tblW w:type="dxa" w:w="9360"/>
        <w:jc w:val="left"/>
        <w:tblLayout w:type="fixed"/>
        <w:tblLook w:firstColumn="1" w:firstRow="1" w:lastColumn="0" w:lastRow="0" w:noHBand="0" w:noVBand="1" w:val="04A0"/>
        <w:tblInd w:type="dxa" w:w="120"/>
      </w:tblPr>
      <w:tblGrid>
        <w:gridCol w:w="2100"/>
        <w:gridCol w:w="3660"/>
        <w:gridCol w:w="3600"/>
      </w:tblGrid>
      <w:tr>
        <w:tc>
          <w:tcPr>
            <w:tcW w:type="dxa" w:w="2100"/>
            <w:vAlign w:val="center"/>
            <w:tcMar>
              <w:top w:w="80" w:type="dxa"/>
              <w:start w:w="120" w:type="dxa"/>
              <w:bottom w:w="80" w:type="dxa"/>
              <w:end w:w="120" w:type="dxa"/>
            </w:tcMar>
            <w:shd w:fill="F2F4F7"/>
          </w:tcPr>
          <w:p>
            <w:pPr>
              <w:spacing w:after="60"/>
            </w:pPr>
            <w:r>
              <w:rPr>
                <w:rFonts w:ascii="Calibri" w:hAnsi="Calibri"/>
                <w:b/>
                <w:sz w:val="18"/>
              </w:rPr>
              <w:t>Metric</w:t>
            </w:r>
          </w:p>
        </w:tc>
        <w:tc>
          <w:tcPr>
            <w:tcW w:type="dxa" w:w="3660"/>
            <w:vAlign w:val="center"/>
            <w:tcMar>
              <w:top w:w="80" w:type="dxa"/>
              <w:start w:w="120" w:type="dxa"/>
              <w:bottom w:w="80" w:type="dxa"/>
              <w:end w:w="120" w:type="dxa"/>
            </w:tcMar>
            <w:shd w:fill="F2F4F7"/>
          </w:tcPr>
          <w:p>
            <w:pPr>
              <w:spacing w:after="60"/>
            </w:pPr>
            <w:r>
              <w:rPr>
                <w:rFonts w:ascii="Calibri" w:hAnsi="Calibri"/>
                <w:b/>
                <w:sz w:val="18"/>
              </w:rPr>
              <w:t>Calculation</w:t>
            </w:r>
          </w:p>
        </w:tc>
        <w:tc>
          <w:tcPr>
            <w:tcW w:type="dxa" w:w="3600"/>
            <w:vAlign w:val="center"/>
            <w:tcMar>
              <w:top w:w="80" w:type="dxa"/>
              <w:start w:w="120" w:type="dxa"/>
              <w:bottom w:w="80" w:type="dxa"/>
              <w:end w:w="120" w:type="dxa"/>
            </w:tcMar>
            <w:shd w:fill="F2F4F7"/>
          </w:tcPr>
          <w:p>
            <w:pPr>
              <w:spacing w:after="60"/>
            </w:pPr>
            <w:r>
              <w:rPr>
                <w:rFonts w:ascii="Calibri" w:hAnsi="Calibri"/>
                <w:b/>
                <w:sz w:val="18"/>
              </w:rPr>
              <w:t>How to read it</w:t>
            </w:r>
          </w:p>
        </w:tc>
      </w:tr>
      <w:tr>
        <w:tc>
          <w:tcPr>
            <w:tcW w:type="dxa" w:w="2100"/>
            <w:vAlign w:val="center"/>
            <w:tcMar>
              <w:top w:w="80" w:type="dxa"/>
              <w:start w:w="120" w:type="dxa"/>
              <w:bottom w:w="80" w:type="dxa"/>
              <w:end w:w="120" w:type="dxa"/>
            </w:tcMar>
          </w:tcPr>
          <w:p>
            <w:pPr>
              <w:spacing w:after="60"/>
            </w:pPr>
            <w:r>
              <w:rPr>
                <w:rFonts w:ascii="Calibri" w:hAnsi="Calibri"/>
                <w:sz w:val="18"/>
              </w:rPr>
              <w:t>Environmental hits</w:t>
            </w:r>
          </w:p>
        </w:tc>
        <w:tc>
          <w:tcPr>
            <w:tcW w:type="dxa" w:w="3660"/>
            <w:vAlign w:val="center"/>
            <w:tcMar>
              <w:top w:w="80" w:type="dxa"/>
              <w:start w:w="120" w:type="dxa"/>
              <w:bottom w:w="80" w:type="dxa"/>
              <w:end w:w="120" w:type="dxa"/>
            </w:tcMar>
          </w:tcPr>
          <w:p>
            <w:pPr>
              <w:spacing w:after="60"/>
            </w:pPr>
            <w:r>
              <w:rPr>
                <w:rFonts w:ascii="Calibri" w:hAnsi="Calibri"/>
                <w:sz w:val="18"/>
              </w:rPr>
              <w:t>Matches against the environmental ESG keyword lexicon.</w:t>
            </w:r>
          </w:p>
        </w:tc>
        <w:tc>
          <w:tcPr>
            <w:tcW w:type="dxa" w:w="3600"/>
            <w:vAlign w:val="center"/>
            <w:tcMar>
              <w:top w:w="80" w:type="dxa"/>
              <w:start w:w="120" w:type="dxa"/>
              <w:bottom w:w="80" w:type="dxa"/>
              <w:end w:w="120" w:type="dxa"/>
            </w:tcMar>
          </w:tcPr>
          <w:p>
            <w:pPr>
              <w:spacing w:after="60"/>
            </w:pPr>
            <w:r>
              <w:rPr>
                <w:rFonts w:ascii="Calibri" w:hAnsi="Calibri"/>
                <w:sz w:val="18"/>
              </w:rPr>
              <w:t>Indicates coverage of topics such as climate, energy, emissions, water, waste, and circularity.</w:t>
            </w:r>
          </w:p>
        </w:tc>
      </w:tr>
      <w:tr>
        <w:tc>
          <w:tcPr>
            <w:tcW w:type="dxa" w:w="2100"/>
            <w:vAlign w:val="center"/>
            <w:tcMar>
              <w:top w:w="80" w:type="dxa"/>
              <w:start w:w="120" w:type="dxa"/>
              <w:bottom w:w="80" w:type="dxa"/>
              <w:end w:w="120" w:type="dxa"/>
            </w:tcMar>
          </w:tcPr>
          <w:p>
            <w:pPr>
              <w:spacing w:after="60"/>
            </w:pPr>
            <w:r>
              <w:rPr>
                <w:rFonts w:ascii="Calibri" w:hAnsi="Calibri"/>
                <w:sz w:val="18"/>
              </w:rPr>
              <w:t>Social hits</w:t>
            </w:r>
          </w:p>
        </w:tc>
        <w:tc>
          <w:tcPr>
            <w:tcW w:type="dxa" w:w="3660"/>
            <w:vAlign w:val="center"/>
            <w:tcMar>
              <w:top w:w="80" w:type="dxa"/>
              <w:start w:w="120" w:type="dxa"/>
              <w:bottom w:w="80" w:type="dxa"/>
              <w:end w:w="120" w:type="dxa"/>
            </w:tcMar>
          </w:tcPr>
          <w:p>
            <w:pPr>
              <w:spacing w:after="60"/>
            </w:pPr>
            <w:r>
              <w:rPr>
                <w:rFonts w:ascii="Calibri" w:hAnsi="Calibri"/>
                <w:sz w:val="18"/>
              </w:rPr>
              <w:t>Matches against the social ESG keyword lexicon.</w:t>
            </w:r>
          </w:p>
        </w:tc>
        <w:tc>
          <w:tcPr>
            <w:tcW w:type="dxa" w:w="3600"/>
            <w:vAlign w:val="center"/>
            <w:tcMar>
              <w:top w:w="80" w:type="dxa"/>
              <w:start w:w="120" w:type="dxa"/>
              <w:bottom w:w="80" w:type="dxa"/>
              <w:end w:w="120" w:type="dxa"/>
            </w:tcMar>
          </w:tcPr>
          <w:p>
            <w:pPr>
              <w:spacing w:after="60"/>
            </w:pPr>
            <w:r>
              <w:rPr>
                <w:rFonts w:ascii="Calibri" w:hAnsi="Calibri"/>
                <w:sz w:val="18"/>
              </w:rPr>
              <w:t>Indicates coverage of topics such as employees, safety, diversity, supply chains, human rights, and communities.</w:t>
            </w:r>
          </w:p>
        </w:tc>
      </w:tr>
      <w:tr>
        <w:tc>
          <w:tcPr>
            <w:tcW w:type="dxa" w:w="2100"/>
            <w:vAlign w:val="center"/>
            <w:tcMar>
              <w:top w:w="80" w:type="dxa"/>
              <w:start w:w="120" w:type="dxa"/>
              <w:bottom w:w="80" w:type="dxa"/>
              <w:end w:w="120" w:type="dxa"/>
            </w:tcMar>
          </w:tcPr>
          <w:p>
            <w:pPr>
              <w:spacing w:after="60"/>
            </w:pPr>
            <w:r>
              <w:rPr>
                <w:rFonts w:ascii="Calibri" w:hAnsi="Calibri"/>
                <w:sz w:val="18"/>
              </w:rPr>
              <w:t>Governance hits</w:t>
            </w:r>
          </w:p>
        </w:tc>
        <w:tc>
          <w:tcPr>
            <w:tcW w:type="dxa" w:w="3660"/>
            <w:vAlign w:val="center"/>
            <w:tcMar>
              <w:top w:w="80" w:type="dxa"/>
              <w:start w:w="120" w:type="dxa"/>
              <w:bottom w:w="80" w:type="dxa"/>
              <w:end w:w="120" w:type="dxa"/>
            </w:tcMar>
          </w:tcPr>
          <w:p>
            <w:pPr>
              <w:spacing w:after="60"/>
            </w:pPr>
            <w:r>
              <w:rPr>
                <w:rFonts w:ascii="Calibri" w:hAnsi="Calibri"/>
                <w:sz w:val="18"/>
              </w:rPr>
              <w:t>Matches against the governance ESG keyword lexicon.</w:t>
            </w:r>
          </w:p>
        </w:tc>
        <w:tc>
          <w:tcPr>
            <w:tcW w:type="dxa" w:w="3600"/>
            <w:vAlign w:val="center"/>
            <w:tcMar>
              <w:top w:w="80" w:type="dxa"/>
              <w:start w:w="120" w:type="dxa"/>
              <w:bottom w:w="80" w:type="dxa"/>
              <w:end w:w="120" w:type="dxa"/>
            </w:tcMar>
          </w:tcPr>
          <w:p>
            <w:pPr>
              <w:spacing w:after="60"/>
            </w:pPr>
            <w:r>
              <w:rPr>
                <w:rFonts w:ascii="Calibri" w:hAnsi="Calibri"/>
                <w:sz w:val="18"/>
              </w:rPr>
              <w:t>Indicates coverage of topics such as board oversight, compliance, ethics, controls, risk, and transparency.</w:t>
            </w:r>
          </w:p>
        </w:tc>
      </w:tr>
      <w:tr>
        <w:tc>
          <w:tcPr>
            <w:tcW w:type="dxa" w:w="2100"/>
            <w:vAlign w:val="center"/>
            <w:tcMar>
              <w:top w:w="80" w:type="dxa"/>
              <w:start w:w="120" w:type="dxa"/>
              <w:bottom w:w="80" w:type="dxa"/>
              <w:end w:w="120" w:type="dxa"/>
            </w:tcMar>
          </w:tcPr>
          <w:p>
            <w:pPr>
              <w:spacing w:after="60"/>
            </w:pPr>
            <w:r>
              <w:rPr>
                <w:rFonts w:ascii="Calibri" w:hAnsi="Calibri"/>
                <w:sz w:val="18"/>
              </w:rPr>
              <w:t>Total ESG hits</w:t>
            </w:r>
          </w:p>
        </w:tc>
        <w:tc>
          <w:tcPr>
            <w:tcW w:type="dxa" w:w="3660"/>
            <w:vAlign w:val="center"/>
            <w:tcMar>
              <w:top w:w="80" w:type="dxa"/>
              <w:start w:w="120" w:type="dxa"/>
              <w:bottom w:w="80" w:type="dxa"/>
              <w:end w:w="120" w:type="dxa"/>
            </w:tcMar>
          </w:tcPr>
          <w:p>
            <w:pPr>
              <w:spacing w:after="60"/>
            </w:pPr>
            <w:r>
              <w:rPr>
                <w:rFonts w:ascii="Calibri" w:hAnsi="Calibri"/>
                <w:sz w:val="18"/>
              </w:rPr>
              <w:t>Environmental hits plus social hits plus governance hits.</w:t>
            </w:r>
          </w:p>
        </w:tc>
        <w:tc>
          <w:tcPr>
            <w:tcW w:type="dxa" w:w="3600"/>
            <w:vAlign w:val="center"/>
            <w:tcMar>
              <w:top w:w="80" w:type="dxa"/>
              <w:start w:w="120" w:type="dxa"/>
              <w:bottom w:w="80" w:type="dxa"/>
              <w:end w:w="120" w:type="dxa"/>
            </w:tcMar>
          </w:tcPr>
          <w:p>
            <w:pPr>
              <w:spacing w:after="60"/>
            </w:pPr>
            <w:r>
              <w:rPr>
                <w:rFonts w:ascii="Calibri" w:hAnsi="Calibri"/>
                <w:sz w:val="18"/>
              </w:rPr>
              <w:t>Summarizes the amount of ESG keyword coverage in the extracted text.</w:t>
            </w:r>
          </w:p>
        </w:tc>
      </w:tr>
      <w:tr>
        <w:tc>
          <w:tcPr>
            <w:tcW w:type="dxa" w:w="2100"/>
            <w:vAlign w:val="center"/>
            <w:tcMar>
              <w:top w:w="80" w:type="dxa"/>
              <w:start w:w="120" w:type="dxa"/>
              <w:bottom w:w="80" w:type="dxa"/>
              <w:end w:w="120" w:type="dxa"/>
            </w:tcMar>
          </w:tcPr>
          <w:p>
            <w:pPr>
              <w:spacing w:after="60"/>
            </w:pPr>
            <w:r>
              <w:rPr>
                <w:rFonts w:ascii="Calibri" w:hAnsi="Calibri"/>
                <w:sz w:val="18"/>
              </w:rPr>
              <w:t>ESG hits per 1,000 words</w:t>
            </w:r>
          </w:p>
        </w:tc>
        <w:tc>
          <w:tcPr>
            <w:tcW w:type="dxa" w:w="3660"/>
            <w:vAlign w:val="center"/>
            <w:tcMar>
              <w:top w:w="80" w:type="dxa"/>
              <w:start w:w="120" w:type="dxa"/>
              <w:bottom w:w="80" w:type="dxa"/>
              <w:end w:w="120" w:type="dxa"/>
            </w:tcMar>
          </w:tcPr>
          <w:p>
            <w:pPr>
              <w:spacing w:after="60"/>
            </w:pPr>
            <w:r>
              <w:rPr>
                <w:rFonts w:ascii="Calibri" w:hAnsi="Calibri"/>
                <w:sz w:val="18"/>
              </w:rPr>
              <w:t>Total ESG hits divided by word count, multiplied by 1,000.</w:t>
            </w:r>
          </w:p>
        </w:tc>
        <w:tc>
          <w:tcPr>
            <w:tcW w:type="dxa" w:w="3600"/>
            <w:vAlign w:val="center"/>
            <w:tcMar>
              <w:top w:w="80" w:type="dxa"/>
              <w:start w:w="120" w:type="dxa"/>
              <w:bottom w:w="80" w:type="dxa"/>
              <w:end w:w="120" w:type="dxa"/>
            </w:tcMar>
          </w:tcPr>
          <w:p>
            <w:pPr>
              <w:spacing w:after="60"/>
            </w:pPr>
            <w:r>
              <w:rPr>
                <w:rFonts w:ascii="Calibri" w:hAnsi="Calibri"/>
                <w:sz w:val="18"/>
              </w:rPr>
              <w:t>Shows ESG keyword concentration. Short structured summaries can score high without being more detailed.</w:t>
            </w:r>
          </w:p>
        </w:tc>
      </w:tr>
      <w:tr>
        <w:tc>
          <w:tcPr>
            <w:tcW w:type="dxa" w:w="2100"/>
            <w:vAlign w:val="center"/>
            <w:tcMar>
              <w:top w:w="80" w:type="dxa"/>
              <w:start w:w="120" w:type="dxa"/>
              <w:bottom w:w="80" w:type="dxa"/>
              <w:end w:w="120" w:type="dxa"/>
            </w:tcMar>
          </w:tcPr>
          <w:p>
            <w:pPr>
              <w:spacing w:after="60"/>
            </w:pPr>
            <w:r>
              <w:rPr>
                <w:rFonts w:ascii="Calibri" w:hAnsi="Calibri"/>
                <w:sz w:val="18"/>
              </w:rPr>
              <w:t>Strongest ESG pillar</w:t>
            </w:r>
          </w:p>
        </w:tc>
        <w:tc>
          <w:tcPr>
            <w:tcW w:type="dxa" w:w="3660"/>
            <w:vAlign w:val="center"/>
            <w:tcMar>
              <w:top w:w="80" w:type="dxa"/>
              <w:start w:w="120" w:type="dxa"/>
              <w:bottom w:w="80" w:type="dxa"/>
              <w:end w:w="120" w:type="dxa"/>
            </w:tcMar>
          </w:tcPr>
          <w:p>
            <w:pPr>
              <w:spacing w:after="60"/>
            </w:pPr>
            <w:r>
              <w:rPr>
                <w:rFonts w:ascii="Calibri" w:hAnsi="Calibri"/>
                <w:sz w:val="18"/>
              </w:rPr>
              <w:t>The E, S, or G category with the highest keyword count.</w:t>
            </w:r>
          </w:p>
        </w:tc>
        <w:tc>
          <w:tcPr>
            <w:tcW w:type="dxa" w:w="3600"/>
            <w:vAlign w:val="center"/>
            <w:tcMar>
              <w:top w:w="80" w:type="dxa"/>
              <w:start w:w="120" w:type="dxa"/>
              <w:bottom w:w="80" w:type="dxa"/>
              <w:end w:w="120" w:type="dxa"/>
            </w:tcMar>
          </w:tcPr>
          <w:p>
            <w:pPr>
              <w:spacing w:after="60"/>
            </w:pPr>
            <w:r>
              <w:rPr>
                <w:rFonts w:ascii="Calibri" w:hAnsi="Calibri"/>
                <w:sz w:val="18"/>
              </w:rPr>
              <w:t>Shows which ESG pillar dominates the vocabulary of a report.</w:t>
            </w:r>
          </w:p>
        </w:tc>
      </w:tr>
      <w:tr>
        <w:tc>
          <w:tcPr>
            <w:tcW w:type="dxa" w:w="2100"/>
            <w:vAlign w:val="center"/>
            <w:tcMar>
              <w:top w:w="80" w:type="dxa"/>
              <w:start w:w="120" w:type="dxa"/>
              <w:bottom w:w="80" w:type="dxa"/>
              <w:end w:w="120" w:type="dxa"/>
            </w:tcMar>
          </w:tcPr>
          <w:p>
            <w:pPr>
              <w:spacing w:after="60"/>
            </w:pPr>
            <w:r>
              <w:rPr>
                <w:rFonts w:ascii="Calibri" w:hAnsi="Calibri"/>
                <w:sz w:val="18"/>
              </w:rPr>
              <w:t>Success hits</w:t>
            </w:r>
          </w:p>
        </w:tc>
        <w:tc>
          <w:tcPr>
            <w:tcW w:type="dxa" w:w="3660"/>
            <w:vAlign w:val="center"/>
            <w:tcMar>
              <w:top w:w="80" w:type="dxa"/>
              <w:start w:w="120" w:type="dxa"/>
              <w:bottom w:w="80" w:type="dxa"/>
              <w:end w:w="120" w:type="dxa"/>
            </w:tcMar>
          </w:tcPr>
          <w:p>
            <w:pPr>
              <w:spacing w:after="60"/>
            </w:pPr>
            <w:r>
              <w:rPr>
                <w:rFonts w:ascii="Calibri" w:hAnsi="Calibri"/>
                <w:sz w:val="18"/>
              </w:rPr>
              <w:t>Matches against a success or achievement tone lexicon.</w:t>
            </w:r>
          </w:p>
        </w:tc>
        <w:tc>
          <w:tcPr>
            <w:tcW w:type="dxa" w:w="3600"/>
            <w:vAlign w:val="center"/>
            <w:tcMar>
              <w:top w:w="80" w:type="dxa"/>
              <w:start w:w="120" w:type="dxa"/>
              <w:bottom w:w="80" w:type="dxa"/>
              <w:end w:w="120" w:type="dxa"/>
            </w:tcMar>
          </w:tcPr>
          <w:p>
            <w:pPr>
              <w:spacing w:after="60"/>
            </w:pPr>
            <w:r>
              <w:rPr>
                <w:rFonts w:ascii="Calibri" w:hAnsi="Calibri"/>
                <w:sz w:val="18"/>
              </w:rPr>
              <w:t>Approximates language about progress, improvements, commitments met, and positive outcomes.</w:t>
            </w:r>
          </w:p>
        </w:tc>
      </w:tr>
      <w:tr>
        <w:tc>
          <w:tcPr>
            <w:tcW w:type="dxa" w:w="2100"/>
            <w:vAlign w:val="center"/>
            <w:tcMar>
              <w:top w:w="80" w:type="dxa"/>
              <w:start w:w="120" w:type="dxa"/>
              <w:bottom w:w="80" w:type="dxa"/>
              <w:end w:w="120" w:type="dxa"/>
            </w:tcMar>
          </w:tcPr>
          <w:p>
            <w:pPr>
              <w:spacing w:after="60"/>
            </w:pPr>
            <w:r>
              <w:rPr>
                <w:rFonts w:ascii="Calibri" w:hAnsi="Calibri"/>
                <w:sz w:val="18"/>
              </w:rPr>
              <w:t>Risk hits</w:t>
            </w:r>
          </w:p>
        </w:tc>
        <w:tc>
          <w:tcPr>
            <w:tcW w:type="dxa" w:w="3660"/>
            <w:vAlign w:val="center"/>
            <w:tcMar>
              <w:top w:w="80" w:type="dxa"/>
              <w:start w:w="120" w:type="dxa"/>
              <w:bottom w:w="80" w:type="dxa"/>
              <w:end w:w="120" w:type="dxa"/>
            </w:tcMar>
          </w:tcPr>
          <w:p>
            <w:pPr>
              <w:spacing w:after="60"/>
            </w:pPr>
            <w:r>
              <w:rPr>
                <w:rFonts w:ascii="Calibri" w:hAnsi="Calibri"/>
                <w:sz w:val="18"/>
              </w:rPr>
              <w:t>Matches against a risk tone lexicon.</w:t>
            </w:r>
          </w:p>
        </w:tc>
        <w:tc>
          <w:tcPr>
            <w:tcW w:type="dxa" w:w="3600"/>
            <w:vAlign w:val="center"/>
            <w:tcMar>
              <w:top w:w="80" w:type="dxa"/>
              <w:start w:w="120" w:type="dxa"/>
              <w:bottom w:w="80" w:type="dxa"/>
              <w:end w:w="120" w:type="dxa"/>
            </w:tcMar>
          </w:tcPr>
          <w:p>
            <w:pPr>
              <w:spacing w:after="60"/>
            </w:pPr>
            <w:r>
              <w:rPr>
                <w:rFonts w:ascii="Calibri" w:hAnsi="Calibri"/>
                <w:sz w:val="18"/>
              </w:rPr>
              <w:t>Approximates language about uncertainty, exposure, compliance risk, operational risk, and limitations.</w:t>
            </w:r>
          </w:p>
        </w:tc>
      </w:tr>
      <w:tr>
        <w:tc>
          <w:tcPr>
            <w:tcW w:type="dxa" w:w="2100"/>
            <w:vAlign w:val="center"/>
            <w:tcMar>
              <w:top w:w="80" w:type="dxa"/>
              <w:start w:w="120" w:type="dxa"/>
              <w:bottom w:w="80" w:type="dxa"/>
              <w:end w:w="120" w:type="dxa"/>
            </w:tcMar>
          </w:tcPr>
          <w:p>
            <w:pPr>
              <w:spacing w:after="60"/>
            </w:pPr>
            <w:r>
              <w:rPr>
                <w:rFonts w:ascii="Calibri" w:hAnsi="Calibri"/>
                <w:sz w:val="18"/>
              </w:rPr>
              <w:t>Controversy hits</w:t>
            </w:r>
          </w:p>
        </w:tc>
        <w:tc>
          <w:tcPr>
            <w:tcW w:type="dxa" w:w="3660"/>
            <w:vAlign w:val="center"/>
            <w:tcMar>
              <w:top w:w="80" w:type="dxa"/>
              <w:start w:w="120" w:type="dxa"/>
              <w:bottom w:w="80" w:type="dxa"/>
              <w:end w:w="120" w:type="dxa"/>
            </w:tcMar>
          </w:tcPr>
          <w:p>
            <w:pPr>
              <w:spacing w:after="60"/>
            </w:pPr>
            <w:r>
              <w:rPr>
                <w:rFonts w:ascii="Calibri" w:hAnsi="Calibri"/>
                <w:sz w:val="18"/>
              </w:rPr>
              <w:t>Matches against a controversy-related tone lexicon.</w:t>
            </w:r>
          </w:p>
        </w:tc>
        <w:tc>
          <w:tcPr>
            <w:tcW w:type="dxa" w:w="3600"/>
            <w:vAlign w:val="center"/>
            <w:tcMar>
              <w:top w:w="80" w:type="dxa"/>
              <w:start w:w="120" w:type="dxa"/>
              <w:bottom w:w="80" w:type="dxa"/>
              <w:end w:w="120" w:type="dxa"/>
            </w:tcMar>
          </w:tcPr>
          <w:p>
            <w:pPr>
              <w:spacing w:after="60"/>
            </w:pPr>
            <w:r>
              <w:rPr>
                <w:rFonts w:ascii="Calibri" w:hAnsi="Calibri"/>
                <w:sz w:val="18"/>
              </w:rPr>
              <w:t>Flags vocabulary associated with disputes, investigations, incidents, criticism, or negative events.</w:t>
            </w:r>
          </w:p>
        </w:tc>
      </w:tr>
      <w:tr>
        <w:tc>
          <w:tcPr>
            <w:tcW w:type="dxa" w:w="2100"/>
            <w:vAlign w:val="center"/>
            <w:tcMar>
              <w:top w:w="80" w:type="dxa"/>
              <w:start w:w="120" w:type="dxa"/>
              <w:bottom w:w="80" w:type="dxa"/>
              <w:end w:w="120" w:type="dxa"/>
            </w:tcMar>
          </w:tcPr>
          <w:p>
            <w:pPr>
              <w:spacing w:after="60"/>
            </w:pPr>
            <w:r>
              <w:rPr>
                <w:rFonts w:ascii="Calibri" w:hAnsi="Calibri"/>
                <w:sz w:val="18"/>
              </w:rPr>
              <w:t>Target and tradeoff hits</w:t>
            </w:r>
          </w:p>
        </w:tc>
        <w:tc>
          <w:tcPr>
            <w:tcW w:type="dxa" w:w="3660"/>
            <w:vAlign w:val="center"/>
            <w:tcMar>
              <w:top w:w="80" w:type="dxa"/>
              <w:start w:w="120" w:type="dxa"/>
              <w:bottom w:w="80" w:type="dxa"/>
              <w:end w:w="120" w:type="dxa"/>
            </w:tcMar>
          </w:tcPr>
          <w:p>
            <w:pPr>
              <w:spacing w:after="60"/>
            </w:pPr>
            <w:r>
              <w:rPr>
                <w:rFonts w:ascii="Calibri" w:hAnsi="Calibri"/>
                <w:sz w:val="18"/>
              </w:rPr>
              <w:t>Matches against target, goal, transition, balance, and tradeoff vocabulary.</w:t>
            </w:r>
          </w:p>
        </w:tc>
        <w:tc>
          <w:tcPr>
            <w:tcW w:type="dxa" w:w="3600"/>
            <w:vAlign w:val="center"/>
            <w:tcMar>
              <w:top w:w="80" w:type="dxa"/>
              <w:start w:w="120" w:type="dxa"/>
              <w:bottom w:w="80" w:type="dxa"/>
              <w:end w:w="120" w:type="dxa"/>
            </w:tcMar>
          </w:tcPr>
          <w:p>
            <w:pPr>
              <w:spacing w:after="60"/>
            </w:pPr>
            <w:r>
              <w:rPr>
                <w:rFonts w:ascii="Calibri" w:hAnsi="Calibri"/>
                <w:sz w:val="18"/>
              </w:rPr>
              <w:t>Shows whether the report discusses goals, transitions, constraints, or competing priorities.</w:t>
            </w:r>
          </w:p>
        </w:tc>
      </w:tr>
      <w:tr>
        <w:tc>
          <w:tcPr>
            <w:tcW w:type="dxa" w:w="2100"/>
            <w:vAlign w:val="center"/>
            <w:tcMar>
              <w:top w:w="80" w:type="dxa"/>
              <w:start w:w="120" w:type="dxa"/>
              <w:bottom w:w="80" w:type="dxa"/>
              <w:end w:w="120" w:type="dxa"/>
            </w:tcMar>
          </w:tcPr>
          <w:p>
            <w:pPr>
              <w:spacing w:after="60"/>
            </w:pPr>
            <w:r>
              <w:rPr>
                <w:rFonts w:ascii="Calibri" w:hAnsi="Calibri"/>
                <w:sz w:val="18"/>
              </w:rPr>
              <w:t>Risk-to-success ratio</w:t>
            </w:r>
          </w:p>
        </w:tc>
        <w:tc>
          <w:tcPr>
            <w:tcW w:type="dxa" w:w="3660"/>
            <w:vAlign w:val="center"/>
            <w:tcMar>
              <w:top w:w="80" w:type="dxa"/>
              <w:start w:w="120" w:type="dxa"/>
              <w:bottom w:w="80" w:type="dxa"/>
              <w:end w:w="120" w:type="dxa"/>
            </w:tcMar>
          </w:tcPr>
          <w:p>
            <w:pPr>
              <w:spacing w:after="60"/>
            </w:pPr>
            <w:r>
              <w:rPr>
                <w:rFonts w:ascii="Calibri" w:hAnsi="Calibri"/>
                <w:sz w:val="18"/>
              </w:rPr>
              <w:t>Risk hits divided by success hits, using a minimum denominator of one.</w:t>
            </w:r>
          </w:p>
        </w:tc>
        <w:tc>
          <w:tcPr>
            <w:tcW w:type="dxa" w:w="3600"/>
            <w:vAlign w:val="center"/>
            <w:tcMar>
              <w:top w:w="80" w:type="dxa"/>
              <w:start w:w="120" w:type="dxa"/>
              <w:bottom w:w="80" w:type="dxa"/>
              <w:end w:w="120" w:type="dxa"/>
            </w:tcMar>
          </w:tcPr>
          <w:p>
            <w:pPr>
              <w:spacing w:after="60"/>
            </w:pPr>
            <w:r>
              <w:rPr>
                <w:rFonts w:ascii="Calibri" w:hAnsi="Calibri"/>
                <w:sz w:val="18"/>
              </w:rPr>
              <w:t>Values above 1 mean risk language appears more often than success language; values below 1 mean success language dominates.</w:t>
            </w:r>
          </w:p>
        </w:tc>
      </w:tr>
    </w:tbl>
    <w:p>
      <w:pPr>
        <w:pStyle w:val="Heading2"/>
      </w:pPr>
      <w:r>
        <w:t>Generated-Vs-Actual Comparison Metrics</w:t>
      </w:r>
    </w:p>
    <w:tbl>
      <w:tblPr>
        <w:tblStyle w:val="TableGrid"/>
        <w:tblW w:type="dxa" w:w="9360"/>
        <w:jc w:val="left"/>
        <w:tblLayout w:type="fixed"/>
        <w:tblLook w:firstColumn="1" w:firstRow="1" w:lastColumn="0" w:lastRow="0" w:noHBand="0" w:noVBand="1" w:val="04A0"/>
        <w:tblInd w:type="dxa" w:w="120"/>
      </w:tblPr>
      <w:tblGrid>
        <w:gridCol w:w="2100"/>
        <w:gridCol w:w="3660"/>
        <w:gridCol w:w="3600"/>
      </w:tblGrid>
      <w:tr>
        <w:tc>
          <w:tcPr>
            <w:tcW w:type="dxa" w:w="2100"/>
            <w:vAlign w:val="center"/>
            <w:tcMar>
              <w:top w:w="80" w:type="dxa"/>
              <w:start w:w="120" w:type="dxa"/>
              <w:bottom w:w="80" w:type="dxa"/>
              <w:end w:w="120" w:type="dxa"/>
            </w:tcMar>
            <w:shd w:fill="F2F4F7"/>
          </w:tcPr>
          <w:p>
            <w:pPr>
              <w:spacing w:after="60"/>
            </w:pPr>
            <w:r>
              <w:rPr>
                <w:rFonts w:ascii="Calibri" w:hAnsi="Calibri"/>
                <w:b/>
                <w:sz w:val="18"/>
              </w:rPr>
              <w:t>Metric</w:t>
            </w:r>
          </w:p>
        </w:tc>
        <w:tc>
          <w:tcPr>
            <w:tcW w:type="dxa" w:w="3660"/>
            <w:vAlign w:val="center"/>
            <w:tcMar>
              <w:top w:w="80" w:type="dxa"/>
              <w:start w:w="120" w:type="dxa"/>
              <w:bottom w:w="80" w:type="dxa"/>
              <w:end w:w="120" w:type="dxa"/>
            </w:tcMar>
            <w:shd w:fill="F2F4F7"/>
          </w:tcPr>
          <w:p>
            <w:pPr>
              <w:spacing w:after="60"/>
            </w:pPr>
            <w:r>
              <w:rPr>
                <w:rFonts w:ascii="Calibri" w:hAnsi="Calibri"/>
                <w:b/>
                <w:sz w:val="18"/>
              </w:rPr>
              <w:t>Calculation</w:t>
            </w:r>
          </w:p>
        </w:tc>
        <w:tc>
          <w:tcPr>
            <w:tcW w:type="dxa" w:w="3600"/>
            <w:vAlign w:val="center"/>
            <w:tcMar>
              <w:top w:w="80" w:type="dxa"/>
              <w:start w:w="120" w:type="dxa"/>
              <w:bottom w:w="80" w:type="dxa"/>
              <w:end w:w="120" w:type="dxa"/>
            </w:tcMar>
            <w:shd w:fill="F2F4F7"/>
          </w:tcPr>
          <w:p>
            <w:pPr>
              <w:spacing w:after="60"/>
            </w:pPr>
            <w:r>
              <w:rPr>
                <w:rFonts w:ascii="Calibri" w:hAnsi="Calibri"/>
                <w:b/>
                <w:sz w:val="18"/>
              </w:rPr>
              <w:t>How to read it</w:t>
            </w:r>
          </w:p>
        </w:tc>
      </w:tr>
      <w:tr>
        <w:tc>
          <w:tcPr>
            <w:tcW w:type="dxa" w:w="2100"/>
            <w:vAlign w:val="center"/>
            <w:tcMar>
              <w:top w:w="80" w:type="dxa"/>
              <w:start w:w="120" w:type="dxa"/>
              <w:bottom w:w="80" w:type="dxa"/>
              <w:end w:w="120" w:type="dxa"/>
            </w:tcMar>
          </w:tcPr>
          <w:p>
            <w:pPr>
              <w:spacing w:after="60"/>
            </w:pPr>
            <w:r>
              <w:rPr>
                <w:rFonts w:ascii="Calibri" w:hAnsi="Calibri"/>
                <w:sz w:val="18"/>
              </w:rPr>
              <w:t>TF-IDF cosine similarity</w:t>
            </w:r>
          </w:p>
        </w:tc>
        <w:tc>
          <w:tcPr>
            <w:tcW w:type="dxa" w:w="3660"/>
            <w:vAlign w:val="center"/>
            <w:tcMar>
              <w:top w:w="80" w:type="dxa"/>
              <w:start w:w="120" w:type="dxa"/>
              <w:bottom w:w="80" w:type="dxa"/>
              <w:end w:w="120" w:type="dxa"/>
            </w:tcMar>
          </w:tcPr>
          <w:p>
            <w:pPr>
              <w:spacing w:after="60"/>
            </w:pPr>
            <w:r>
              <w:rPr>
                <w:rFonts w:ascii="Calibri" w:hAnsi="Calibri"/>
                <w:sz w:val="18"/>
              </w:rPr>
              <w:t>Cosine similarity between generated and actual TF-IDF term vectors for the same company.</w:t>
            </w:r>
          </w:p>
        </w:tc>
        <w:tc>
          <w:tcPr>
            <w:tcW w:type="dxa" w:w="3600"/>
            <w:vAlign w:val="center"/>
            <w:tcMar>
              <w:top w:w="80" w:type="dxa"/>
              <w:start w:w="120" w:type="dxa"/>
              <w:bottom w:w="80" w:type="dxa"/>
              <w:end w:w="120" w:type="dxa"/>
            </w:tcMar>
          </w:tcPr>
          <w:p>
            <w:pPr>
              <w:spacing w:after="60"/>
            </w:pPr>
            <w:r>
              <w:rPr>
                <w:rFonts w:ascii="Calibri" w:hAnsi="Calibri"/>
                <w:sz w:val="18"/>
              </w:rPr>
              <w:t>Measures vocabulary and topic overlap. Higher values mean the generated report uses language closer to the actual benchmark.</w:t>
            </w:r>
          </w:p>
        </w:tc>
      </w:tr>
      <w:tr>
        <w:tc>
          <w:tcPr>
            <w:tcW w:type="dxa" w:w="2100"/>
            <w:vAlign w:val="center"/>
            <w:tcMar>
              <w:top w:w="80" w:type="dxa"/>
              <w:start w:w="120" w:type="dxa"/>
              <w:bottom w:w="80" w:type="dxa"/>
              <w:end w:w="120" w:type="dxa"/>
            </w:tcMar>
          </w:tcPr>
          <w:p>
            <w:pPr>
              <w:spacing w:after="60"/>
            </w:pPr>
            <w:r>
              <w:rPr>
                <w:rFonts w:ascii="Calibri" w:hAnsi="Calibri"/>
                <w:sz w:val="18"/>
              </w:rPr>
              <w:t>Jaccard similarity</w:t>
            </w:r>
          </w:p>
        </w:tc>
        <w:tc>
          <w:tcPr>
            <w:tcW w:type="dxa" w:w="3660"/>
            <w:vAlign w:val="center"/>
            <w:tcMar>
              <w:top w:w="80" w:type="dxa"/>
              <w:start w:w="120" w:type="dxa"/>
              <w:bottom w:w="80" w:type="dxa"/>
              <w:end w:w="120" w:type="dxa"/>
            </w:tcMar>
          </w:tcPr>
          <w:p>
            <w:pPr>
              <w:spacing w:after="60"/>
            </w:pPr>
            <w:r>
              <w:rPr>
                <w:rFonts w:ascii="Calibri" w:hAnsi="Calibri"/>
                <w:sz w:val="18"/>
              </w:rPr>
              <w:t>Size of the intersection of cleaned term sets divided by the size of their union.</w:t>
            </w:r>
          </w:p>
        </w:tc>
        <w:tc>
          <w:tcPr>
            <w:tcW w:type="dxa" w:w="3600"/>
            <w:vAlign w:val="center"/>
            <w:tcMar>
              <w:top w:w="80" w:type="dxa"/>
              <w:start w:w="120" w:type="dxa"/>
              <w:bottom w:w="80" w:type="dxa"/>
              <w:end w:w="120" w:type="dxa"/>
            </w:tcMar>
          </w:tcPr>
          <w:p>
            <w:pPr>
              <w:spacing w:after="60"/>
            </w:pPr>
            <w:r>
              <w:rPr>
                <w:rFonts w:ascii="Calibri" w:hAnsi="Calibri"/>
                <w:sz w:val="18"/>
              </w:rPr>
              <w:t>Measures vocabulary set overlap. It is stricter for long actual reports because they contain many additional terms.</w:t>
            </w:r>
          </w:p>
        </w:tc>
      </w:tr>
      <w:tr>
        <w:tc>
          <w:tcPr>
            <w:tcW w:type="dxa" w:w="2100"/>
            <w:vAlign w:val="center"/>
            <w:tcMar>
              <w:top w:w="80" w:type="dxa"/>
              <w:start w:w="120" w:type="dxa"/>
              <w:bottom w:w="80" w:type="dxa"/>
              <w:end w:w="120" w:type="dxa"/>
            </w:tcMar>
          </w:tcPr>
          <w:p>
            <w:pPr>
              <w:spacing w:after="60"/>
            </w:pPr>
            <w:r>
              <w:rPr>
                <w:rFonts w:ascii="Calibri" w:hAnsi="Calibri"/>
                <w:sz w:val="18"/>
              </w:rPr>
              <w:t>Generated length as percent of actual</w:t>
            </w:r>
          </w:p>
        </w:tc>
        <w:tc>
          <w:tcPr>
            <w:tcW w:type="dxa" w:w="3660"/>
            <w:vAlign w:val="center"/>
            <w:tcMar>
              <w:top w:w="80" w:type="dxa"/>
              <w:start w:w="120" w:type="dxa"/>
              <w:bottom w:w="80" w:type="dxa"/>
              <w:end w:w="120" w:type="dxa"/>
            </w:tcMar>
          </w:tcPr>
          <w:p>
            <w:pPr>
              <w:spacing w:after="60"/>
            </w:pPr>
            <w:r>
              <w:rPr>
                <w:rFonts w:ascii="Calibri" w:hAnsi="Calibri"/>
                <w:sz w:val="18"/>
              </w:rPr>
              <w:t>Generated word count divided by actual word count, multiplied by 100.</w:t>
            </w:r>
          </w:p>
        </w:tc>
        <w:tc>
          <w:tcPr>
            <w:tcW w:type="dxa" w:w="3600"/>
            <w:vAlign w:val="center"/>
            <w:tcMar>
              <w:top w:w="80" w:type="dxa"/>
              <w:start w:w="120" w:type="dxa"/>
              <w:bottom w:w="80" w:type="dxa"/>
              <w:end w:w="120" w:type="dxa"/>
            </w:tcMar>
          </w:tcPr>
          <w:p>
            <w:pPr>
              <w:spacing w:after="60"/>
            </w:pPr>
            <w:r>
              <w:rPr>
                <w:rFonts w:ascii="Calibri" w:hAnsi="Calibri"/>
                <w:sz w:val="18"/>
              </w:rPr>
              <w:t>Shows how compressed the generated report is relative to the official benchmark.</w:t>
            </w:r>
          </w:p>
        </w:tc>
      </w:tr>
      <w:tr>
        <w:tc>
          <w:tcPr>
            <w:tcW w:type="dxa" w:w="2100"/>
            <w:vAlign w:val="center"/>
            <w:tcMar>
              <w:top w:w="80" w:type="dxa"/>
              <w:start w:w="120" w:type="dxa"/>
              <w:bottom w:w="80" w:type="dxa"/>
              <w:end w:w="120" w:type="dxa"/>
            </w:tcMar>
          </w:tcPr>
          <w:p>
            <w:pPr>
              <w:spacing w:after="60"/>
            </w:pPr>
            <w:r>
              <w:rPr>
                <w:rFonts w:ascii="Calibri" w:hAnsi="Calibri"/>
                <w:sz w:val="18"/>
              </w:rPr>
              <w:t>Numeric density gap</w:t>
            </w:r>
          </w:p>
        </w:tc>
        <w:tc>
          <w:tcPr>
            <w:tcW w:type="dxa" w:w="3660"/>
            <w:vAlign w:val="center"/>
            <w:tcMar>
              <w:top w:w="80" w:type="dxa"/>
              <w:start w:w="120" w:type="dxa"/>
              <w:bottom w:w="80" w:type="dxa"/>
              <w:end w:w="120" w:type="dxa"/>
            </w:tcMar>
          </w:tcPr>
          <w:p>
            <w:pPr>
              <w:spacing w:after="60"/>
            </w:pPr>
            <w:r>
              <w:rPr>
                <w:rFonts w:ascii="Calibri" w:hAnsi="Calibri"/>
                <w:sz w:val="18"/>
              </w:rPr>
              <w:t>Generated numeric evidence density minus actual numeric evidence density.</w:t>
            </w:r>
          </w:p>
        </w:tc>
        <w:tc>
          <w:tcPr>
            <w:tcW w:type="dxa" w:w="3600"/>
            <w:vAlign w:val="center"/>
            <w:tcMar>
              <w:top w:w="80" w:type="dxa"/>
              <w:start w:w="120" w:type="dxa"/>
              <w:bottom w:w="80" w:type="dxa"/>
              <w:end w:w="120" w:type="dxa"/>
            </w:tcMar>
          </w:tcPr>
          <w:p>
            <w:pPr>
              <w:spacing w:after="60"/>
            </w:pPr>
            <w:r>
              <w:rPr>
                <w:rFonts w:ascii="Calibri" w:hAnsi="Calibri"/>
                <w:sz w:val="18"/>
              </w:rPr>
              <w:t>Positive values mean the generated report has more numeric mentions per 1,000 words; negative values mean the actual report is denser.</w:t>
            </w:r>
          </w:p>
        </w:tc>
      </w:tr>
      <w:tr>
        <w:tc>
          <w:tcPr>
            <w:tcW w:type="dxa" w:w="2100"/>
            <w:vAlign w:val="center"/>
            <w:tcMar>
              <w:top w:w="80" w:type="dxa"/>
              <w:start w:w="120" w:type="dxa"/>
              <w:bottom w:w="80" w:type="dxa"/>
              <w:end w:w="120" w:type="dxa"/>
            </w:tcMar>
          </w:tcPr>
          <w:p>
            <w:pPr>
              <w:spacing w:after="60"/>
            </w:pPr>
            <w:r>
              <w:rPr>
                <w:rFonts w:ascii="Calibri" w:hAnsi="Calibri"/>
                <w:sz w:val="18"/>
              </w:rPr>
              <w:t>ESG keyword density gap</w:t>
            </w:r>
          </w:p>
        </w:tc>
        <w:tc>
          <w:tcPr>
            <w:tcW w:type="dxa" w:w="3660"/>
            <w:vAlign w:val="center"/>
            <w:tcMar>
              <w:top w:w="80" w:type="dxa"/>
              <w:start w:w="120" w:type="dxa"/>
              <w:bottom w:w="80" w:type="dxa"/>
              <w:end w:w="120" w:type="dxa"/>
            </w:tcMar>
          </w:tcPr>
          <w:p>
            <w:pPr>
              <w:spacing w:after="60"/>
            </w:pPr>
            <w:r>
              <w:rPr>
                <w:rFonts w:ascii="Calibri" w:hAnsi="Calibri"/>
                <w:sz w:val="18"/>
              </w:rPr>
              <w:t>Generated ESG hits per 1,000 words minus actual ESG hits per 1,000 words.</w:t>
            </w:r>
          </w:p>
        </w:tc>
        <w:tc>
          <w:tcPr>
            <w:tcW w:type="dxa" w:w="3600"/>
            <w:vAlign w:val="center"/>
            <w:tcMar>
              <w:top w:w="80" w:type="dxa"/>
              <w:start w:w="120" w:type="dxa"/>
              <w:bottom w:w="80" w:type="dxa"/>
              <w:end w:w="120" w:type="dxa"/>
            </w:tcMar>
          </w:tcPr>
          <w:p>
            <w:pPr>
              <w:spacing w:after="60"/>
            </w:pPr>
            <w:r>
              <w:rPr>
                <w:rFonts w:ascii="Calibri" w:hAnsi="Calibri"/>
                <w:sz w:val="18"/>
              </w:rPr>
              <w:t>Positive values mean ESG vocabulary is more concentrated in the generated report, not necessarily more complete.</w:t>
            </w:r>
          </w:p>
        </w:tc>
      </w:tr>
      <w:tr>
        <w:tc>
          <w:tcPr>
            <w:tcW w:type="dxa" w:w="2100"/>
            <w:vAlign w:val="center"/>
            <w:tcMar>
              <w:top w:w="80" w:type="dxa"/>
              <w:start w:w="120" w:type="dxa"/>
              <w:bottom w:w="80" w:type="dxa"/>
              <w:end w:w="120" w:type="dxa"/>
            </w:tcMar>
          </w:tcPr>
          <w:p>
            <w:pPr>
              <w:spacing w:after="60"/>
            </w:pPr>
            <w:r>
              <w:rPr>
                <w:rFonts w:ascii="Calibri" w:hAnsi="Calibri"/>
                <w:sz w:val="18"/>
              </w:rPr>
              <w:t>Risk-to-success tone gap</w:t>
            </w:r>
          </w:p>
        </w:tc>
        <w:tc>
          <w:tcPr>
            <w:tcW w:type="dxa" w:w="3660"/>
            <w:vAlign w:val="center"/>
            <w:tcMar>
              <w:top w:w="80" w:type="dxa"/>
              <w:start w:w="120" w:type="dxa"/>
              <w:bottom w:w="80" w:type="dxa"/>
              <w:end w:w="120" w:type="dxa"/>
            </w:tcMar>
          </w:tcPr>
          <w:p>
            <w:pPr>
              <w:spacing w:after="60"/>
            </w:pPr>
            <w:r>
              <w:rPr>
                <w:rFonts w:ascii="Calibri" w:hAnsi="Calibri"/>
                <w:sz w:val="18"/>
              </w:rPr>
              <w:t>Generated risk-to-success ratio minus actual risk-to-success ratio.</w:t>
            </w:r>
          </w:p>
        </w:tc>
        <w:tc>
          <w:tcPr>
            <w:tcW w:type="dxa" w:w="3600"/>
            <w:vAlign w:val="center"/>
            <w:tcMar>
              <w:top w:w="80" w:type="dxa"/>
              <w:start w:w="120" w:type="dxa"/>
              <w:bottom w:w="80" w:type="dxa"/>
              <w:end w:w="120" w:type="dxa"/>
            </w:tcMar>
          </w:tcPr>
          <w:p>
            <w:pPr>
              <w:spacing w:after="60"/>
            </w:pPr>
            <w:r>
              <w:rPr>
                <w:rFonts w:ascii="Calibri" w:hAnsi="Calibri"/>
                <w:sz w:val="18"/>
              </w:rPr>
              <w:t>Positive values mean the generated report is more risk-heavy relative to success language than the actual report.</w:t>
            </w:r>
          </w:p>
        </w:tc>
      </w:tr>
      <w:tr>
        <w:tc>
          <w:tcPr>
            <w:tcW w:type="dxa" w:w="2100"/>
            <w:vAlign w:val="center"/>
            <w:tcMar>
              <w:top w:w="80" w:type="dxa"/>
              <w:start w:w="120" w:type="dxa"/>
              <w:bottom w:w="80" w:type="dxa"/>
              <w:end w:w="120" w:type="dxa"/>
            </w:tcMar>
          </w:tcPr>
          <w:p>
            <w:pPr>
              <w:spacing w:after="60"/>
            </w:pPr>
            <w:r>
              <w:rPr>
                <w:rFonts w:ascii="Calibri" w:hAnsi="Calibri"/>
                <w:sz w:val="18"/>
              </w:rPr>
              <w:t>Actual prominent terms</w:t>
            </w:r>
          </w:p>
        </w:tc>
        <w:tc>
          <w:tcPr>
            <w:tcW w:type="dxa" w:w="3660"/>
            <w:vAlign w:val="center"/>
            <w:tcMar>
              <w:top w:w="80" w:type="dxa"/>
              <w:start w:w="120" w:type="dxa"/>
              <w:bottom w:w="80" w:type="dxa"/>
              <w:end w:w="120" w:type="dxa"/>
            </w:tcMar>
          </w:tcPr>
          <w:p>
            <w:pPr>
              <w:spacing w:after="60"/>
            </w:pPr>
            <w:r>
              <w:rPr>
                <w:rFonts w:ascii="Calibri" w:hAnsi="Calibri"/>
                <w:sz w:val="18"/>
              </w:rPr>
              <w:t>Terms where actual-report frequency exceeds generated-report frequency by the largest margin.</w:t>
            </w:r>
          </w:p>
        </w:tc>
        <w:tc>
          <w:tcPr>
            <w:tcW w:type="dxa" w:w="3600"/>
            <w:vAlign w:val="center"/>
            <w:tcMar>
              <w:top w:w="80" w:type="dxa"/>
              <w:start w:w="120" w:type="dxa"/>
              <w:bottom w:w="80" w:type="dxa"/>
              <w:end w:w="120" w:type="dxa"/>
            </w:tcMar>
          </w:tcPr>
          <w:p>
            <w:pPr>
              <w:spacing w:after="60"/>
            </w:pPr>
            <w:r>
              <w:rPr>
                <w:rFonts w:ascii="Calibri" w:hAnsi="Calibri"/>
                <w:sz w:val="18"/>
              </w:rPr>
              <w:t>Highlights themes and disclosure language that are underrepresented in the generated report.</w:t>
            </w:r>
          </w:p>
        </w:tc>
      </w:tr>
      <w:tr>
        <w:tc>
          <w:tcPr>
            <w:tcW w:type="dxa" w:w="2100"/>
            <w:vAlign w:val="center"/>
            <w:tcMar>
              <w:top w:w="80" w:type="dxa"/>
              <w:start w:w="120" w:type="dxa"/>
              <w:bottom w:w="80" w:type="dxa"/>
              <w:end w:w="120" w:type="dxa"/>
            </w:tcMar>
          </w:tcPr>
          <w:p>
            <w:pPr>
              <w:spacing w:after="60"/>
            </w:pPr>
            <w:r>
              <w:rPr>
                <w:rFonts w:ascii="Calibri" w:hAnsi="Calibri"/>
                <w:sz w:val="18"/>
              </w:rPr>
              <w:t>Top terms</w:t>
            </w:r>
          </w:p>
        </w:tc>
        <w:tc>
          <w:tcPr>
            <w:tcW w:type="dxa" w:w="3660"/>
            <w:vAlign w:val="center"/>
            <w:tcMar>
              <w:top w:w="80" w:type="dxa"/>
              <w:start w:w="120" w:type="dxa"/>
              <w:bottom w:w="80" w:type="dxa"/>
              <w:end w:w="120" w:type="dxa"/>
            </w:tcMar>
          </w:tcPr>
          <w:p>
            <w:pPr>
              <w:spacing w:after="60"/>
            </w:pPr>
            <w:r>
              <w:rPr>
                <w:rFonts w:ascii="Calibri" w:hAnsi="Calibri"/>
                <w:sz w:val="18"/>
              </w:rPr>
              <w:t>Most frequent cleaned terms per company and report type.</w:t>
            </w:r>
          </w:p>
        </w:tc>
        <w:tc>
          <w:tcPr>
            <w:tcW w:type="dxa" w:w="3600"/>
            <w:vAlign w:val="center"/>
            <w:tcMar>
              <w:top w:w="80" w:type="dxa"/>
              <w:start w:w="120" w:type="dxa"/>
              <w:bottom w:w="80" w:type="dxa"/>
              <w:end w:w="120" w:type="dxa"/>
            </w:tcMar>
          </w:tcPr>
          <w:p>
            <w:pPr>
              <w:spacing w:after="60"/>
            </w:pPr>
            <w:r>
              <w:rPr>
                <w:rFonts w:ascii="Calibri" w:hAnsi="Calibri"/>
                <w:sz w:val="18"/>
              </w:rPr>
              <w:t>Provides a transparent view of the vocabulary driving the quantitative comparison.</w:t>
            </w:r>
          </w:p>
        </w:tc>
      </w:tr>
    </w:tbl>
    <w:p>
      <w:pPr>
        <w:pStyle w:val="Heading2"/>
      </w:pPr>
      <w:r>
        <w:t>Qualitative Assessment Dimensions</w:t>
      </w:r>
    </w:p>
    <w:p>
      <w:pPr>
        <w:pStyle w:val="ListBullet"/>
        <w:spacing w:after="80" w:line="280" w:lineRule="auto"/>
      </w:pPr>
      <w:r>
        <w:t>Factual contradictions: checks whether generated statements conflict with the benchmark sources; the main finding was missing depth rather than clear contradiction.</w:t>
      </w:r>
    </w:p>
    <w:p>
      <w:pPr>
        <w:pStyle w:val="ListBullet"/>
        <w:spacing w:after="80" w:line="280" w:lineRule="auto"/>
      </w:pPr>
      <w:r>
        <w:t>Missing themes: identifies material topics, frameworks, risks, or boundary details present in actual reports but weak or absent in generated reports.</w:t>
      </w:r>
    </w:p>
    <w:p>
      <w:pPr>
        <w:pStyle w:val="ListBullet"/>
        <w:spacing w:after="80" w:line="280" w:lineRule="auto"/>
      </w:pPr>
      <w:r>
        <w:t>Specificity and numerical support: evaluates whether claims are backed by concrete figures, targets, timelines, and disclosure boundaries.</w:t>
      </w:r>
    </w:p>
    <w:p>
      <w:pPr>
        <w:pStyle w:val="ListBullet"/>
        <w:spacing w:after="80" w:line="280" w:lineRule="auto"/>
      </w:pPr>
      <w:r>
        <w:t>Disclosure framing: compares whether the report emphasizes achievements, risks, controversies, or target conflicts.</w:t>
      </w:r>
    </w:p>
    <w:p>
      <w:pPr>
        <w:pStyle w:val="Heading1"/>
      </w:pPr>
      <w:r>
        <w:t>ESG Coverage and Tone</w:t>
      </w:r>
    </w:p>
    <w:p>
      <w:pPr>
        <w:jc w:val="center"/>
      </w:pPr>
      <w:r>
        <w:drawing>
          <wp:inline xmlns:a="http://schemas.openxmlformats.org/drawingml/2006/main" xmlns:pic="http://schemas.openxmlformats.org/drawingml/2006/picture">
            <wp:extent cx="5760720" cy="3149194"/>
            <wp:docPr id="4" name="Picture 4"/>
            <wp:cNvGraphicFramePr>
              <a:graphicFrameLocks noChangeAspect="1"/>
            </wp:cNvGraphicFramePr>
            <a:graphic>
              <a:graphicData uri="http://schemas.openxmlformats.org/drawingml/2006/picture">
                <pic:pic>
                  <pic:nvPicPr>
                    <pic:cNvPr id="0" name="together_esg_density_gap.png"/>
                    <pic:cNvPicPr/>
                  </pic:nvPicPr>
                  <pic:blipFill>
                    <a:blip r:embed="rId13"/>
                    <a:stretch>
                      <a:fillRect/>
                    </a:stretch>
                  </pic:blipFill>
                  <pic:spPr>
                    <a:xfrm>
                      <a:off x="0" y="0"/>
                      <a:ext cx="5760720" cy="3149194"/>
                    </a:xfrm>
                    <a:prstGeom prst="rect"/>
                  </pic:spPr>
                </pic:pic>
              </a:graphicData>
            </a:graphic>
          </wp:inline>
        </w:drawing>
      </w:r>
    </w:p>
    <w:p>
      <w:pPr>
        <w:spacing w:after="200"/>
        <w:jc w:val="center"/>
      </w:pPr>
      <w:r>
        <w:rPr>
          <w:rFonts w:ascii="Calibri" w:hAnsi="Calibri"/>
          <w:i/>
          <w:color w:val="4B5563"/>
          <w:sz w:val="18"/>
        </w:rPr>
        <w:t>Figure 4. ESG keyword-density gap: generated minus actual.</w:t>
      </w:r>
    </w:p>
    <w:p>
      <w:pPr>
        <w:jc w:val="center"/>
      </w:pPr>
      <w:r>
        <w:drawing>
          <wp:inline xmlns:a="http://schemas.openxmlformats.org/drawingml/2006/main" xmlns:pic="http://schemas.openxmlformats.org/drawingml/2006/picture">
            <wp:extent cx="5760720" cy="3149194"/>
            <wp:docPr id="5" name="Picture 5"/>
            <wp:cNvGraphicFramePr>
              <a:graphicFrameLocks noChangeAspect="1"/>
            </wp:cNvGraphicFramePr>
            <a:graphic>
              <a:graphicData uri="http://schemas.openxmlformats.org/drawingml/2006/picture">
                <pic:pic>
                  <pic:nvPicPr>
                    <pic:cNvPr id="0" name="together_risk_success_gap.png"/>
                    <pic:cNvPicPr/>
                  </pic:nvPicPr>
                  <pic:blipFill>
                    <a:blip r:embed="rId14"/>
                    <a:stretch>
                      <a:fillRect/>
                    </a:stretch>
                  </pic:blipFill>
                  <pic:spPr>
                    <a:xfrm>
                      <a:off x="0" y="0"/>
                      <a:ext cx="5760720" cy="3149194"/>
                    </a:xfrm>
                    <a:prstGeom prst="rect"/>
                  </pic:spPr>
                </pic:pic>
              </a:graphicData>
            </a:graphic>
          </wp:inline>
        </w:drawing>
      </w:r>
    </w:p>
    <w:p>
      <w:pPr>
        <w:spacing w:after="200"/>
        <w:jc w:val="center"/>
      </w:pPr>
      <w:r>
        <w:rPr>
          <w:rFonts w:ascii="Calibri" w:hAnsi="Calibri"/>
          <w:i/>
          <w:color w:val="4B5563"/>
          <w:sz w:val="18"/>
        </w:rPr>
        <w:t>Figure 5. Risk-to-success tone gap: generated minus actual.</w:t>
      </w:r>
    </w:p>
    <w:p>
      <w:pPr>
        <w:jc w:val="center"/>
      </w:pPr>
      <w:r>
        <w:drawing>
          <wp:inline xmlns:a="http://schemas.openxmlformats.org/drawingml/2006/main" xmlns:pic="http://schemas.openxmlformats.org/drawingml/2006/picture">
            <wp:extent cx="5760720" cy="3149194"/>
            <wp:docPr id="6" name="Picture 6"/>
            <wp:cNvGraphicFramePr>
              <a:graphicFrameLocks noChangeAspect="1"/>
            </wp:cNvGraphicFramePr>
            <a:graphic>
              <a:graphicData uri="http://schemas.openxmlformats.org/drawingml/2006/picture">
                <pic:pic>
                  <pic:nvPicPr>
                    <pic:cNvPr id="0" name="together_tone_ratio.png"/>
                    <pic:cNvPicPr/>
                  </pic:nvPicPr>
                  <pic:blipFill>
                    <a:blip r:embed="rId15"/>
                    <a:stretch>
                      <a:fillRect/>
                    </a:stretch>
                  </pic:blipFill>
                  <pic:spPr>
                    <a:xfrm>
                      <a:off x="0" y="0"/>
                      <a:ext cx="5760720" cy="3149194"/>
                    </a:xfrm>
                    <a:prstGeom prst="rect"/>
                  </pic:spPr>
                </pic:pic>
              </a:graphicData>
            </a:graphic>
          </wp:inline>
        </w:drawing>
      </w:r>
    </w:p>
    <w:p>
      <w:pPr>
        <w:spacing w:after="200"/>
        <w:jc w:val="center"/>
      </w:pPr>
      <w:r>
        <w:rPr>
          <w:rFonts w:ascii="Calibri" w:hAnsi="Calibri"/>
          <w:i/>
          <w:color w:val="4B5563"/>
          <w:sz w:val="18"/>
        </w:rPr>
        <w:t>Figure 6. Risk-to-success tone ratios in generated and actual reports.</w:t>
      </w:r>
    </w:p>
    <w:p>
      <w:r>
        <w:t>The generated reports often show high ESG keyword density because they are short and deliberately structured around E, S, and G headings. This does not mean they have more evidence. It means ESG vocabulary is more concentrated. Official reports spread ESG content across broader financial, governance, assurance, and operational disclosure sections.</w:t>
      </w:r>
    </w:p>
    <w:p>
      <w:pPr>
        <w:pStyle w:val="Heading1"/>
      </w:pPr>
      <w:r>
        <w:t>LLM-Style Qualitative Synthesis</w:t>
      </w:r>
    </w:p>
    <w:p>
      <w:pPr>
        <w:pStyle w:val="ListBullet"/>
        <w:spacing w:after="80" w:line="280" w:lineRule="auto"/>
      </w:pPr>
      <w:r>
        <w:t>Factual contradictions: no clear direct contradiction was detected from the generated-vs-actual comparison. The main issue is compression and missing context.</w:t>
      </w:r>
    </w:p>
    <w:p>
      <w:pPr>
        <w:pStyle w:val="ListBullet"/>
        <w:spacing w:after="80" w:line="280" w:lineRule="auto"/>
      </w:pPr>
      <w:r>
        <w:t>Missing themes: generated reports underrepresent official framework language, assurance boundaries, table-based indicators, regional or segment detail, and formal materiality language.</w:t>
      </w:r>
    </w:p>
    <w:p>
      <w:pPr>
        <w:pStyle w:val="ListBullet"/>
        <w:spacing w:after="80" w:line="280" w:lineRule="auto"/>
      </w:pPr>
      <w:r>
        <w:t>Specificity: generated reports sometimes have high numeric density per 1,000 words, but official reports contain far more total quantified evidence and better audit trails.</w:t>
      </w:r>
    </w:p>
    <w:p>
      <w:pPr>
        <w:pStyle w:val="ListBullet"/>
        <w:spacing w:after="80" w:line="280" w:lineRule="auto"/>
      </w:pPr>
      <w:r>
        <w:t>Tone: generated reports tend to be more normalized and balanced; official reports include more granular risk, target, assurance, and compliance language.</w:t>
      </w:r>
    </w:p>
    <w:p>
      <w:pPr>
        <w:pStyle w:val="Heading1"/>
      </w:pPr>
      <w:r>
        <w:t>Company-Level Interpretation</w:t>
      </w:r>
    </w:p>
    <w:p>
      <w:pPr>
        <w:pStyle w:val="Heading2"/>
      </w:pPr>
      <w:r>
        <w:t>Amazon</w:t>
      </w:r>
    </w:p>
    <w:p>
      <w:r>
        <w:t>The generated Amazon report captures climate, logistics, workforce, and governance themes, but the official sustainability report contains more operational detail across emissions, packaging, suppliers, safety, and program-level metrics.</w:t>
      </w:r>
    </w:p>
    <w:p>
      <w:r>
        <w:t>Key metrics: TF-IDF cosine 0.2874; Jaccard 0.0615; generated length 2.51% of actual.</w:t>
      </w:r>
    </w:p>
    <w:p>
      <w:pPr>
        <w:pStyle w:val="Heading2"/>
      </w:pPr>
      <w:r>
        <w:t>Microsoft</w:t>
      </w:r>
    </w:p>
    <w:p>
      <w:r>
        <w:t>The generated Microsoft report is close in broad topic framing but much shorter than the official environmental and impact reports, which provide more detailed cloud, AI, water, energy, and social-impact evidence.</w:t>
      </w:r>
    </w:p>
    <w:p>
      <w:r>
        <w:t>Key metrics: TF-IDF cosine 0.2766; Jaccard 0.0542; generated length 2.29% of actual.</w:t>
      </w:r>
    </w:p>
    <w:p>
      <w:pPr>
        <w:pStyle w:val="Heading2"/>
      </w:pPr>
      <w:r>
        <w:t>SAP</w:t>
      </w:r>
    </w:p>
    <w:p>
      <w:r>
        <w:t>The SAP comparison now uses an official SAP Integrated Report 2025 online benchmark compiled from SAP's Integrated Report, CSRD, Environmental Performance, Social Performance, Report Data Hub, and governance pages after the local PDF copy proved incomplete. The generated report captures governance-heavy framing, while the official online benchmark contains deeper sustainability, performance, governance, and reporting-boundary language.</w:t>
      </w:r>
    </w:p>
    <w:p>
      <w:r>
        <w:t>Key metrics: TF-IDF cosine 0.3436; Jaccard 0.1366; generated length 22.85% of actual.</w:t>
      </w:r>
    </w:p>
    <w:p>
      <w:pPr>
        <w:pStyle w:val="Heading2"/>
      </w:pPr>
      <w:r>
        <w:t>Zalando</w:t>
      </w:r>
    </w:p>
    <w:p>
      <w:r>
        <w:t>The generated Zalando report captures fashion-specific ESG issues such as suppliers, returns, circularity, and platform governance, but the official CSRD/ESRS report is far more granular and framework-specific.</w:t>
      </w:r>
    </w:p>
    <w:p>
      <w:r>
        <w:t>Key metrics: TF-IDF cosine 0.2665; Jaccard 0.0548; generated length 0.86% of actual.</w:t>
      </w:r>
    </w:p>
    <w:p>
      <w:pPr>
        <w:pStyle w:val="Heading1"/>
      </w:pPr>
      <w:r>
        <w:t>Economic Intuition</w:t>
      </w:r>
    </w:p>
    <w:p>
      <w:r>
        <w:t>ESG disclosure is not only a communication exercise. It is a governance and accountability mechanism shaped by regulation, assurance expectations, stakeholder pressure, and sector-specific risk. A reusable AI workflow can standardize report structure and produce comparable ESG summaries, but official reporting remains richer because it must define reporting boundaries, disclose material impacts, and support claims with auditable evidence.</w:t>
      </w:r>
    </w:p>
    <w:p>
      <w:pPr>
        <w:pStyle w:val="Heading1"/>
      </w:pPr>
      <w:r>
        <w:t>Critical Reflection</w:t>
      </w:r>
    </w:p>
    <w:p>
      <w:pPr>
        <w:pStyle w:val="ListBullet"/>
        <w:spacing w:after="80" w:line="280" w:lineRule="auto"/>
      </w:pPr>
      <w:r>
        <w:t>PDF and HTML extraction can miss layout, table structure, footnotes, graphics, and some disclosure context.</w:t>
      </w:r>
    </w:p>
    <w:p>
      <w:pPr>
        <w:pStyle w:val="ListBullet"/>
        <w:spacing w:after="80" w:line="280" w:lineRule="auto"/>
      </w:pPr>
      <w:r>
        <w:t>Keyword analysis is transparent and reproducible, but it cannot fully judge factual correctness or materiality.</w:t>
      </w:r>
    </w:p>
    <w:p>
      <w:pPr>
        <w:pStyle w:val="ListBullet"/>
        <w:spacing w:after="80" w:line="280" w:lineRule="auto"/>
      </w:pPr>
      <w:r>
        <w:t>Similarity metrics are influenced by document length, boilerplate, and reporting-framework vocabulary.</w:t>
      </w:r>
    </w:p>
    <w:p>
      <w:pPr>
        <w:pStyle w:val="ListBullet"/>
        <w:spacing w:after="80" w:line="280" w:lineRule="auto"/>
      </w:pPr>
      <w:r>
        <w:t>The generated reports should be treated as structured ESG summaries, not as replacements for official reports.</w:t>
      </w:r>
    </w:p>
    <w:p>
      <w:pPr>
        <w:pStyle w:val="ListBullet"/>
        <w:spacing w:after="80" w:line="280" w:lineRule="auto"/>
      </w:pPr>
      <w:r>
        <w:t>The final project conclusion should emphasize both the usefulness of AI-assisted drafting and the need for human validation against official disclosures.</w:t>
      </w:r>
    </w:p>
    <w:p>
      <w:pPr>
        <w:pStyle w:val="Heading1"/>
      </w:pPr>
      <w:r>
        <w:t>Source Note</w:t>
      </w:r>
    </w:p>
    <w:p>
      <w:r>
        <w:t>The SAP Integrated Report 2025 PDF is officially listed by SAP, but SAP's CDN blocked direct local shell download in this environment. For the reproducible local comparison, the SAP actual benchmark was rebuilt from official SAP online Integrated Report pages, including CSRD, Environmental Performance, Social Performance, Report Data Hub, and governance pages.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8"/>
      </w:rPr>
      <w:t>Final ESG generated-vs-actual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ESG Generated-vs-Actual Analysis</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