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Amazon ESG Report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ESG Report 2025/2026 | DataNXT-relevante Antworten und Quellen-Audit</w:t>
      </w:r>
    </w:p>
    <w:p>
      <w:pPr>
        <w:pStyle w:val="Heading1"/>
      </w:pPr>
      <w:r>
        <w:t>Methodik und Datenbasis</w:t>
      </w:r>
    </w:p>
    <w:p>
      <w:pPr>
        <w:spacing w:after="120" w:line="264" w:lineRule="auto"/>
      </w:pPr>
      <w:r>
        <w:t>Dieser Bericht konsolidiert die in DataNXT als relevant markierten Antworten mit dem lokalen Quellen-Audit im Projektordner. Offizielle Nachhaltigkeits-/Integrated Reports werden als Benchmark und Validierungsquelle verwendet; operative Annual Reports, Proxy-/AGM-Dokumente, Risk Reports, D&amp;I-/AI-/Data-Center-Dokumente und ausgewählte Unternehmensseiten bilden die Arbeitsgrundlage.</w:t>
      </w:r>
    </w:p>
    <w:p>
      <w:pPr>
        <w:spacing w:after="120" w:line="264" w:lineRule="auto"/>
      </w:pPr>
      <w:r>
        <w:t>Berichtsstand ist der 11. Juli 2026. Wo Kennzahlen aus 2024 stammen, wird dies im Text kenntlich gemacht; ansonsten beziehen sich die Aussagen auf 2025/2026 verfügbare Berichte.</w:t>
      </w:r>
    </w:p>
    <w:p>
      <w:pPr>
        <w:pStyle w:val="Heading2"/>
      </w:pPr>
      <w:r>
        <w:t>DataNXT-Status</w:t>
      </w:r>
    </w:p>
    <w:p>
      <w:pPr>
        <w:pStyle w:val="ListBullet"/>
        <w:spacing w:after="120" w:line="280" w:lineRule="auto"/>
      </w:pPr>
      <w:r>
        <w:t>General Information: relevante Antwort aus Amazon Annual Report 2025.</w:t>
      </w:r>
    </w:p>
    <w:p>
      <w:pPr>
        <w:pStyle w:val="ListBullet"/>
        <w:spacing w:after="120" w:line="280" w:lineRule="auto"/>
      </w:pPr>
      <w:r>
        <w:t>Environmental: relevante Antwort mit Amazon Data Centers/AWS-Effizienz, Wasser- und Energiepunkten.</w:t>
      </w:r>
    </w:p>
    <w:p>
      <w:pPr>
        <w:pStyle w:val="ListBullet"/>
        <w:spacing w:after="120" w:line="280" w:lineRule="auto"/>
      </w:pPr>
      <w:r>
        <w:t>Social: relevante Antwort mit Amazon Racial Equity Audit und Mitarbeiter-/DEI-Informationen.</w:t>
      </w:r>
    </w:p>
    <w:p>
      <w:pPr>
        <w:pStyle w:val="ListBullet"/>
        <w:spacing w:after="120" w:line="280" w:lineRule="auto"/>
      </w:pPr>
      <w:r>
        <w:t>Governance: relevante Antwort mit Annual Report 2025 und Proxy Statement 2026.</w:t>
      </w:r>
    </w:p>
    <w:p>
      <w:pPr>
        <w:pStyle w:val="Heading1"/>
      </w:pPr>
      <w:r>
        <w:t>Executive Summary</w:t>
      </w:r>
    </w:p>
    <w:p>
      <w:pPr>
        <w:spacing w:after="120" w:line="264" w:lineRule="auto"/>
      </w:pPr>
      <w:r>
        <w:t>Amazon ist aus ESG-Sicht ein hoch skalierter Plattform-, Handels-, Cloud- und Logistikkonzern. Die ESG-Exposition ist entsprechend zweigeteilt: Einerseits verfügt Amazon über erhebliche Ressourcen, um Effizienz, erneuerbare Energien, Elektroflotten, Wasserprogramme und Supply-Chain-Standards voranzutreiben. Andererseits entstehen durch AWS-Wachstum, KI-Rechenzentren, globale Logistik, Marktplatz- und Lieferkettenkomplexität sowie arbeitsbezogene Kontroversen substantielle ökologische, soziale und Governance-Risiken.</w:t>
      </w:r>
    </w:p>
    <w:p>
      <w:pPr>
        <w:pStyle w:val="Heading1"/>
      </w:pPr>
      <w:r>
        <w:t>Kernkennzahlen und ESG-Signale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0"/>
            <w:shd w:fill="F2F4F7"/>
            <w:vAlign w:val="center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7060"/>
            <w:shd w:fill="F2F4F7"/>
            <w:vAlign w:val="center"/>
          </w:tcPr>
          <w:p>
            <w:r>
              <w:rPr>
                <w:b/>
              </w:rPr>
              <w:t>Kernaussage / Kennzahl</w:t>
            </w:r>
          </w:p>
        </w:tc>
      </w:tr>
      <w:tr>
        <w:tc>
          <w:tcPr>
            <w:tcW w:type="dxa" w:w="2300"/>
            <w:vAlign w:val="center"/>
          </w:tcPr>
          <w:p>
            <w:r>
              <w:t>Umsatz / Segmente</w:t>
            </w:r>
          </w:p>
        </w:tc>
        <w:tc>
          <w:tcPr>
            <w:tcW w:type="dxa" w:w="7060"/>
            <w:vAlign w:val="center"/>
          </w:tcPr>
          <w:p>
            <w:r>
              <w:t>2025: USD 717 Mrd.; North America USD 426 Mrd., International USD 162 Mrd., AWS USD 129 Mrd.</w:t>
            </w:r>
          </w:p>
        </w:tc>
      </w:tr>
      <w:tr>
        <w:tc>
          <w:tcPr>
            <w:tcW w:type="dxa" w:w="2300"/>
            <w:vAlign w:val="center"/>
          </w:tcPr>
          <w:p>
            <w:r>
              <w:t>Beschäftigte</w:t>
            </w:r>
          </w:p>
        </w:tc>
        <w:tc>
          <w:tcPr>
            <w:tcW w:type="dxa" w:w="7060"/>
            <w:vAlign w:val="center"/>
          </w:tcPr>
          <w:p>
            <w:r>
              <w:t>ca. 1,525 Mio. Mitarbeitende weltweit; US-Belegschaft in niedrigeren Leveln besonders divers.</w:t>
            </w:r>
          </w:p>
        </w:tc>
      </w:tr>
      <w:tr>
        <w:tc>
          <w:tcPr>
            <w:tcW w:type="dxa" w:w="2300"/>
            <w:vAlign w:val="center"/>
          </w:tcPr>
          <w:p>
            <w:r>
              <w:t>Klimarahmen</w:t>
            </w:r>
          </w:p>
        </w:tc>
        <w:tc>
          <w:tcPr>
            <w:tcW w:type="dxa" w:w="7060"/>
            <w:vAlign w:val="center"/>
          </w:tcPr>
          <w:p>
            <w:r>
              <w:t>The Climate Pledge: Netto-Null bis 2040; 100% Stromverbrauch rechnerisch mit erneuerbaren Energien gematcht.</w:t>
            </w:r>
          </w:p>
        </w:tc>
      </w:tr>
      <w:tr>
        <w:tc>
          <w:tcPr>
            <w:tcW w:type="dxa" w:w="2300"/>
            <w:vAlign w:val="center"/>
          </w:tcPr>
          <w:p>
            <w:r>
              <w:t>Emissionen</w:t>
            </w:r>
          </w:p>
        </w:tc>
        <w:tc>
          <w:tcPr>
            <w:tcW w:type="dxa" w:w="7060"/>
            <w:vAlign w:val="center"/>
          </w:tcPr>
          <w:p>
            <w:r>
              <w:t>2025 Sustainability Report: ca. 80,85 Mio. t CO2e berichtete Treibhausgasemissionen.</w:t>
            </w:r>
          </w:p>
        </w:tc>
      </w:tr>
      <w:tr>
        <w:tc>
          <w:tcPr>
            <w:tcW w:type="dxa" w:w="2300"/>
            <w:vAlign w:val="center"/>
          </w:tcPr>
          <w:p>
            <w:r>
              <w:t>AWS-Infrastruktur</w:t>
            </w:r>
          </w:p>
        </w:tc>
        <w:tc>
          <w:tcPr>
            <w:tcW w:type="dxa" w:w="7060"/>
            <w:vAlign w:val="center"/>
          </w:tcPr>
          <w:p>
            <w:r>
              <w:t>AWS berichtete 2024 einen PUE von 1,15; Graviton kann je nach Workload bis zu 60% weniger Energie verbrauchen.</w:t>
            </w:r>
          </w:p>
        </w:tc>
      </w:tr>
      <w:tr>
        <w:tc>
          <w:tcPr>
            <w:tcW w:type="dxa" w:w="2300"/>
            <w:vAlign w:val="center"/>
          </w:tcPr>
          <w:p>
            <w:r>
              <w:t>Governance</w:t>
            </w:r>
          </w:p>
        </w:tc>
        <w:tc>
          <w:tcPr>
            <w:tcW w:type="dxa" w:w="7060"/>
            <w:vAlign w:val="center"/>
          </w:tcPr>
          <w:p>
            <w:r>
              <w:t>Board mit Executive Chair Jeff Bezos, CEO Andy Jassy und spezialisierten Audit-, Governance-/Nominierungs-, Leadership- und Security-Ausschüssen.</w:t>
            </w:r>
          </w:p>
        </w:tc>
      </w:tr>
    </w:tbl>
    <w:p>
      <w:pPr>
        <w:pStyle w:val="Heading1"/>
      </w:pPr>
      <w:r>
        <w:t>1. General Information</w:t>
      </w:r>
    </w:p>
    <w:p>
      <w:pPr>
        <w:spacing w:after="120" w:line="264" w:lineRule="auto"/>
      </w:pPr>
      <w:r>
        <w:t>Amazon verfolgt weiterhin den Anspruch, das kundenorientierteste Unternehmen der Welt zu sein. Die operative Struktur umfasst North America, International und AWS. Die Kunden- und Stakeholdergruppen reichen von Konsumenten und Marketplace-Sellern über Entwickler, Unternehmen und Werbekunden bis zu Content Creators und Mitarbeitenden.</w:t>
      </w:r>
    </w:p>
    <w:p>
      <w:pPr>
        <w:spacing w:after="120" w:line="264" w:lineRule="auto"/>
      </w:pPr>
      <w:r>
        <w:t>2025 war durch starkes Umsatzwachstum, beschleunigte KI-Investitionen und hohe Capex-Dynamik geprägt. Der Jahresumsatz stieg auf USD 717 Mrd.; AWS wuchs auf USD 129 Mrd. und ist zentraler Hebel für Profitabilität, Innovation und ESG-Risiken der Infrastruktur.</w:t>
      </w:r>
    </w:p>
    <w:p>
      <w:pPr>
        <w:spacing w:after="120" w:line="264" w:lineRule="auto"/>
      </w:pPr>
      <w:r>
        <w:t>Die Strategie ist langfristig und kapitalintensiv: Amazon investiert in Fulfillment-Automatisierung, Same-Day- und ländliche Liefernetze, Satellitenkonnektivität, generative KI, eigene Chips sowie neue Kundenerlebnisse. ESG-relevant ist dabei, ob diese Skalierung mit sinkenden Umweltintensitäten, guter Arbeitssicherheit und kontrollierten Risiken einhergeht.</w:t>
      </w:r>
    </w:p>
    <w:p>
      <w:pPr>
        <w:pStyle w:val="Heading1"/>
      </w:pPr>
      <w:r>
        <w:t>2. Environmental</w:t>
      </w:r>
    </w:p>
    <w:p>
      <w:pPr>
        <w:spacing w:after="120" w:line="264" w:lineRule="auto"/>
      </w:pPr>
      <w:r>
        <w:t>Amazon hat mit The Climate Pledge ein Netto-Null-Ziel bis 2040 gesetzt. Das Unternehmen berichtet, seinen Stromverbrauch rechnerisch vollständig mit erneuerbaren Energien zu matchen. Der absolute Emissionsfußabdruck bleibt wegen Handelsvolumen, Logistik, Gebäuden, Rechenzentren und Scope-3-Anteilen jedoch sehr hoch.</w:t>
      </w:r>
    </w:p>
    <w:p>
      <w:pPr>
        <w:spacing w:after="120" w:line="264" w:lineRule="auto"/>
      </w:pPr>
      <w:r>
        <w:t>AWS ist ein ESG-Schwerpunkt: Data-Center-Designs, Liquid-to-Chip-Kühlung, eigene Siliziumchips, Graviton-Instanzen und Server-Lifecycle-Management sollen Energieeffizienz verbessern. DataNXT hob AWS PUE 1,15 für 2024 sowie Effizienzgewinne durch Graviton und neue Rechenzentrumsarchitekturen hervor.</w:t>
      </w:r>
    </w:p>
    <w:p>
      <w:pPr>
        <w:spacing w:after="120" w:line="264" w:lineRule="auto"/>
      </w:pPr>
      <w:r>
        <w:t>Wasser ist ein materielles Thema für Rechenzentren. Amazon verfolgt ein Water-Positive-Ziel bis 2030; der Sustainability Report berichtet Fortschritte und Replenishment-Projekte. Für den Bericht bleibt wichtig, regionale Wasserstressgebiete, AI-Lastprofile und Kühltechnologien künftig granularer zu prüfen.</w:t>
      </w:r>
    </w:p>
    <w:p>
      <w:pPr>
        <w:spacing w:after="120" w:line="264" w:lineRule="auto"/>
      </w:pPr>
      <w:r>
        <w:t>Logistik und Verpackung bleiben relevante Hebel. Elektrische Lieferfahrzeuge, Routenoptimierung, Konsolidierung, Verpackungsreduktion und Kreislaufprogramme reduzieren Intensitäten, können das absolute Wachstum aber nur teilweise kompensieren.</w:t>
      </w:r>
    </w:p>
    <w:p>
      <w:pPr>
        <w:pStyle w:val="Heading1"/>
      </w:pPr>
      <w:r>
        <w:t>3. Social</w:t>
      </w:r>
    </w:p>
    <w:p>
      <w:pPr>
        <w:spacing w:after="120" w:line="264" w:lineRule="auto"/>
      </w:pPr>
      <w:r>
        <w:t>Amazon ist mit rund 1,525 Mio. Mitarbeitenden einer der größten Arbeitgeber weltweit. Damit sind Arbeitsbedingungen, Arbeitssicherheit, Schichtsysteme, Karrierepfade, Vergütung, Beschwerdemechanismen und Diversity-Kennzahlen besonders wesentlich.</w:t>
      </w:r>
    </w:p>
    <w:p>
      <w:pPr>
        <w:spacing w:after="120" w:line="264" w:lineRule="auto"/>
      </w:pPr>
      <w:r>
        <w:t>Die relevante DataNXT-Antwort zum Racial Equity Audit verweist auf eine US-Belegschaft mit mehr als 69% rassisch/ethnisch diversen Mitarbeitenden und über 78% in den Leveln L1/L3. Amazon unterhält 13 Affinity Groups und beschreibt Mechanismen für Feedback, Beschwerden und Appeals.</w:t>
      </w:r>
    </w:p>
    <w:p>
      <w:pPr>
        <w:spacing w:after="120" w:line="264" w:lineRule="auto"/>
      </w:pPr>
      <w:r>
        <w:t>Soziale ESG-Risiken bestehen in hoher operativer Taktung, potenziellen Disziplinar- und Beförderungsungleichheiten, Arbeitssicherheitsrisiken in Fulfillment und Delivery sowie in Lieferketten- und Menschenrechtsthemen. Die DataNXT-Quellen zeigen vorhandene Prozesse, aber auch Prüfbedarf hinsichtlich Wirksamkeit und Ergebniskennzahlen.</w:t>
      </w:r>
    </w:p>
    <w:p>
      <w:pPr>
        <w:pStyle w:val="Heading1"/>
      </w:pPr>
      <w:r>
        <w:t>4. Governance</w:t>
      </w:r>
    </w:p>
    <w:p>
      <w:pPr>
        <w:spacing w:after="120" w:line="264" w:lineRule="auto"/>
      </w:pPr>
      <w:r>
        <w:t>Amazon verfügt über ein Board mit Executive Chair Jeff Bezos und CEO Andy Jassy sowie unabhängigen Directors mit Technologie-, Risiko-, Finanz- und Governance-Erfahrung. Die Ausschüsse decken Audit, Leadership Development and Compensation, Nominating/Corporate Governance und Security ab.</w:t>
      </w:r>
    </w:p>
    <w:p>
      <w:pPr>
        <w:spacing w:after="120" w:line="264" w:lineRule="auto"/>
      </w:pPr>
      <w:r>
        <w:t>Die Governance-Antwort aus DataNXT betonte Aufsicht über Nachhaltigkeit, Corporate Social Responsibility, verantwortliche KI, Cybersecurity und Risikomanagement. In einem KI- und Cloud-Skalierungszyklus ist diese Aufsicht besonders relevant, weil Investitionen, Energiebedarf, Sicherheit und gesellschaftliche Risiken gleichzeitig steigen.</w:t>
      </w:r>
    </w:p>
    <w:p>
      <w:pPr>
        <w:spacing w:after="120" w:line="264" w:lineRule="auto"/>
      </w:pPr>
      <w:r>
        <w:t>Die Proxy-Unterlagen zeigen eine langfristige, aktienbasierte Vergütungslogik und geringe Barboni bei Named Executive Officers. Für ESG bleibt wesentlich, ob Vergütung, Board-Agenda und Berichterstattung ausreichend an Klimazielen, Sicherheit, Responsible AI und Menschenrechtsrisiken ausgerichtet sind.</w:t>
      </w:r>
    </w:p>
    <w:p>
      <w:pPr>
        <w:pStyle w:val="Heading1"/>
      </w:pPr>
      <w:r>
        <w:t>ESG-Risiken, Datenlücken und Prioritäten</w:t>
      </w:r>
    </w:p>
    <w:p>
      <w:pPr>
        <w:pStyle w:val="ListBullet"/>
        <w:spacing w:after="120" w:line="280" w:lineRule="auto"/>
      </w:pPr>
      <w:r>
        <w:t>Absolute Emissionen und Energiebedarf können trotz Effizienzmaßnahmen steigen, besonders durch KI- und Cloud-Nachfrage.</w:t>
      </w:r>
    </w:p>
    <w:p>
      <w:pPr>
        <w:pStyle w:val="ListBullet"/>
        <w:spacing w:after="120" w:line="280" w:lineRule="auto"/>
      </w:pPr>
      <w:r>
        <w:t>Arbeits- und Lieferkettenkontroversen können Reputation und Regulierung beeinflussen.</w:t>
      </w:r>
    </w:p>
    <w:p>
      <w:pPr>
        <w:pStyle w:val="ListBullet"/>
        <w:spacing w:after="120" w:line="280" w:lineRule="auto"/>
      </w:pPr>
      <w:r>
        <w:t>Responsible-AI-, Datenschutz- und Cybersecurity-Risiken steigen durch Skalierung von AWS und Consumer-AI-Anwendungen.</w:t>
      </w:r>
    </w:p>
    <w:p>
      <w:pPr>
        <w:pStyle w:val="ListBullet"/>
        <w:spacing w:after="120" w:line="280" w:lineRule="auto"/>
      </w:pPr>
      <w:r>
        <w:t>Datenlücken betreffen vor allem regionale Wasserwirkungen, Scope-3-Zuordnung, Lieferkettenwirksamkeit und externe Prüfung der Sozialkennzahlen.</w:t>
      </w:r>
    </w:p>
    <w:p>
      <w:pPr>
        <w:pStyle w:val="Heading1"/>
      </w:pPr>
      <w:r>
        <w:t>Priorisierte Monitoring-Fragen</w:t>
      </w:r>
    </w:p>
    <w:p>
      <w:pPr>
        <w:pStyle w:val="ListBullet"/>
        <w:spacing w:after="120" w:line="280" w:lineRule="auto"/>
      </w:pPr>
      <w:r>
        <w:t>Welche ESG-Kennzahlen sind im nächsten Berichtszyklus extern geprüft, und wo beruhen Aussagen noch auf Managementangaben oder modellierten Annahmen?</w:t>
      </w:r>
    </w:p>
    <w:p>
      <w:pPr>
        <w:pStyle w:val="ListBullet"/>
        <w:spacing w:after="120" w:line="280" w:lineRule="auto"/>
      </w:pPr>
      <w:r>
        <w:t>Wie entwickeln sich absolute Emissionen, Energiebedarf, Wasserwirkung und Scope-3-Kategorien im Verhältnis zu Umsatz-, Cloud-, Plattform- oder Logistikwachstum?</w:t>
      </w:r>
    </w:p>
    <w:p>
      <w:pPr>
        <w:pStyle w:val="ListBullet"/>
        <w:spacing w:after="120" w:line="280" w:lineRule="auto"/>
      </w:pPr>
      <w:r>
        <w:t>Welche ESG-Ziele sind mit Vorstands-/Managementvergütung, Investitionsentscheidungen, Lieferantensteuerung und Produktentwicklung verknüpft?</w:t>
      </w:r>
    </w:p>
    <w:p>
      <w:pPr>
        <w:pStyle w:val="ListBullet"/>
        <w:spacing w:after="120" w:line="280" w:lineRule="auto"/>
      </w:pPr>
      <w:r>
        <w:t>Welche Beschwerden, Audits, Incidents oder Stakeholder-Feedbacks zeigen tatsächliche Wirkung der Social- und Governance-Programme statt nur Prozessabdeckung?</w:t>
      </w:r>
    </w:p>
    <w:p>
      <w:pPr>
        <w:pStyle w:val="ListBullet"/>
        <w:spacing w:after="120" w:line="280" w:lineRule="auto"/>
      </w:pPr>
      <w:r>
        <w:t>Welche DataNXT-Antworten sollten im nächsten Schritt mit zusätzlichen Primärdokumenten vertieft werden, etwa Audit Reports, Assurance Statements, regionalen Umweltkennzahlen oder Supplier-Listen?</w:t>
      </w:r>
    </w:p>
    <w:p>
      <w:pPr>
        <w:pStyle w:val="Heading1"/>
      </w:pPr>
      <w:r>
        <w:t>Quellenanhang</w:t>
      </w:r>
    </w:p>
    <w:p>
      <w:pPr>
        <w:spacing w:after="80"/>
      </w:pPr>
      <w:r>
        <w:t>Die Tabelle nennt die wichtigsten Quellen, die im DataNXT-Workflow und im lokalen Quellen-Audit verwendet wurden.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00"/>
            <w:shd w:fill="F2F4F7"/>
            <w:vAlign w:val="center"/>
          </w:tcPr>
          <w:p>
            <w:r>
              <w:t>Quelle</w:t>
            </w:r>
          </w:p>
        </w:tc>
        <w:tc>
          <w:tcPr>
            <w:tcW w:type="dxa" w:w="6560"/>
            <w:shd w:fill="F2F4F7"/>
            <w:vAlign w:val="center"/>
          </w:tcPr>
          <w:p>
            <w:r>
              <w:t>Verwendung</w:t>
            </w:r>
          </w:p>
        </w:tc>
      </w:tr>
      <w:tr>
        <w:tc>
          <w:tcPr>
            <w:tcW w:type="dxa" w:w="2800"/>
            <w:vAlign w:val="center"/>
          </w:tcPr>
          <w:p>
            <w:r>
              <w:t>Amazon Annual Report 2025</w:t>
            </w:r>
          </w:p>
        </w:tc>
        <w:tc>
          <w:tcPr>
            <w:tcW w:type="dxa" w:w="6560"/>
            <w:vAlign w:val="center"/>
          </w:tcPr>
          <w:p>
            <w:r>
              <w:t>Lokal: data/amazon/Amazon-2025-Annual-Report.pdf; Umsatz, Segmente, Strategie, Board.</w:t>
            </w:r>
          </w:p>
        </w:tc>
      </w:tr>
      <w:tr>
        <w:tc>
          <w:tcPr>
            <w:tcW w:type="dxa" w:w="2800"/>
            <w:vAlign w:val="center"/>
          </w:tcPr>
          <w:p>
            <w:r>
              <w:t>Amazon 2025 Sustainability Report</w:t>
            </w:r>
          </w:p>
        </w:tc>
        <w:tc>
          <w:tcPr>
            <w:tcW w:type="dxa" w:w="6560"/>
            <w:vAlign w:val="center"/>
          </w:tcPr>
          <w:p>
            <w:r>
              <w:t>https://sustainability.aboutamazon.com/2025-amazon-sustainability-report.pdf</w:t>
            </w:r>
          </w:p>
        </w:tc>
      </w:tr>
      <w:tr>
        <w:tc>
          <w:tcPr>
            <w:tcW w:type="dxa" w:w="2800"/>
            <w:vAlign w:val="center"/>
          </w:tcPr>
          <w:p>
            <w:r>
              <w:t>Amazon Supply Chain Standards</w:t>
            </w:r>
          </w:p>
        </w:tc>
        <w:tc>
          <w:tcPr>
            <w:tcW w:type="dxa" w:w="6560"/>
            <w:vAlign w:val="center"/>
          </w:tcPr>
          <w:p>
            <w:r>
              <w:t>https://sustainability.aboutamazon.com/amazon-supply-chain-standards-english.pdf</w:t>
            </w:r>
          </w:p>
        </w:tc>
      </w:tr>
      <w:tr>
        <w:tc>
          <w:tcPr>
            <w:tcW w:type="dxa" w:w="2800"/>
            <w:vAlign w:val="center"/>
          </w:tcPr>
          <w:p>
            <w:r>
              <w:t>Amazon Human Rights</w:t>
            </w:r>
          </w:p>
        </w:tc>
        <w:tc>
          <w:tcPr>
            <w:tcW w:type="dxa" w:w="6560"/>
            <w:vAlign w:val="center"/>
          </w:tcPr>
          <w:p>
            <w:r>
              <w:t>https://sustainability.aboutamazon.com/human-rights</w:t>
            </w:r>
          </w:p>
        </w:tc>
      </w:tr>
      <w:tr>
        <w:tc>
          <w:tcPr>
            <w:tcW w:type="dxa" w:w="2800"/>
            <w:vAlign w:val="center"/>
          </w:tcPr>
          <w:p>
            <w:r>
              <w:t>Amazon 2026 Proxy Statement</w:t>
            </w:r>
          </w:p>
        </w:tc>
        <w:tc>
          <w:tcPr>
            <w:tcW w:type="dxa" w:w="6560"/>
            <w:vAlign w:val="center"/>
          </w:tcPr>
          <w:p>
            <w:r>
              <w:t>Lokal: data/amazon/Amazon.com, Inc. - Amazon-2026-Proxy-Statement.pdf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Amazon ESG Report | Generated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