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0B2545"/>
          <w:sz w:val="48"/>
        </w:rPr>
        <w:t>Microsoft ESG Report</w:t>
      </w:r>
    </w:p>
    <w:p>
      <w:pPr>
        <w:spacing w:after="320"/>
      </w:pPr>
      <w:r>
        <w:rPr>
          <w:rFonts w:ascii="Calibri" w:hAnsi="Calibri"/>
          <w:color w:val="555555"/>
          <w:sz w:val="22"/>
        </w:rPr>
        <w:t>ESG Report 2025/2026 | DataNXT-relevante Antworten und Quellen-Audit</w:t>
      </w:r>
    </w:p>
    <w:p>
      <w:pPr>
        <w:pStyle w:val="Heading1"/>
      </w:pPr>
      <w:r>
        <w:t>Methodik und Datenbasis</w:t>
      </w:r>
    </w:p>
    <w:p>
      <w:pPr>
        <w:spacing w:after="120" w:line="264" w:lineRule="auto"/>
      </w:pPr>
      <w:r>
        <w:t>Dieser Bericht konsolidiert die in DataNXT als relevant markierten Antworten mit dem lokalen Quellen-Audit im Projektordner. Offizielle Nachhaltigkeits-/Integrated Reports werden als Benchmark und Validierungsquelle verwendet; operative Annual Reports, Proxy-/AGM-Dokumente, Risk Reports, D&amp;I-/AI-/Data-Center-Dokumente und ausgewählte Unternehmensseiten bilden die Arbeitsgrundlage.</w:t>
      </w:r>
    </w:p>
    <w:p>
      <w:pPr>
        <w:spacing w:after="120" w:line="264" w:lineRule="auto"/>
      </w:pPr>
      <w:r>
        <w:t>Berichtsstand ist der 11. Juli 2026. Wo Kennzahlen aus 2024 stammen, wird dies im Text kenntlich gemacht; ansonsten beziehen sich die Aussagen auf 2025/2026 verfügbare Berichte.</w:t>
      </w:r>
    </w:p>
    <w:p>
      <w:pPr>
        <w:pStyle w:val="Heading2"/>
      </w:pPr>
      <w:r>
        <w:t>DataNXT-Status</w:t>
      </w:r>
    </w:p>
    <w:p>
      <w:pPr>
        <w:pStyle w:val="ListBullet"/>
        <w:spacing w:after="120" w:line="280" w:lineRule="auto"/>
      </w:pPr>
      <w:r>
        <w:t>General Information: relevante Antwort mit Mission, Cloud-/Produktivität-/Personal-Computing-Geschäft.</w:t>
      </w:r>
    </w:p>
    <w:p>
      <w:pPr>
        <w:pStyle w:val="ListBullet"/>
        <w:spacing w:after="120" w:line="280" w:lineRule="auto"/>
      </w:pPr>
      <w:r>
        <w:t>Environmental: relevante Antwort zu Umwelttransparenz, Scope-3-Schwerpunkt und digitalen Unternehmen.</w:t>
      </w:r>
    </w:p>
    <w:p>
      <w:pPr>
        <w:pStyle w:val="ListBullet"/>
        <w:spacing w:after="120" w:line="280" w:lineRule="auto"/>
      </w:pPr>
      <w:r>
        <w:t>Social: relevante Antwort zu Diversity, Inclusion, Accessibility und Employee Surveys.</w:t>
      </w:r>
    </w:p>
    <w:p>
      <w:pPr>
        <w:pStyle w:val="ListBullet"/>
        <w:spacing w:after="120" w:line="280" w:lineRule="auto"/>
      </w:pPr>
      <w:r>
        <w:t>Governance: relevante Antwort zu Board-Unabhängigkeit, Responsible AI, Privacy, Cybersecurity und Digital Safety.</w:t>
      </w:r>
    </w:p>
    <w:p>
      <w:pPr>
        <w:pStyle w:val="Heading1"/>
      </w:pPr>
      <w:r>
        <w:t>Executive Summary</w:t>
      </w:r>
    </w:p>
    <w:p>
      <w:pPr>
        <w:spacing w:after="120" w:line="264" w:lineRule="auto"/>
      </w:pPr>
      <w:r>
        <w:t>Microsoft verbindet starke finanzielle Leistungsfähigkeit, Cloud- und KI-Wachstum mit einer sehr ambitionierten ESG-Agenda. Die größte Spannung liegt zwischen schnell wachsender AI-/Data-Center-Nachfrage und den eigenen Umweltzielen. Governance-seitig ist Microsoft durch Responsible-AI-Strukturen, Datenschutz, Cybersecurity und Board-Aufsicht vergleichsweise reif aufgestellt.</w:t>
      </w:r>
    </w:p>
    <w:p>
      <w:pPr>
        <w:pStyle w:val="Heading1"/>
      </w:pPr>
      <w:r>
        <w:t>Kernkennzahlen und ESG-Signale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2300"/>
            <w:shd w:fill="F2F4F7"/>
            <w:vAlign w:val="center"/>
          </w:tcPr>
          <w:p>
            <w:r>
              <w:rPr>
                <w:b/>
              </w:rPr>
              <w:t>Kategorie</w:t>
            </w:r>
          </w:p>
        </w:tc>
        <w:tc>
          <w:tcPr>
            <w:tcW w:type="dxa" w:w="7060"/>
            <w:shd w:fill="F2F4F7"/>
            <w:vAlign w:val="center"/>
          </w:tcPr>
          <w:p>
            <w:r>
              <w:rPr>
                <w:b/>
              </w:rPr>
              <w:t>Kernaussage / Kennzahl</w:t>
            </w:r>
          </w:p>
        </w:tc>
      </w:tr>
      <w:tr>
        <w:tc>
          <w:tcPr>
            <w:tcW w:type="dxa" w:w="2300"/>
            <w:vAlign w:val="center"/>
          </w:tcPr>
          <w:p>
            <w:r>
              <w:t>Umsatz</w:t>
            </w:r>
          </w:p>
        </w:tc>
        <w:tc>
          <w:tcPr>
            <w:tcW w:type="dxa" w:w="7060"/>
            <w:vAlign w:val="center"/>
          </w:tcPr>
          <w:p>
            <w:r>
              <w:t>FY2025: ca. USD 281,7 Mrd.; operative Entwicklung stark durch Cloud und KI-Infrastruktur geprägt.</w:t>
            </w:r>
          </w:p>
        </w:tc>
      </w:tr>
      <w:tr>
        <w:tc>
          <w:tcPr>
            <w:tcW w:type="dxa" w:w="2300"/>
            <w:vAlign w:val="center"/>
          </w:tcPr>
          <w:p>
            <w:r>
              <w:t>Beschäftigte</w:t>
            </w:r>
          </w:p>
        </w:tc>
        <w:tc>
          <w:tcPr>
            <w:tcW w:type="dxa" w:w="7060"/>
            <w:vAlign w:val="center"/>
          </w:tcPr>
          <w:p>
            <w:r>
              <w:t>ca. 228.000 Mitarbeitende zum Ende FY2025.</w:t>
            </w:r>
          </w:p>
        </w:tc>
      </w:tr>
      <w:tr>
        <w:tc>
          <w:tcPr>
            <w:tcW w:type="dxa" w:w="2300"/>
            <w:vAlign w:val="center"/>
          </w:tcPr>
          <w:p>
            <w:r>
              <w:t>Umweltziele</w:t>
            </w:r>
          </w:p>
        </w:tc>
        <w:tc>
          <w:tcPr>
            <w:tcW w:type="dxa" w:w="7060"/>
            <w:vAlign w:val="center"/>
          </w:tcPr>
          <w:p>
            <w:r>
              <w:t>Carbon negative, water positive, zero waste und Schutz/Restoration von Ökosystemen als zentrale Zielarchitektur.</w:t>
            </w:r>
          </w:p>
        </w:tc>
      </w:tr>
      <w:tr>
        <w:tc>
          <w:tcPr>
            <w:tcW w:type="dxa" w:w="2300"/>
            <w:vAlign w:val="center"/>
          </w:tcPr>
          <w:p>
            <w:r>
              <w:t>Wasser</w:t>
            </w:r>
          </w:p>
        </w:tc>
        <w:tc>
          <w:tcPr>
            <w:tcW w:type="dxa" w:w="7060"/>
            <w:vAlign w:val="center"/>
          </w:tcPr>
          <w:p>
            <w:r>
              <w:t>FY2024: rund 50 Mio. m3 contracted water replenishment laut Environmental Sustainability Report.</w:t>
            </w:r>
          </w:p>
        </w:tc>
      </w:tr>
      <w:tr>
        <w:tc>
          <w:tcPr>
            <w:tcW w:type="dxa" w:w="2300"/>
            <w:vAlign w:val="center"/>
          </w:tcPr>
          <w:p>
            <w:r>
              <w:t>Waste/Packaging</w:t>
            </w:r>
          </w:p>
        </w:tc>
        <w:tc>
          <w:tcPr>
            <w:tcW w:type="dxa" w:w="7060"/>
            <w:vAlign w:val="center"/>
          </w:tcPr>
          <w:p>
            <w:r>
              <w:t>FY2024: 88,1% operational waste diversion; 94,8% Verpackungs-Recyclability.</w:t>
            </w:r>
          </w:p>
        </w:tc>
      </w:tr>
      <w:tr>
        <w:tc>
          <w:tcPr>
            <w:tcW w:type="dxa" w:w="2300"/>
            <w:vAlign w:val="center"/>
          </w:tcPr>
          <w:p>
            <w:r>
              <w:t>Responsible AI</w:t>
            </w:r>
          </w:p>
        </w:tc>
        <w:tc>
          <w:tcPr>
            <w:tcW w:type="dxa" w:w="7060"/>
            <w:vAlign w:val="center"/>
          </w:tcPr>
          <w:p>
            <w:r>
              <w:t>2025 Transparency Report: 30 Responsible-AI-Tools mit 155 Features und Board-/Committee-Aufsicht.</w:t>
            </w:r>
          </w:p>
        </w:tc>
      </w:tr>
    </w:tbl>
    <w:p>
      <w:pPr>
        <w:pStyle w:val="Heading1"/>
      </w:pPr>
      <w:r>
        <w:t>1. General Information</w:t>
      </w:r>
    </w:p>
    <w:p>
      <w:pPr>
        <w:spacing w:after="120" w:line="264" w:lineRule="auto"/>
      </w:pPr>
      <w:r>
        <w:t>Microsofts Mission ist es, jede Person und jede Organisation zu befähigen, mehr zu erreichen. Das Geschäftsmodell kombiniert Produktivitätssoftware, Cloud-Plattformen, Entwicklerwerkzeuge, Betriebssysteme, Gaming, Devices, LinkedIn, Werbung und professionelle Services.</w:t>
      </w:r>
    </w:p>
    <w:p>
      <w:pPr>
        <w:spacing w:after="120" w:line="264" w:lineRule="auto"/>
      </w:pPr>
      <w:r>
        <w:t>ESG-Materialität ergibt sich besonders aus Azure und Rechenzentren, AI-Produkten, Kunden- und Datenverantwortung, Software-Lieferketten, Zugänglichkeit digitaler Dienste sowie Arbeits- und Diversity-Themen.</w:t>
      </w:r>
    </w:p>
    <w:p>
      <w:pPr>
        <w:spacing w:after="120" w:line="264" w:lineRule="auto"/>
      </w:pPr>
      <w:r>
        <w:t>DataNXT fasste Microsofts Geschäftsmodell in den Segmenten Produktivität/Kollaboration, Intelligent Cloud und Personal Computing zusammen. Azure ist zugleich Wachstumsmotor und zentraler Träger von Umwelt-, Cybersecurity- und Responsible-AI-Risiken.</w:t>
      </w:r>
    </w:p>
    <w:p>
      <w:pPr>
        <w:pStyle w:val="Heading1"/>
      </w:pPr>
      <w:r>
        <w:t>2. Environmental</w:t>
      </w:r>
    </w:p>
    <w:p>
      <w:pPr>
        <w:spacing w:after="120" w:line="264" w:lineRule="auto"/>
      </w:pPr>
      <w:r>
        <w:t>Microsoft setzt sich ambitionierte Ziele: carbon negative, water positive, zero waste und Schutz/Restoration von Flächen. Diese Ziele werden durch Cloud- und KI-Wachstum anspruchsvoller, weil Rechenzentren Strom, Wasser, Baumaterialien und Hardware-Lieferketten benötigen.</w:t>
      </w:r>
    </w:p>
    <w:p>
      <w:pPr>
        <w:spacing w:after="120" w:line="264" w:lineRule="auto"/>
      </w:pPr>
      <w:r>
        <w:t>Der Environmental Sustainability Report betont Fortschritte bei Wasserreplenishment, Waste Diversion, Packaging-Recyclability und Flächenschutz. Gleichzeitig bleibt Scope 3 der größte Hebel und die größte Lücke, insbesondere durch Kapitalgüter, Hardware, Lieferketten und Kundennutzung.</w:t>
      </w:r>
    </w:p>
    <w:p>
      <w:pPr>
        <w:spacing w:after="120" w:line="264" w:lineRule="auto"/>
      </w:pPr>
      <w:r>
        <w:t>Microsoft arbeitet an effizienterem Data-Center-Design, alternativen Kühltechnologien, erneuerbaren Energien, Kreislaufwirtschaft für Hardware und datengetriebenem Umweltmanagement. Für einen ESG-Investor ist entscheidend, ob absolute Emissionen und Wasserentnahme trotz AI-Skalierung glaubwürdig sinken.</w:t>
      </w:r>
    </w:p>
    <w:p>
      <w:pPr>
        <w:pStyle w:val="Heading1"/>
      </w:pPr>
      <w:r>
        <w:t>3. Social</w:t>
      </w:r>
    </w:p>
    <w:p>
      <w:pPr>
        <w:spacing w:after="120" w:line="264" w:lineRule="auto"/>
      </w:pPr>
      <w:r>
        <w:t>Microsofts Social-Profil ist stark durch Talent, Diversity &amp; Inclusion, Accessibility, digitale Sicherheit und Bildung geprägt. DataNXT hob hervor, dass alle Mitarbeitenden eine D&amp;I Core Priority setzen und Employee-Survey-Werte zu Allyship und Inclusion veröffentlicht werden.</w:t>
      </w:r>
    </w:p>
    <w:p>
      <w:pPr>
        <w:spacing w:after="120" w:line="264" w:lineRule="auto"/>
      </w:pPr>
      <w:r>
        <w:t>Die D&amp;I-Berichterstattung umfasst Pay-Equity-Analysen, Employee Resource Groups, Inklusionsprogramme, globale Talententwicklung und Barrierefreiheit. Accessibility ist bei Microsoft auch Produktstrategie: digitale Tools sollen Menschen mit Behinderungen, Bildungseinrichtungen und Organisationen stärker befähigen.</w:t>
      </w:r>
    </w:p>
    <w:p>
      <w:pPr>
        <w:spacing w:after="120" w:line="264" w:lineRule="auto"/>
      </w:pPr>
      <w:r>
        <w:t>Risiken bestehen in hoher Nachfrage nach AI-Talent, Restrukturierungen, psychischer Belastung, ethischen Auswirkungen von Technologien, Desinformation/Digital Safety und globalen Menschenrechtsfragen in digitalen Diensten.</w:t>
      </w:r>
    </w:p>
    <w:p>
      <w:pPr>
        <w:pStyle w:val="Heading1"/>
      </w:pPr>
      <w:r>
        <w:t>4. Governance</w:t>
      </w:r>
    </w:p>
    <w:p>
      <w:pPr>
        <w:spacing w:after="120" w:line="264" w:lineRule="auto"/>
      </w:pPr>
      <w:r>
        <w:t>Microsofts Governance kombiniert mehrheitlich unabhängige Board-Strukturen, Ausschüsse und jährliche Evaluierungen. DataNXT berichtete elf von zwölf unabhängige Directors sowie regelmäßige Executive Sessions.</w:t>
      </w:r>
    </w:p>
    <w:p>
      <w:pPr>
        <w:spacing w:after="120" w:line="264" w:lineRule="auto"/>
      </w:pPr>
      <w:r>
        <w:t>Responsible AI ist ein Kernpunkt: Der 2025 Responsible AI Transparency Report beschreibt Board-Aufsicht über AI-Strategie und Risiken, Unterstützung durch das Environmental, Social and Public Policy Committee, Sensitive-Use-Reviews, NIST-orientierte Risikobewertung und Transparenznotizen.</w:t>
      </w:r>
    </w:p>
    <w:p>
      <w:pPr>
        <w:spacing w:after="120" w:line="264" w:lineRule="auto"/>
      </w:pPr>
      <w:r>
        <w:t>Datenschutz, Cybersecurity, digitale Sicherheit und regulatorische AI-Compliance sind wesentliche Governance-Felder. Die Reife der Strukturen ist hoch; zugleich steigt die Exposition durch die Geschwindigkeit der Produktintegration und die Abhängigkeit von Cloud-Ökosystemen.</w:t>
      </w:r>
    </w:p>
    <w:p>
      <w:pPr>
        <w:pStyle w:val="Heading1"/>
      </w:pPr>
      <w:r>
        <w:t>ESG-Risiken, Datenlücken und Prioritäten</w:t>
      </w:r>
    </w:p>
    <w:p>
      <w:pPr>
        <w:pStyle w:val="ListBullet"/>
        <w:spacing w:after="120" w:line="280" w:lineRule="auto"/>
      </w:pPr>
      <w:r>
        <w:t>AI- und Cloud-Wachstum können Umweltziele, Energieverfügbarkeit und Wasserstrategie belasten.</w:t>
      </w:r>
    </w:p>
    <w:p>
      <w:pPr>
        <w:pStyle w:val="ListBullet"/>
        <w:spacing w:after="120" w:line="280" w:lineRule="auto"/>
      </w:pPr>
      <w:r>
        <w:t>Scope-3-Emissionen, Lieferkettenhardware und Kundennutzungsphase bleiben schwer steuerbar.</w:t>
      </w:r>
    </w:p>
    <w:p>
      <w:pPr>
        <w:pStyle w:val="ListBullet"/>
        <w:spacing w:after="120" w:line="280" w:lineRule="auto"/>
      </w:pPr>
      <w:r>
        <w:t>Responsible-AI-Fehler, Cybersecurity-Vorfälle oder Missbrauch digitaler Plattformen können Reputation und Regulierung beeinflussen.</w:t>
      </w:r>
    </w:p>
    <w:p>
      <w:pPr>
        <w:pStyle w:val="ListBullet"/>
        <w:spacing w:after="120" w:line="280" w:lineRule="auto"/>
      </w:pPr>
      <w:r>
        <w:t>Datenlücken betreffen vor allem absolute Umweltentwicklung nach AI-Boom, regionalen Wasserstress und externe Wirkungsnachweise sozialer Programme.</w:t>
      </w:r>
    </w:p>
    <w:p>
      <w:pPr>
        <w:pStyle w:val="Heading1"/>
      </w:pPr>
      <w:r>
        <w:t>Priorisierte Monitoring-Fragen</w:t>
      </w:r>
    </w:p>
    <w:p>
      <w:pPr>
        <w:pStyle w:val="ListBullet"/>
        <w:spacing w:after="120" w:line="280" w:lineRule="auto"/>
      </w:pPr>
      <w:r>
        <w:t>Welche ESG-Kennzahlen sind im nächsten Berichtszyklus extern geprüft, und wo beruhen Aussagen noch auf Managementangaben oder modellierten Annahmen?</w:t>
      </w:r>
    </w:p>
    <w:p>
      <w:pPr>
        <w:pStyle w:val="ListBullet"/>
        <w:spacing w:after="120" w:line="280" w:lineRule="auto"/>
      </w:pPr>
      <w:r>
        <w:t>Wie entwickeln sich absolute Emissionen, Energiebedarf, Wasserwirkung und Scope-3-Kategorien im Verhältnis zu Umsatz-, Cloud-, Plattform- oder Logistikwachstum?</w:t>
      </w:r>
    </w:p>
    <w:p>
      <w:pPr>
        <w:pStyle w:val="ListBullet"/>
        <w:spacing w:after="120" w:line="280" w:lineRule="auto"/>
      </w:pPr>
      <w:r>
        <w:t>Welche ESG-Ziele sind mit Vorstands-/Managementvergütung, Investitionsentscheidungen, Lieferantensteuerung und Produktentwicklung verknüpft?</w:t>
      </w:r>
    </w:p>
    <w:p>
      <w:pPr>
        <w:pStyle w:val="ListBullet"/>
        <w:spacing w:after="120" w:line="280" w:lineRule="auto"/>
      </w:pPr>
      <w:r>
        <w:t>Welche Beschwerden, Audits, Incidents oder Stakeholder-Feedbacks zeigen tatsächliche Wirkung der Social- und Governance-Programme statt nur Prozessabdeckung?</w:t>
      </w:r>
    </w:p>
    <w:p>
      <w:pPr>
        <w:pStyle w:val="ListBullet"/>
        <w:spacing w:after="120" w:line="280" w:lineRule="auto"/>
      </w:pPr>
      <w:r>
        <w:t>Welche DataNXT-Antworten sollten im nächsten Schritt mit zusätzlichen Primärdokumenten vertieft werden, etwa Audit Reports, Assurance Statements, regionalen Umweltkennzahlen oder Supplier-Listen?</w:t>
      </w:r>
    </w:p>
    <w:p>
      <w:pPr>
        <w:pStyle w:val="Heading1"/>
      </w:pPr>
      <w:r>
        <w:t>Quellenanhang</w:t>
      </w:r>
    </w:p>
    <w:p>
      <w:pPr>
        <w:spacing w:after="80"/>
      </w:pPr>
      <w:r>
        <w:t>Die Tabelle nennt die wichtigsten Quellen, die im DataNXT-Workflow und im lokalen Quellen-Audit verwendet wurden.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2800"/>
            <w:shd w:fill="F2F4F7"/>
            <w:vAlign w:val="center"/>
          </w:tcPr>
          <w:p>
            <w:r>
              <w:t>Quelle</w:t>
            </w:r>
          </w:p>
        </w:tc>
        <w:tc>
          <w:tcPr>
            <w:tcW w:type="dxa" w:w="6560"/>
            <w:shd w:fill="F2F4F7"/>
            <w:vAlign w:val="center"/>
          </w:tcPr>
          <w:p>
            <w:r>
              <w:t>Verwendung</w:t>
            </w:r>
          </w:p>
        </w:tc>
      </w:tr>
      <w:tr>
        <w:tc>
          <w:tcPr>
            <w:tcW w:type="dxa" w:w="2800"/>
            <w:vAlign w:val="center"/>
          </w:tcPr>
          <w:p>
            <w:r>
              <w:t>Microsoft Annual Report 2025</w:t>
            </w:r>
          </w:p>
        </w:tc>
        <w:tc>
          <w:tcPr>
            <w:tcW w:type="dxa" w:w="6560"/>
            <w:vAlign w:val="center"/>
          </w:tcPr>
          <w:p>
            <w:r>
              <w:t>Lokal: data/microsoft/microsoft_2025_annual_report.pdf</w:t>
            </w:r>
          </w:p>
        </w:tc>
      </w:tr>
      <w:tr>
        <w:tc>
          <w:tcPr>
            <w:tcW w:type="dxa" w:w="2800"/>
            <w:vAlign w:val="center"/>
          </w:tcPr>
          <w:p>
            <w:r>
              <w:t>Microsoft Environmental Sustainability Report 2025</w:t>
            </w:r>
          </w:p>
        </w:tc>
        <w:tc>
          <w:tcPr>
            <w:tcW w:type="dxa" w:w="6560"/>
            <w:vAlign w:val="center"/>
          </w:tcPr>
          <w:p>
            <w:r>
              <w:t>https://www.microsoft.com/en-us/corporate-responsibility/sustainability/report/</w:t>
            </w:r>
          </w:p>
        </w:tc>
      </w:tr>
      <w:tr>
        <w:tc>
          <w:tcPr>
            <w:tcW w:type="dxa" w:w="2800"/>
            <w:vAlign w:val="center"/>
          </w:tcPr>
          <w:p>
            <w:r>
              <w:t>Microsoft Responsible AI Transparency Report 2025</w:t>
            </w:r>
          </w:p>
        </w:tc>
        <w:tc>
          <w:tcPr>
            <w:tcW w:type="dxa" w:w="6560"/>
            <w:vAlign w:val="center"/>
          </w:tcPr>
          <w:p>
            <w:r>
              <w:t>https://www.microsoft.com/en-us/corporate-responsibility/responsible-ai-transparency-report/</w:t>
            </w:r>
          </w:p>
        </w:tc>
      </w:tr>
      <w:tr>
        <w:tc>
          <w:tcPr>
            <w:tcW w:type="dxa" w:w="2800"/>
            <w:vAlign w:val="center"/>
          </w:tcPr>
          <w:p>
            <w:r>
              <w:t>Microsoft Global Diversity &amp; Inclusion</w:t>
            </w:r>
          </w:p>
        </w:tc>
        <w:tc>
          <w:tcPr>
            <w:tcW w:type="dxa" w:w="6560"/>
            <w:vAlign w:val="center"/>
          </w:tcPr>
          <w:p>
            <w:r>
              <w:t>https://www.microsoft.com/en-us/diversity/default</w:t>
            </w:r>
          </w:p>
        </w:tc>
      </w:tr>
      <w:tr>
        <w:tc>
          <w:tcPr>
            <w:tcW w:type="dxa" w:w="2800"/>
            <w:vAlign w:val="center"/>
          </w:tcPr>
          <w:p>
            <w:r>
              <w:t>Microsoft Proxy Statement 2025</w:t>
            </w:r>
          </w:p>
        </w:tc>
        <w:tc>
          <w:tcPr>
            <w:tcW w:type="dxa" w:w="6560"/>
            <w:vAlign w:val="center"/>
          </w:tcPr>
          <w:p>
            <w:r>
              <w:t>Lokal: data/microsoft/microsoft_2025_proxy_statement.pdf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66666"/>
        <w:sz w:val="18"/>
      </w:rPr>
      <w:t>Microsoft ESG Report | Generated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