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SAP ESG Report</w:t>
      </w:r>
    </w:p>
    <w:p>
      <w:pPr>
        <w:spacing w:after="320"/>
      </w:pPr>
      <w:r>
        <w:rPr>
          <w:rFonts w:ascii="Calibri" w:hAnsi="Calibri"/>
          <w:color w:val="555555"/>
          <w:sz w:val="22"/>
        </w:rPr>
        <w:t>ESG Report 2025/2026 | DataNXT-relevante Antworten und Quellen-Audit</w:t>
      </w:r>
    </w:p>
    <w:p>
      <w:pPr>
        <w:pStyle w:val="Heading1"/>
      </w:pPr>
      <w:r>
        <w:t>Methodik und Datenbasis</w:t>
      </w:r>
    </w:p>
    <w:p>
      <w:pPr>
        <w:spacing w:after="120" w:line="264" w:lineRule="auto"/>
      </w:pPr>
      <w:r>
        <w:t>Dieser Bericht konsolidiert die in DataNXT als relevant markierten Antworten mit dem lokalen Quellen-Audit im Projektordner. Offizielle Nachhaltigkeits-/Integrated Reports werden als Benchmark und Validierungsquelle verwendet; operative Annual Reports, Proxy-/AGM-Dokumente, Risk Reports, D&amp;I-/AI-/Data-Center-Dokumente und ausgewählte Unternehmensseiten bilden die Arbeitsgrundlage.</w:t>
      </w:r>
    </w:p>
    <w:p>
      <w:pPr>
        <w:spacing w:after="120" w:line="264" w:lineRule="auto"/>
      </w:pPr>
      <w:r>
        <w:t>Berichtsstand ist der 11. Juli 2026. Wo Kennzahlen aus 2024 stammen, wird dies im Text kenntlich gemacht; ansonsten beziehen sich die Aussagen auf 2025/2026 verfügbare Berichte.</w:t>
      </w:r>
    </w:p>
    <w:p>
      <w:pPr>
        <w:pStyle w:val="Heading2"/>
      </w:pPr>
      <w:r>
        <w:t>DataNXT-Status</w:t>
      </w:r>
    </w:p>
    <w:p>
      <w:pPr>
        <w:pStyle w:val="ListBullet"/>
        <w:spacing w:after="120" w:line="280" w:lineRule="auto"/>
      </w:pPr>
      <w:r>
        <w:t>General Information: relevante SAP-Antwort mit Cloud, Software, Services, ATS/Core Services und Strategie.</w:t>
      </w:r>
    </w:p>
    <w:p>
      <w:pPr>
        <w:pStyle w:val="ListBullet"/>
        <w:spacing w:after="120" w:line="280" w:lineRule="auto"/>
      </w:pPr>
      <w:r>
        <w:t>Environmental: relevante Antwort zu Net-Zero 2030, Data-Center-Effizienz, erneuerbarem Strom und E-Waste.</w:t>
      </w:r>
    </w:p>
    <w:p>
      <w:pPr>
        <w:pStyle w:val="ListBullet"/>
        <w:spacing w:after="120" w:line="280" w:lineRule="auto"/>
      </w:pPr>
      <w:r>
        <w:t>Social: vorhandene relevante Antwort aus D&amp;I-Quellen, ergänzt durch SAP Social Performance aus dem Annual/Integrated Report.</w:t>
      </w:r>
    </w:p>
    <w:p>
      <w:pPr>
        <w:pStyle w:val="ListBullet"/>
        <w:spacing w:after="120" w:line="280" w:lineRule="auto"/>
      </w:pPr>
      <w:r>
        <w:t>Governance: relevante Antwort zu Zwei-Säulen-/Two-tier-Governance, Code of Ethics, Cybersecurity, AI Ethics und Kontrollen.</w:t>
      </w:r>
    </w:p>
    <w:p>
      <w:pPr>
        <w:pStyle w:val="Heading1"/>
      </w:pPr>
      <w:r>
        <w:t>Executive Summary</w:t>
      </w:r>
    </w:p>
    <w:p>
      <w:pPr>
        <w:spacing w:after="120" w:line="264" w:lineRule="auto"/>
      </w:pPr>
      <w:r>
        <w:t>SAP weist ein relativ fokussiertes ESG-Profil auf: Die direkte Umweltbelastung ist geringer als bei Handels- oder Hardwarekonzernen, aber Cloud-Betrieb, Kundennutzung, Rechenzentren, AI, Datenschutz, Ethik und Beschäftigtenbindung sind wesentlich. SAPs 2025-Berichterstattung folgt ESRS/CSRD-Strukturen und ist damit für ESG-Analysen vergleichsweise gut anschlussfähig.</w:t>
      </w:r>
    </w:p>
    <w:p>
      <w:pPr>
        <w:pStyle w:val="Heading1"/>
      </w:pPr>
      <w:r>
        <w:t>Kernkennzahlen und ESG-Signale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300"/>
            <w:shd w:fill="F2F4F7"/>
            <w:vAlign w:val="center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7060"/>
            <w:shd w:fill="F2F4F7"/>
            <w:vAlign w:val="center"/>
          </w:tcPr>
          <w:p>
            <w:r>
              <w:rPr>
                <w:b/>
              </w:rPr>
              <w:t>Kernaussage / Kennzahl</w:t>
            </w:r>
          </w:p>
        </w:tc>
      </w:tr>
      <w:tr>
        <w:tc>
          <w:tcPr>
            <w:tcW w:type="dxa" w:w="2300"/>
            <w:vAlign w:val="center"/>
          </w:tcPr>
          <w:p>
            <w:r>
              <w:t>Geschäftsmodell</w:t>
            </w:r>
          </w:p>
        </w:tc>
        <w:tc>
          <w:tcPr>
            <w:tcW w:type="dxa" w:w="7060"/>
            <w:vAlign w:val="center"/>
          </w:tcPr>
          <w:p>
            <w:r>
              <w:t>Cloud-Subskriptionen, Softwarelizenzen, Support, Consulting, Training und SAP Business AI.</w:t>
            </w:r>
          </w:p>
        </w:tc>
      </w:tr>
      <w:tr>
        <w:tc>
          <w:tcPr>
            <w:tcW w:type="dxa" w:w="2300"/>
            <w:vAlign w:val="center"/>
          </w:tcPr>
          <w:p>
            <w:r>
              <w:t>Cloud CSAT</w:t>
            </w:r>
          </w:p>
        </w:tc>
        <w:tc>
          <w:tcPr>
            <w:tcW w:type="dxa" w:w="7060"/>
            <w:vAlign w:val="center"/>
          </w:tcPr>
          <w:p>
            <w:r>
              <w:t>2025: Cloud CSAT 75% laut SAP-Berichterstattung.</w:t>
            </w:r>
          </w:p>
        </w:tc>
      </w:tr>
      <w:tr>
        <w:tc>
          <w:tcPr>
            <w:tcW w:type="dxa" w:w="2300"/>
            <w:vAlign w:val="center"/>
          </w:tcPr>
          <w:p>
            <w:r>
              <w:t>Klima</w:t>
            </w:r>
          </w:p>
        </w:tc>
        <w:tc>
          <w:tcPr>
            <w:tcW w:type="dxa" w:w="7060"/>
            <w:vAlign w:val="center"/>
          </w:tcPr>
          <w:p>
            <w:r>
              <w:t>Net-zero-Ziel 2030; SBTi-validierter Pfad mit mindestens 90% Reduktion der Brutto-GHG-Emissionen.</w:t>
            </w:r>
          </w:p>
        </w:tc>
      </w:tr>
      <w:tr>
        <w:tc>
          <w:tcPr>
            <w:tcW w:type="dxa" w:w="2300"/>
            <w:vAlign w:val="center"/>
          </w:tcPr>
          <w:p>
            <w:r>
              <w:t>E-Waste</w:t>
            </w:r>
          </w:p>
        </w:tc>
        <w:tc>
          <w:tcPr>
            <w:tcW w:type="dxa" w:w="7060"/>
            <w:vAlign w:val="center"/>
          </w:tcPr>
          <w:p>
            <w:r>
              <w:t>2025: 797 mt E-Waste, davon 764 mt vom Deponie-/Entsorgungsweg abgelenkt; 4% nicht recycelt.</w:t>
            </w:r>
          </w:p>
        </w:tc>
      </w:tr>
      <w:tr>
        <w:tc>
          <w:tcPr>
            <w:tcW w:type="dxa" w:w="2300"/>
            <w:vAlign w:val="center"/>
          </w:tcPr>
          <w:p>
            <w:r>
              <w:t>Beschäftigte</w:t>
            </w:r>
          </w:p>
        </w:tc>
        <w:tc>
          <w:tcPr>
            <w:tcW w:type="dxa" w:w="7060"/>
            <w:vAlign w:val="center"/>
          </w:tcPr>
          <w:p>
            <w:r>
              <w:t>2025: 111.397 Mitarbeitende; Frauen 39.891, Männer 71.503, weitere/nicht berichtet 3.</w:t>
            </w:r>
          </w:p>
        </w:tc>
      </w:tr>
      <w:tr>
        <w:tc>
          <w:tcPr>
            <w:tcW w:type="dxa" w:w="2300"/>
            <w:vAlign w:val="center"/>
          </w:tcPr>
          <w:p>
            <w:r>
              <w:t>Governance</w:t>
            </w:r>
          </w:p>
        </w:tc>
        <w:tc>
          <w:tcPr>
            <w:tcW w:type="dxa" w:w="7060"/>
            <w:vAlign w:val="center"/>
          </w:tcPr>
          <w:p>
            <w:r>
              <w:t>Europäische SE mit Supervisory Board, Executive Board und Hauptversammlung; ESG/CSRD in Integrated Report verankert.</w:t>
            </w:r>
          </w:p>
        </w:tc>
      </w:tr>
    </w:tbl>
    <w:p>
      <w:pPr>
        <w:pStyle w:val="Heading1"/>
      </w:pPr>
      <w:r>
        <w:t>1. General Information</w:t>
      </w:r>
    </w:p>
    <w:p>
      <w:pPr>
        <w:spacing w:after="120" w:line="264" w:lineRule="auto"/>
      </w:pPr>
      <w:r>
        <w:t>SAP ist ein globaler Anbieter von Unternehmenssoftware mit Sitz in Walldorf. Das Geschäftsmodell umfasst Cloud-Subskriptionen, Softwarelizenzen, Support, Consulting, Training, Business Technology Platform, ERP, SuccessFactors, Ariba, Concur, Fieldglass und Business AI.</w:t>
      </w:r>
    </w:p>
    <w:p>
      <w:pPr>
        <w:spacing w:after="120" w:line="264" w:lineRule="auto"/>
      </w:pPr>
      <w:r>
        <w:t>Die Strategie ist cloud-first und AI-unterstützt. SAP nutzt Kennzahlen wie Cloud Revenue, Cloud and Software Revenue, Current Cloud Backlog, Total Revenue, Cloud CSAT, Employee Engagement, Business Health Culture und GHG-Emissionen.</w:t>
      </w:r>
    </w:p>
    <w:p>
      <w:pPr>
        <w:spacing w:after="120" w:line="264" w:lineRule="auto"/>
      </w:pPr>
      <w:r>
        <w:t>DataNXT ordnete SAP in die Segmente ATS und Core Services ein und betonte die Transformation hin zu Cloud ERP, BTP, Sovereign Cloud, nachhaltiger Innovation und digitaler Wertschöpfung.</w:t>
      </w:r>
    </w:p>
    <w:p>
      <w:pPr>
        <w:pStyle w:val="Heading1"/>
      </w:pPr>
      <w:r>
        <w:t>2. Environmental</w:t>
      </w:r>
    </w:p>
    <w:p>
      <w:pPr>
        <w:spacing w:after="120" w:line="264" w:lineRule="auto"/>
      </w:pPr>
      <w:r>
        <w:t>SAP verfolgt Net Zero bis 2030 und hat einen SBTi-validierten Pfad, der mindestens 90% Reduktion der Brutto-Treibhausgasemissionen vorsieht. Relevant sind Scope 1, Scope 2 und besonders Scope 3 aus Kundennutzung, Cloud, Lieferanten und Hardware.</w:t>
      </w:r>
    </w:p>
    <w:p>
      <w:pPr>
        <w:spacing w:after="120" w:line="264" w:lineRule="auto"/>
      </w:pPr>
      <w:r>
        <w:t>Der Data-Center-Schwerpunkt liegt auf erneuerbarem Strom, Energieeffizienz, Zertifizierungen, Kühlung, Hardwareeffizienz, Abwärmenutzung, E-Waste-Management und Hyperscaler-Engagement. SAP bezieht seit 2014 erneuerbaren Strom für den Betrieb und verlagert die Beschaffung stärker Richtung PPAs.</w:t>
      </w:r>
    </w:p>
    <w:p>
      <w:pPr>
        <w:spacing w:after="120" w:line="264" w:lineRule="auto"/>
      </w:pPr>
      <w:r>
        <w:t>Die Umweltberichterstattung nennt 797 mt E-Waste und 764 mt abgelenkte Abfälle. Risiken bestehen in wachsender AI- und Cloud-Nachfrage, Unsicherheit bei Kundennutzungsberechnungen und Abhängigkeit von Hyperscalern.</w:t>
      </w:r>
    </w:p>
    <w:p>
      <w:pPr>
        <w:pStyle w:val="Heading1"/>
      </w:pPr>
      <w:r>
        <w:t>3. Social</w:t>
      </w:r>
    </w:p>
    <w:p>
      <w:pPr>
        <w:spacing w:after="120" w:line="264" w:lineRule="auto"/>
      </w:pPr>
      <w:r>
        <w:t>SAPs People Agenda verbindet Engagement, Gesundheit, Inclusion, Equal Opportunities und Skills mit Wachstum. Der Employee Engagement Index und Business Health Culture Index sind nicht nur HR-Kennzahlen, sondern Teil der nichtfinanziellen Steuerung.</w:t>
      </w:r>
    </w:p>
    <w:p>
      <w:pPr>
        <w:spacing w:after="120" w:line="264" w:lineRule="auto"/>
      </w:pPr>
      <w:r>
        <w:t>2025 berichtete SAP 111.397 Mitarbeitende. Die Belegschaftsdaten zeigen 39.891 Frauen und 71.503 Männer; die Inclusion-Strategie wird über D&amp;I-Programme, #Unfiltered-Befragungen und Equal-Opportunity-Komponenten weiterentwickelt.</w:t>
      </w:r>
    </w:p>
    <w:p>
      <w:pPr>
        <w:spacing w:after="120" w:line="264" w:lineRule="auto"/>
      </w:pPr>
      <w:r>
        <w:t>Soziale Risiken liegen in Talentbindung, Transformationsbelastung, Skills für AI/Cloud, globaler Gleichbehandlung, Lieferanten- und Partnerökosystem sowie verantwortlicher Technologieentwicklung.</w:t>
      </w:r>
    </w:p>
    <w:p>
      <w:pPr>
        <w:pStyle w:val="Heading1"/>
      </w:pPr>
      <w:r>
        <w:t>4. Governance</w:t>
      </w:r>
    </w:p>
    <w:p>
      <w:pPr>
        <w:spacing w:after="120" w:line="264" w:lineRule="auto"/>
      </w:pPr>
      <w:r>
        <w:t>SAP verfügt über die Governance einer europäischen SE mit Supervisory Board, Executive Board und Hauptversammlung. Der Integrated Report 2025 enthält eine CSRD-nahe Nachhaltigkeitserklärung und verbindet Strategie, Risiken, Ziele und Kennzahlen.</w:t>
      </w:r>
    </w:p>
    <w:p>
      <w:pPr>
        <w:spacing w:after="120" w:line="264" w:lineRule="auto"/>
      </w:pPr>
      <w:r>
        <w:t>DataNXT hob Global Code of Ethics, Cybersecurity-Reporting an Board-Ausschüsse, SGSC-Strukturen, ISO-Zertifizierungen, SOC-Berichte, Datenschutz und Controls hervor. Governance-Reife ist besonders wichtig, weil SAP geschäftskritische Prozesse bei Kunden unterstützt.</w:t>
      </w:r>
    </w:p>
    <w:p>
      <w:pPr>
        <w:spacing w:after="120" w:line="264" w:lineRule="auto"/>
      </w:pPr>
      <w:r>
        <w:t>AI Ethics, Privacy, Security und Cloud Operations sind zentrale Governance-Risiken. SAPs Global AI Ethics Policy und Trust-/Security-Kontrollen dienen als Rahmen; die Herausforderung liegt in Umsetzung, Auditierbarkeit und Partnerökosystem.</w:t>
      </w:r>
    </w:p>
    <w:p>
      <w:pPr>
        <w:pStyle w:val="Heading1"/>
      </w:pPr>
      <w:r>
        <w:t>ESG-Risiken, Datenlücken und Prioritäten</w:t>
      </w:r>
    </w:p>
    <w:p>
      <w:pPr>
        <w:pStyle w:val="ListBullet"/>
        <w:spacing w:after="120" w:line="280" w:lineRule="auto"/>
      </w:pPr>
      <w:r>
        <w:t>Scope-3-Methodik, Kundennutzung und Hyperscaler-Abhängigkeiten erschweren exakte Klimasteuerung.</w:t>
      </w:r>
    </w:p>
    <w:p>
      <w:pPr>
        <w:pStyle w:val="ListBullet"/>
        <w:spacing w:after="120" w:line="280" w:lineRule="auto"/>
      </w:pPr>
      <w:r>
        <w:t>AI- und Cloud-Transformation können Energiebedarf und Skills-Anforderungen erhöhen.</w:t>
      </w:r>
    </w:p>
    <w:p>
      <w:pPr>
        <w:pStyle w:val="ListBullet"/>
        <w:spacing w:after="120" w:line="280" w:lineRule="auto"/>
      </w:pPr>
      <w:r>
        <w:t>Cybersecurity, Datenschutz und Servicekontinuität sind geschäftskritisch.</w:t>
      </w:r>
    </w:p>
    <w:p>
      <w:pPr>
        <w:pStyle w:val="ListBullet"/>
        <w:spacing w:after="120" w:line="280" w:lineRule="auto"/>
      </w:pPr>
      <w:r>
        <w:t>Datenlücken betreffen externe Wirksamkeit von Social-/D&amp;I-Maßnahmen und zukünftige Scope-3-Methodikänderungen.</w:t>
      </w:r>
    </w:p>
    <w:p>
      <w:pPr>
        <w:pStyle w:val="Heading1"/>
      </w:pPr>
      <w:r>
        <w:t>Priorisierte Monitoring-Fragen</w:t>
      </w:r>
    </w:p>
    <w:p>
      <w:pPr>
        <w:pStyle w:val="ListBullet"/>
        <w:spacing w:after="120" w:line="280" w:lineRule="auto"/>
      </w:pPr>
      <w:r>
        <w:t>Welche ESG-Kennzahlen sind im nächsten Berichtszyklus extern geprüft, und wo beruhen Aussagen noch auf Managementangaben oder modellierten Annahmen?</w:t>
      </w:r>
    </w:p>
    <w:p>
      <w:pPr>
        <w:pStyle w:val="ListBullet"/>
        <w:spacing w:after="120" w:line="280" w:lineRule="auto"/>
      </w:pPr>
      <w:r>
        <w:t>Wie entwickeln sich absolute Emissionen, Energiebedarf, Wasserwirkung und Scope-3-Kategorien im Verhältnis zu Umsatz-, Cloud-, Plattform- oder Logistikwachstum?</w:t>
      </w:r>
    </w:p>
    <w:p>
      <w:pPr>
        <w:pStyle w:val="ListBullet"/>
        <w:spacing w:after="120" w:line="280" w:lineRule="auto"/>
      </w:pPr>
      <w:r>
        <w:t>Welche ESG-Ziele sind mit Vorstands-/Managementvergütung, Investitionsentscheidungen, Lieferantensteuerung und Produktentwicklung verknüpft?</w:t>
      </w:r>
    </w:p>
    <w:p>
      <w:pPr>
        <w:pStyle w:val="ListBullet"/>
        <w:spacing w:after="120" w:line="280" w:lineRule="auto"/>
      </w:pPr>
      <w:r>
        <w:t>Welche Beschwerden, Audits, Incidents oder Stakeholder-Feedbacks zeigen tatsächliche Wirkung der Social- und Governance-Programme statt nur Prozessabdeckung?</w:t>
      </w:r>
    </w:p>
    <w:p>
      <w:pPr>
        <w:pStyle w:val="ListBullet"/>
        <w:spacing w:after="120" w:line="280" w:lineRule="auto"/>
      </w:pPr>
      <w:r>
        <w:t>Welche DataNXT-Antworten sollten im nächsten Schritt mit zusätzlichen Primärdokumenten vertieft werden, etwa Audit Reports, Assurance Statements, regionalen Umweltkennzahlen oder Supplier-Listen?</w:t>
      </w:r>
    </w:p>
    <w:p>
      <w:pPr>
        <w:pStyle w:val="Heading1"/>
      </w:pPr>
      <w:r>
        <w:t>Quellenanhang</w:t>
      </w:r>
    </w:p>
    <w:p>
      <w:pPr>
        <w:spacing w:after="80"/>
      </w:pPr>
      <w:r>
        <w:t>Die Tabelle nennt die wichtigsten Quellen, die im DataNXT-Workflow und im lokalen Quellen-Audit verwendet wurden.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800"/>
            <w:shd w:fill="F2F4F7"/>
            <w:vAlign w:val="center"/>
          </w:tcPr>
          <w:p>
            <w:r>
              <w:t>Quelle</w:t>
            </w:r>
          </w:p>
        </w:tc>
        <w:tc>
          <w:tcPr>
            <w:tcW w:type="dxa" w:w="6560"/>
            <w:shd w:fill="F2F4F7"/>
            <w:vAlign w:val="center"/>
          </w:tcPr>
          <w:p>
            <w:r>
              <w:t>Verwendung</w:t>
            </w:r>
          </w:p>
        </w:tc>
      </w:tr>
      <w:tr>
        <w:tc>
          <w:tcPr>
            <w:tcW w:type="dxa" w:w="2800"/>
            <w:vAlign w:val="center"/>
          </w:tcPr>
          <w:p>
            <w:r>
              <w:t>SAP Integrated Report 2025</w:t>
            </w:r>
          </w:p>
        </w:tc>
        <w:tc>
          <w:tcPr>
            <w:tcW w:type="dxa" w:w="6560"/>
            <w:vAlign w:val="center"/>
          </w:tcPr>
          <w:p>
            <w:r>
              <w:t>https://www.sap.com/integrated-reports/2025/en.html</w:t>
            </w:r>
          </w:p>
        </w:tc>
      </w:tr>
      <w:tr>
        <w:tc>
          <w:tcPr>
            <w:tcW w:type="dxa" w:w="2800"/>
            <w:vAlign w:val="center"/>
          </w:tcPr>
          <w:p>
            <w:r>
              <w:t>SAP CSRD Sustainability Statement</w:t>
            </w:r>
          </w:p>
        </w:tc>
        <w:tc>
          <w:tcPr>
            <w:tcW w:type="dxa" w:w="6560"/>
            <w:vAlign w:val="center"/>
          </w:tcPr>
          <w:p>
            <w:r>
              <w:t>https://www.sap.com/integrated-reports/2025/en/csrd.html</w:t>
            </w:r>
          </w:p>
        </w:tc>
      </w:tr>
      <w:tr>
        <w:tc>
          <w:tcPr>
            <w:tcW w:type="dxa" w:w="2800"/>
            <w:vAlign w:val="center"/>
          </w:tcPr>
          <w:p>
            <w:r>
              <w:t>SAP Environmental Performance</w:t>
            </w:r>
          </w:p>
        </w:tc>
        <w:tc>
          <w:tcPr>
            <w:tcW w:type="dxa" w:w="6560"/>
            <w:vAlign w:val="center"/>
          </w:tcPr>
          <w:p>
            <w:r>
              <w:t>https://www.sap.com/integrated-reports/2025/en/csrd/environmental-performance.html</w:t>
            </w:r>
          </w:p>
        </w:tc>
      </w:tr>
      <w:tr>
        <w:tc>
          <w:tcPr>
            <w:tcW w:type="dxa" w:w="2800"/>
            <w:vAlign w:val="center"/>
          </w:tcPr>
          <w:p>
            <w:r>
              <w:t>SAP Social Performance</w:t>
            </w:r>
          </w:p>
        </w:tc>
        <w:tc>
          <w:tcPr>
            <w:tcW w:type="dxa" w:w="6560"/>
            <w:vAlign w:val="center"/>
          </w:tcPr>
          <w:p>
            <w:r>
              <w:t>https://www.sap.com/integrated-reports/2025/en/csrd/social-performance.html</w:t>
            </w:r>
          </w:p>
        </w:tc>
      </w:tr>
      <w:tr>
        <w:tc>
          <w:tcPr>
            <w:tcW w:type="dxa" w:w="2800"/>
            <w:vAlign w:val="center"/>
          </w:tcPr>
          <w:p>
            <w:r>
              <w:t>SAP Annual Report Form 20-F 2025</w:t>
            </w:r>
          </w:p>
        </w:tc>
        <w:tc>
          <w:tcPr>
            <w:tcW w:type="dxa" w:w="6560"/>
            <w:vAlign w:val="center"/>
          </w:tcPr>
          <w:p>
            <w:r>
              <w:t>Lokal: data/sap/SAP 2025 Annual Report on Form 20-F.pdf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SAP ESG Report | Generated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