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Zalando ESG Report</w:t>
      </w:r>
    </w:p>
    <w:p>
      <w:pPr>
        <w:spacing w:after="320"/>
      </w:pPr>
      <w:r>
        <w:rPr>
          <w:rFonts w:ascii="Calibri" w:hAnsi="Calibri"/>
          <w:color w:val="555555"/>
          <w:sz w:val="22"/>
        </w:rPr>
        <w:t>ESG Report 2025/2026 | DataNXT-relevante Antworten und Quellen-Audit</w:t>
      </w:r>
    </w:p>
    <w:p>
      <w:pPr>
        <w:pStyle w:val="Heading1"/>
      </w:pPr>
      <w:r>
        <w:t>Methodik und Datenbasis</w:t>
      </w:r>
    </w:p>
    <w:p>
      <w:pPr>
        <w:spacing w:after="120" w:line="264" w:lineRule="auto"/>
      </w:pPr>
      <w:r>
        <w:t>Dieser Bericht konsolidiert die in DataNXT als relevant markierten Antworten mit dem lokalen Quellen-Audit im Projektordner. Offizielle Nachhaltigkeits-/Integrated Reports werden als Benchmark und Validierungsquelle verwendet; operative Annual Reports, Proxy-/AGM-Dokumente, Risk Reports, D&amp;I-/AI-/Data-Center-Dokumente und ausgewählte Unternehmensseiten bilden die Arbeitsgrundlage.</w:t>
      </w:r>
    </w:p>
    <w:p>
      <w:pPr>
        <w:spacing w:after="120" w:line="264" w:lineRule="auto"/>
      </w:pPr>
      <w:r>
        <w:t>Berichtsstand ist der 11. Juli 2026. Wo Kennzahlen aus 2024 stammen, wird dies im Text kenntlich gemacht; ansonsten beziehen sich die Aussagen auf 2025/2026 verfügbare Berichte.</w:t>
      </w:r>
    </w:p>
    <w:p>
      <w:pPr>
        <w:pStyle w:val="Heading2"/>
      </w:pPr>
      <w:r>
        <w:t>DataNXT-Status</w:t>
      </w:r>
    </w:p>
    <w:p>
      <w:pPr>
        <w:pStyle w:val="ListBullet"/>
        <w:spacing w:after="120" w:line="280" w:lineRule="auto"/>
      </w:pPr>
      <w:r>
        <w:t>General Information: relevante Antwort mit Plattformmodell, ABOUT YOU, 29 Märkten, 62,0 Mio. aktiven Kunden und 16.582 Mitarbeitenden.</w:t>
      </w:r>
    </w:p>
    <w:p>
      <w:pPr>
        <w:pStyle w:val="ListBullet"/>
        <w:spacing w:after="120" w:line="280" w:lineRule="auto"/>
      </w:pPr>
      <w:r>
        <w:t>Environmental: relevante Antwort mit Net-zero, Scope 1/2/3, SBTs, 100% erneuerbarem Strom, Verpackung, Circularity und ABOUT-YOU-Datenlücke.</w:t>
      </w:r>
    </w:p>
    <w:p>
      <w:pPr>
        <w:pStyle w:val="ListBullet"/>
        <w:spacing w:after="120" w:line="280" w:lineRule="auto"/>
      </w:pPr>
      <w:r>
        <w:t>Social: relevante Antwort mit D&amp;I-Appendix, Inclusion Index, ERGs, Adaptive Fashion, Audits, Beschwerden und Human-Rights-Informationen.</w:t>
      </w:r>
    </w:p>
    <w:p>
      <w:pPr>
        <w:pStyle w:val="ListBullet"/>
        <w:spacing w:after="120" w:line="280" w:lineRule="auto"/>
      </w:pPr>
      <w:r>
        <w:t>Governance: relevante Antwort mit Annual-Report-Übersicht, AGM-Einladung und DSA Risk Report.</w:t>
      </w:r>
    </w:p>
    <w:p>
      <w:pPr>
        <w:pStyle w:val="Heading1"/>
      </w:pPr>
      <w:r>
        <w:t>Executive Summary</w:t>
      </w:r>
    </w:p>
    <w:p>
      <w:pPr>
        <w:spacing w:after="120" w:line="264" w:lineRule="auto"/>
      </w:pPr>
      <w:r>
        <w:t>Zalando ist ein europäischer Fashion- und Lifestyle-Plattformkonzern mit wachsender B2C- und B2B-Ausrichtung. ESG-relevant sind vor allem Scope-3-Emissionen aus Produkten, Markenpartnern, Transport und Returns, Arbeits- und Menschenrechtsfragen in der Lieferkette, D&amp;I und Barrierefreiheit sowie Plattform- und DSA-Governance. Durch ABOUT YOU entsteht 2025 eine wichtige Daten- und Integrationslücke, die ab 2026 enger geschlossen werden soll.</w:t>
      </w:r>
    </w:p>
    <w:p>
      <w:pPr>
        <w:pStyle w:val="Heading1"/>
      </w:pPr>
      <w:r>
        <w:t>Kernkennzahlen und ESG-Signale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300"/>
            <w:shd w:fill="F2F4F7"/>
            <w:vAlign w:val="center"/>
          </w:tcPr>
          <w:p>
            <w:r>
              <w:rPr>
                <w:b/>
              </w:rPr>
              <w:t>Kategorie</w:t>
            </w:r>
          </w:p>
        </w:tc>
        <w:tc>
          <w:tcPr>
            <w:tcW w:type="dxa" w:w="7060"/>
            <w:shd w:fill="F2F4F7"/>
            <w:vAlign w:val="center"/>
          </w:tcPr>
          <w:p>
            <w:r>
              <w:rPr>
                <w:b/>
              </w:rPr>
              <w:t>Kernaussage / Kennzahl</w:t>
            </w:r>
          </w:p>
        </w:tc>
      </w:tr>
      <w:tr>
        <w:tc>
          <w:tcPr>
            <w:tcW w:type="dxa" w:w="2300"/>
            <w:vAlign w:val="center"/>
          </w:tcPr>
          <w:p>
            <w:r>
              <w:t>Märkte/Kunden</w:t>
            </w:r>
          </w:p>
        </w:tc>
        <w:tc>
          <w:tcPr>
            <w:tcW w:type="dxa" w:w="7060"/>
            <w:vAlign w:val="center"/>
          </w:tcPr>
          <w:p>
            <w:r>
              <w:t>29 europäische Märkte; 62,0 Mio. aktive Kunden in 2025; ABOUT YOU seit 11. Juli 2025 integriert.</w:t>
            </w:r>
          </w:p>
        </w:tc>
      </w:tr>
      <w:tr>
        <w:tc>
          <w:tcPr>
            <w:tcW w:type="dxa" w:w="2300"/>
            <w:vAlign w:val="center"/>
          </w:tcPr>
          <w:p>
            <w:r>
              <w:t>Beschäftigte</w:t>
            </w:r>
          </w:p>
        </w:tc>
        <w:tc>
          <w:tcPr>
            <w:tcW w:type="dxa" w:w="7060"/>
            <w:vAlign w:val="center"/>
          </w:tcPr>
          <w:p>
            <w:r>
              <w:t>2025: durchschnittlich 16.582 salaried employees, +8,3% ggü. Vorjahr.</w:t>
            </w:r>
          </w:p>
        </w:tc>
      </w:tr>
      <w:tr>
        <w:tc>
          <w:tcPr>
            <w:tcW w:type="dxa" w:w="2300"/>
            <w:vAlign w:val="center"/>
          </w:tcPr>
          <w:p>
            <w:r>
              <w:t>Klima</w:t>
            </w:r>
          </w:p>
        </w:tc>
        <w:tc>
          <w:tcPr>
            <w:tcW w:type="dxa" w:w="7060"/>
            <w:vAlign w:val="center"/>
          </w:tcPr>
          <w:p>
            <w:r>
              <w:t>Net zero: eigene Aktivitäten und Private Labels bis 2040, übrige Wertschöpfungskette bis 2050.</w:t>
            </w:r>
          </w:p>
        </w:tc>
      </w:tr>
      <w:tr>
        <w:tc>
          <w:tcPr>
            <w:tcW w:type="dxa" w:w="2300"/>
            <w:vAlign w:val="center"/>
          </w:tcPr>
          <w:p>
            <w:r>
              <w:t>Scope 1/2</w:t>
            </w:r>
          </w:p>
        </w:tc>
        <w:tc>
          <w:tcPr>
            <w:tcW w:type="dxa" w:w="7060"/>
            <w:vAlign w:val="center"/>
          </w:tcPr>
          <w:p>
            <w:r>
              <w:t>2025: Scope 1 ca. 5.776 t CO2e; Scope 2 market-based ca. 566 t CO2e; -17,0% Scope 1/2 ggü. 2022.</w:t>
            </w:r>
          </w:p>
        </w:tc>
      </w:tr>
      <w:tr>
        <w:tc>
          <w:tcPr>
            <w:tcW w:type="dxa" w:w="2300"/>
            <w:vAlign w:val="center"/>
          </w:tcPr>
          <w:p>
            <w:r>
              <w:t>Strom</w:t>
            </w:r>
          </w:p>
        </w:tc>
        <w:tc>
          <w:tcPr>
            <w:tcW w:type="dxa" w:w="7060"/>
            <w:vAlign w:val="center"/>
          </w:tcPr>
          <w:p>
            <w:r>
              <w:t>100% Strom aus erneuerbaren Quellen in 2025, ohne ABOUT YOU; RE100-Mitglied.</w:t>
            </w:r>
          </w:p>
        </w:tc>
      </w:tr>
      <w:tr>
        <w:tc>
          <w:tcPr>
            <w:tcW w:type="dxa" w:w="2300"/>
            <w:vAlign w:val="center"/>
          </w:tcPr>
          <w:p>
            <w:r>
              <w:t>D&amp;I</w:t>
            </w:r>
          </w:p>
        </w:tc>
        <w:tc>
          <w:tcPr>
            <w:tcW w:type="dxa" w:w="7060"/>
            <w:vAlign w:val="center"/>
          </w:tcPr>
          <w:p>
            <w:r>
              <w:t>Inclusion Index 69%; Zielkorridor 40-60% Frauen in Top-5-Führungsebenen und Tech Job Families.</w:t>
            </w:r>
          </w:p>
        </w:tc>
      </w:tr>
    </w:tbl>
    <w:p>
      <w:pPr>
        <w:pStyle w:val="Heading1"/>
      </w:pPr>
      <w:r>
        <w:t>1. General Information</w:t>
      </w:r>
    </w:p>
    <w:p>
      <w:pPr>
        <w:spacing w:after="120" w:line="264" w:lineRule="auto"/>
      </w:pPr>
      <w:r>
        <w:t>Zalando SE hat seinen Sitz in Berlin und ist eine europäische Aktiengesellschaft. Die Gruppe positioniert sich als führende Technologieplattform für Fashion und Lifestyle in Europa.</w:t>
      </w:r>
    </w:p>
    <w:p>
      <w:pPr>
        <w:spacing w:after="120" w:line="264" w:lineRule="auto"/>
      </w:pPr>
      <w:r>
        <w:t>Das Geschäftsmodell kombiniert B2C-Angebote über Zalando, ABOUT YOU und Lounge mit B2B-Services wie ZEOS, SCAYLE, Tradebyte und Highsnobiety. DataNXT berichtet mehr als 60 Mio. aktive Kunden in 29 Märkten und über 600 Partner in ZEOS-Fulfilment.</w:t>
      </w:r>
    </w:p>
    <w:p>
      <w:pPr>
        <w:spacing w:after="120" w:line="264" w:lineRule="auto"/>
      </w:pPr>
      <w:r>
        <w:t>Die Übernahme von ABOUT YOU wurde am 11. Juli 2025 abgeschlossen und erweitert Reichweite, Plattformkompetenz und Datenumfang. ESG-seitig erschwert sie 2025 die Vergleichbarkeit, weil ABOUT YOU teilweise eigene Policies, Ziele und Datenerhebungen weiterführt.</w:t>
      </w:r>
    </w:p>
    <w:p>
      <w:pPr>
        <w:pStyle w:val="Heading1"/>
      </w:pPr>
      <w:r>
        <w:t>2. Environmental</w:t>
      </w:r>
    </w:p>
    <w:p>
      <w:pPr>
        <w:spacing w:after="120" w:line="264" w:lineRule="auto"/>
      </w:pPr>
      <w:r>
        <w:t>Zalando verfolgt Net-zero-Ziele: eigene Aktivitäten und Private Labels bis 2040, verbleibende Wertschöpfungskette bis 2050. SBTi-Ziele umfassen -55% Scope 1/2 bis 2033 gegenüber 2022 und Scope-3-Reduktionen in gekauften Waren und Upstream-Transport.</w:t>
      </w:r>
    </w:p>
    <w:p>
      <w:pPr>
        <w:spacing w:after="120" w:line="264" w:lineRule="auto"/>
      </w:pPr>
      <w:r>
        <w:t>DataNXT nennt für 2025 Scope 1 von ca. 5.776 t CO2e und Scope 2 market-based von ca. 566 t CO2e. Scope 3 macht 99,5% der Gesamtemissionen aus; die private-label- und partnerbezogene Dekarbonisierung ist daher der Haupthebel.</w:t>
      </w:r>
    </w:p>
    <w:p>
      <w:pPr>
        <w:spacing w:after="120" w:line="264" w:lineRule="auto"/>
      </w:pPr>
      <w:r>
        <w:t>Zalando bezieht 100% Strom aus erneuerbaren Quellen, ohne ABOUT YOU, und betreibt Photovoltaik an Fulfilment-Standorten wie Lahr, Rotterdam und Verona. Verpackung wurde auf ein 100% Papier-Bag-Portfolio umgestellt; Packaging Waste pro Item sank 2025 um 12,3% auf 64,0 g.</w:t>
      </w:r>
    </w:p>
    <w:p>
      <w:pPr>
        <w:spacing w:after="120" w:line="264" w:lineRule="auto"/>
      </w:pPr>
      <w:r>
        <w:t>74,1% der Lieferanten im Scope der Ziele haben Science Based Targets gesetzt; bei Brand Partners 72,9%, Packaging Partners 92,5% und Last-mile Delivery Partners 90,1%. Das Fashion Leap for Climate-Programm unterstützt Marken beim Messen und Reduzieren von Emissionen.</w:t>
      </w:r>
    </w:p>
    <w:p>
      <w:pPr>
        <w:pStyle w:val="Heading1"/>
      </w:pPr>
      <w:r>
        <w:t>3. Social</w:t>
      </w:r>
    </w:p>
    <w:p>
      <w:pPr>
        <w:spacing w:after="120" w:line="264" w:lineRule="auto"/>
      </w:pPr>
      <w:r>
        <w:t>Zalando verbindet Wachstum mit einer D&amp;I- und Inklusionsstrategie. Der do.BETTER-Ansatz wurde zur Inclusive-by-Design-Strategie weiterentwickelt, mit Fokus auf People, Platform und Industry.</w:t>
      </w:r>
    </w:p>
    <w:p>
      <w:pPr>
        <w:spacing w:after="120" w:line="264" w:lineRule="auto"/>
      </w:pPr>
      <w:r>
        <w:t>DataNXT berichtet einen Inclusion Index von 69%, zwölf Employee Resource Groups, verpflichtende Trainings zu Gleichbehandlung und unconscious bias sowie neurodiversity training für Hiring Manager mit 95% Reichweite im relevanten Team.</w:t>
      </w:r>
    </w:p>
    <w:p>
      <w:pPr>
        <w:spacing w:after="120" w:line="264" w:lineRule="auto"/>
      </w:pPr>
      <w:r>
        <w:t>Die Zielarchitektur umfasst 40-60% Frauen in den Top-5-Führungsebenen und in Tech Job Families. 2025 stiegen Diskriminierungsvorfälle auf 13 und Beschwerden über Mitarbeiterkanäle auf 234; das kann sowohl bessere Erfassung als auch Handlungsbedarf anzeigen.</w:t>
      </w:r>
    </w:p>
    <w:p>
      <w:pPr>
        <w:spacing w:after="120" w:line="264" w:lineRule="auto"/>
      </w:pPr>
      <w:r>
        <w:t>Human Rights und Supply-Chain-Social-Compliance werden über den German Supply Chain Due Diligence Act, UN Guiding Principles, Social Audits und Supplier-Programme adressiert. 2025 wurden 198 Social Audit Reports von Private-Label-Tier-1-Suppliers evaluiert und 27 Social Standard Audits in Fulfilment-Bereichen durchgeführt.</w:t>
      </w:r>
    </w:p>
    <w:p>
      <w:pPr>
        <w:spacing w:after="120" w:line="264" w:lineRule="auto"/>
      </w:pPr>
      <w:r>
        <w:t>Kundenseitig ist Adaptive Fashion ein wichtiger Social-Hebel. Zalando bietet seit 2022 ein eigenes Adaptive-Fashion-Sortiment über alle Private Labels sowie kuratierte Partnerangebote; die Plattform will Barrierefreiheit und inklusive Kundenerlebnisse ausbauen.</w:t>
      </w:r>
    </w:p>
    <w:p>
      <w:pPr>
        <w:pStyle w:val="Heading1"/>
      </w:pPr>
      <w:r>
        <w:t>4. Governance</w:t>
      </w:r>
    </w:p>
    <w:p>
      <w:pPr>
        <w:spacing w:after="120" w:line="264" w:lineRule="auto"/>
      </w:pPr>
      <w:r>
        <w:t>Zalando nutzt ein SE-Governance-Modell mit Management Board, Supervisory Board und Hauptversammlung. Die AGM 2026 ist als virtuelle Hauptversammlung geplant; Aktionäre können über ein passwortgeschütztes HV-Portal teilnehmen, abstimmen, Vollmachten erteilen und Gegenanträge einreichen.</w:t>
      </w:r>
    </w:p>
    <w:p>
      <w:pPr>
        <w:spacing w:after="120" w:line="264" w:lineRule="auto"/>
      </w:pPr>
      <w:r>
        <w:t>DataNXT meldete, dass der festgestellte Jahresabschluss 2025 am 11. März 2026 gebilligt wurde und ein Jahresüberschuss von EUR 836,7 Mio. vorgetragen werden soll. KPMG AG Wirtschaftsprüfungsgesellschaft, Berlin, wird für 2026 als Abschlussprüfer vorgeschlagen.</w:t>
      </w:r>
    </w:p>
    <w:p>
      <w:pPr>
        <w:spacing w:after="120" w:line="264" w:lineRule="auto"/>
      </w:pPr>
      <w:r>
        <w:t>Der DSA Risk Report 2025 bewertet systemische Risiken aus dem Plattformbetrieb insgesamt als sehr niedrig. Relevante Risikofaktoren sind Empfehlungs- und Content-Moderation-Systeme sowie datenbezogene Praktiken; Zalando nutzt Notice &amp; Action, Brand-Protection-Prozesse und Grievance Mechanisms.</w:t>
      </w:r>
    </w:p>
    <w:p>
      <w:pPr>
        <w:spacing w:after="120" w:line="264" w:lineRule="auto"/>
      </w:pPr>
      <w:r>
        <w:t>Privacy, GDPR/ePrivacy, Information Security, Bot Protection und NoMoreLeaks werden als Kontrollen gegen Daten- und Account-Risiken genannt. Governance-Risiken bleiben in AI-bezogenen Empfehlungen, Datenschutz, Produktsicherheit, DSA-Compliance und Integration von ABOUT YOU.</w:t>
      </w:r>
    </w:p>
    <w:p>
      <w:pPr>
        <w:pStyle w:val="Heading1"/>
      </w:pPr>
      <w:r>
        <w:t>ESG-Risiken, Datenlücken und Prioritäten</w:t>
      </w:r>
    </w:p>
    <w:p>
      <w:pPr>
        <w:pStyle w:val="ListBullet"/>
        <w:spacing w:after="120" w:line="280" w:lineRule="auto"/>
      </w:pPr>
      <w:r>
        <w:t>Scope 3 dominiert die Umweltwirkung; Fortschritt hängt von Markenpartnern, Lieferanten, Transportdienstleistern und Kundennutzungs-/Return-Verhalten ab.</w:t>
      </w:r>
    </w:p>
    <w:p>
      <w:pPr>
        <w:pStyle w:val="ListBullet"/>
        <w:spacing w:after="120" w:line="280" w:lineRule="auto"/>
      </w:pPr>
      <w:r>
        <w:t>ABOUT-YOU-Integration erzeugt 2025 Daten- und Policy-Lücken, insbesondere für ESRS-KPIs.</w:t>
      </w:r>
    </w:p>
    <w:p>
      <w:pPr>
        <w:pStyle w:val="ListBullet"/>
        <w:spacing w:after="120" w:line="280" w:lineRule="auto"/>
      </w:pPr>
      <w:r>
        <w:t>Soziale Risiken zeigen sich in steigenden Beschwerden und Diskriminierungsmeldungen; gleichzeitig kann dies verbesserte Meldekanäle widerspiegeln.</w:t>
      </w:r>
    </w:p>
    <w:p>
      <w:pPr>
        <w:pStyle w:val="ListBullet"/>
        <w:spacing w:after="120" w:line="280" w:lineRule="auto"/>
      </w:pPr>
      <w:r>
        <w:t>DSA-, Datenschutz- und Recommender-System-Governance bleiben zentral, auch wenn das aggregierte Risikoniveau im DSA-Report als sehr niedrig eingestuft wird.</w:t>
      </w:r>
    </w:p>
    <w:p>
      <w:pPr>
        <w:pStyle w:val="Heading1"/>
      </w:pPr>
      <w:r>
        <w:t>Priorisierte Monitoring-Fragen</w:t>
      </w:r>
    </w:p>
    <w:p>
      <w:pPr>
        <w:pStyle w:val="ListBullet"/>
        <w:spacing w:after="120" w:line="280" w:lineRule="auto"/>
      </w:pPr>
      <w:r>
        <w:t>Welche ESG-Kennzahlen sind im nächsten Berichtszyklus extern geprüft, und wo beruhen Aussagen noch auf Managementangaben oder modellierten Annahmen?</w:t>
      </w:r>
    </w:p>
    <w:p>
      <w:pPr>
        <w:pStyle w:val="ListBullet"/>
        <w:spacing w:after="120" w:line="280" w:lineRule="auto"/>
      </w:pPr>
      <w:r>
        <w:t>Wie entwickeln sich absolute Emissionen, Energiebedarf, Wasserwirkung und Scope-3-Kategorien im Verhältnis zu Umsatz-, Cloud-, Plattform- oder Logistikwachstum?</w:t>
      </w:r>
    </w:p>
    <w:p>
      <w:pPr>
        <w:pStyle w:val="ListBullet"/>
        <w:spacing w:after="120" w:line="280" w:lineRule="auto"/>
      </w:pPr>
      <w:r>
        <w:t>Welche ESG-Ziele sind mit Vorstands-/Managementvergütung, Investitionsentscheidungen, Lieferantensteuerung und Produktentwicklung verknüpft?</w:t>
      </w:r>
    </w:p>
    <w:p>
      <w:pPr>
        <w:pStyle w:val="ListBullet"/>
        <w:spacing w:after="120" w:line="280" w:lineRule="auto"/>
      </w:pPr>
      <w:r>
        <w:t>Welche Beschwerden, Audits, Incidents oder Stakeholder-Feedbacks zeigen tatsächliche Wirkung der Social- und Governance-Programme statt nur Prozessabdeckung?</w:t>
      </w:r>
    </w:p>
    <w:p>
      <w:pPr>
        <w:pStyle w:val="ListBullet"/>
        <w:spacing w:after="120" w:line="280" w:lineRule="auto"/>
      </w:pPr>
      <w:r>
        <w:t>Welche DataNXT-Antworten sollten im nächsten Schritt mit zusätzlichen Primärdokumenten vertieft werden, etwa Audit Reports, Assurance Statements, regionalen Umweltkennzahlen oder Supplier-Listen?</w:t>
      </w:r>
    </w:p>
    <w:p>
      <w:pPr>
        <w:pStyle w:val="Heading1"/>
      </w:pPr>
      <w:r>
        <w:t>Quellenanhang</w:t>
      </w:r>
    </w:p>
    <w:p>
      <w:pPr>
        <w:spacing w:after="80"/>
      </w:pPr>
      <w:r>
        <w:t>Die Tabelle nennt die wichtigsten Quellen, die im DataNXT-Workflow und im lokalen Quellen-Audit verwendet wurden.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800"/>
            <w:shd w:fill="F2F4F7"/>
            <w:vAlign w:val="center"/>
          </w:tcPr>
          <w:p>
            <w:r>
              <w:t>Quelle</w:t>
            </w:r>
          </w:p>
        </w:tc>
        <w:tc>
          <w:tcPr>
            <w:tcW w:type="dxa" w:w="6560"/>
            <w:shd w:fill="F2F4F7"/>
            <w:vAlign w:val="center"/>
          </w:tcPr>
          <w:p>
            <w:r>
              <w:t>Verwendung</w:t>
            </w:r>
          </w:p>
        </w:tc>
      </w:tr>
      <w:tr>
        <w:tc>
          <w:tcPr>
            <w:tcW w:type="dxa" w:w="2800"/>
            <w:vAlign w:val="center"/>
          </w:tcPr>
          <w:p>
            <w:r>
              <w:t>Zalando Annual Report 2025</w:t>
            </w:r>
          </w:p>
        </w:tc>
        <w:tc>
          <w:tcPr>
            <w:tcW w:type="dxa" w:w="6560"/>
            <w:vAlign w:val="center"/>
          </w:tcPr>
          <w:p>
            <w:r>
              <w:t>Lokal: data/zalando/zalando-se_annual-report-2025_eng_261003_s.pdf</w:t>
            </w:r>
          </w:p>
        </w:tc>
      </w:tr>
      <w:tr>
        <w:tc>
          <w:tcPr>
            <w:tcW w:type="dxa" w:w="2800"/>
            <w:vAlign w:val="center"/>
          </w:tcPr>
          <w:p>
            <w:r>
              <w:t>Zalando Sustainability</w:t>
            </w:r>
          </w:p>
        </w:tc>
        <w:tc>
          <w:tcPr>
            <w:tcW w:type="dxa" w:w="6560"/>
            <w:vAlign w:val="center"/>
          </w:tcPr>
          <w:p>
            <w:r>
              <w:t>https://corporate.zalando.com/en/sustainability</w:t>
            </w:r>
          </w:p>
        </w:tc>
      </w:tr>
      <w:tr>
        <w:tc>
          <w:tcPr>
            <w:tcW w:type="dxa" w:w="2800"/>
            <w:vAlign w:val="center"/>
          </w:tcPr>
          <w:p>
            <w:r>
              <w:t>Zalando ESG Reporting and Standards</w:t>
            </w:r>
          </w:p>
        </w:tc>
        <w:tc>
          <w:tcPr>
            <w:tcW w:type="dxa" w:w="6560"/>
            <w:vAlign w:val="center"/>
          </w:tcPr>
          <w:p>
            <w:r>
              <w:t>https://corporate.zalando.com/en/investor-relations/sustainable-investments/esg-reporting-and-standards</w:t>
            </w:r>
          </w:p>
        </w:tc>
      </w:tr>
      <w:tr>
        <w:tc>
          <w:tcPr>
            <w:tcW w:type="dxa" w:w="2800"/>
            <w:vAlign w:val="center"/>
          </w:tcPr>
          <w:p>
            <w:r>
              <w:t>Zalando Inclusive by Design</w:t>
            </w:r>
          </w:p>
        </w:tc>
        <w:tc>
          <w:tcPr>
            <w:tcW w:type="dxa" w:w="6560"/>
            <w:vAlign w:val="center"/>
          </w:tcPr>
          <w:p>
            <w:r>
              <w:t>https://corporate.zalando.com/en/people-planet/diversity-inclusion/our-strategy</w:t>
            </w:r>
          </w:p>
        </w:tc>
      </w:tr>
      <w:tr>
        <w:tc>
          <w:tcPr>
            <w:tcW w:type="dxa" w:w="2800"/>
            <w:vAlign w:val="center"/>
          </w:tcPr>
          <w:p>
            <w:r>
              <w:t>Zalando AGM 2026</w:t>
            </w:r>
          </w:p>
        </w:tc>
        <w:tc>
          <w:tcPr>
            <w:tcW w:type="dxa" w:w="6560"/>
            <w:vAlign w:val="center"/>
          </w:tcPr>
          <w:p>
            <w:r>
              <w:t>Lokal: data/zalando/zalando-se_agm-2026_1_einladung-2026.pdf</w:t>
            </w:r>
          </w:p>
        </w:tc>
      </w:tr>
      <w:tr>
        <w:tc>
          <w:tcPr>
            <w:tcW w:type="dxa" w:w="2800"/>
            <w:vAlign w:val="center"/>
          </w:tcPr>
          <w:p>
            <w:r>
              <w:t>Zalando DSA Risk Report 2025</w:t>
            </w:r>
          </w:p>
        </w:tc>
        <w:tc>
          <w:tcPr>
            <w:tcW w:type="dxa" w:w="6560"/>
            <w:vAlign w:val="center"/>
          </w:tcPr>
          <w:p>
            <w:r>
              <w:t>Lokal: data/zalando/Zalando SA Risk Report 2025.pdf</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Zalando ESG Report | Generated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