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/>
          <w:b/>
          <w:sz w:val="46"/>
        </w:rPr>
        <w:t>Generated vs. Actual ESG Report Analysis</w:t>
      </w:r>
    </w:p>
    <w:p>
      <w:pPr>
        <w:spacing w:after="280"/>
      </w:pPr>
      <w:r>
        <w:rPr>
          <w:rFonts w:ascii="Calibri" w:hAnsi="Calibri"/>
          <w:color w:val="4B5563"/>
          <w:sz w:val="24"/>
        </w:rPr>
        <w:t>LLM-style qualitative interpretation of Python text-analysis results for Amazon, Microsoft, SAP, and Zalando</w:t>
      </w:r>
    </w:p>
    <w:p>
      <w:pPr>
        <w:pStyle w:val="Heading1"/>
      </w:pPr>
      <w:r>
        <w:t>Executive Summary</w:t>
      </w:r>
    </w:p>
    <w:p>
      <w:r>
        <w:t>The generated ESG reports capture the broad E, S, and G structure of the official reports, but they are much shorter and therefore less granular. The official reports contain far more operational detail, framework-specific reporting language, quantified indicators, and company-specific disclosure boundaries. No automatically provable direct factual contradiction was detected from text metrics alone; the stronger finding is incompleteness and compression in the generated reports.</w:t>
      </w:r>
    </w:p>
    <w:p>
      <w:r>
        <w:t>The closest generated-vs-actual vocabulary match is Amazon by TF-IDF cosine similarity. The lowest match is SAP, suggesting that the generated report uses a more compressed or differently framed vocabulary than the official disclosure.</w:t>
      </w:r>
    </w:p>
    <w:p>
      <w:pPr>
        <w:pStyle w:val="Heading1"/>
      </w:pPr>
      <w:r>
        <w:t>Method</w:t>
      </w:r>
    </w:p>
    <w:p>
      <w:pPr>
        <w:pStyle w:val="ListBullet"/>
        <w:spacing w:after="80"/>
      </w:pPr>
      <w:r>
        <w:t>The generated DOCX reports were compared with the official PDF reports in reports/actual.</w:t>
      </w:r>
    </w:p>
    <w:p>
      <w:pPr>
        <w:pStyle w:val="ListBullet"/>
        <w:spacing w:after="80"/>
      </w:pPr>
      <w:r>
        <w:t>Python extracted text with python-docx and pypdf, then applied regex tokenization, stopword filtering, Counter term frequencies, ESG keyword lexicons, tone lexicons, TF-IDF cosine similarity, and Jaccard similarity.</w:t>
      </w:r>
    </w:p>
    <w:p>
      <w:pPr>
        <w:pStyle w:val="ListBullet"/>
        <w:spacing w:after="80"/>
      </w:pPr>
      <w:r>
        <w:t>The qualitative analysis below is LLM-style close reading guided by those metrics. It is not an external fact-check and does not replace source-by-source verification.</w:t>
      </w:r>
    </w:p>
    <w:p>
      <w:pPr>
        <w:pStyle w:val="Heading1"/>
      </w:pPr>
      <w:r>
        <w:t>Pairwise Comparison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W w:type="dxa" w:w="9360"/>
        <w:tblInd w:type="dxa" w:w="120"/>
      </w:tblPr>
      <w:tblGrid>
        <w:gridCol w:w="1440"/>
        <w:gridCol w:w="1680"/>
        <w:gridCol w:w="1440"/>
        <w:gridCol w:w="2520"/>
        <w:gridCol w:w="2280"/>
      </w:tblGrid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sz w:val="18"/>
              </w:rPr>
              <w:t>Company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680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sz w:val="18"/>
              </w:rPr>
              <w:t>TF-IDF cosine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sz w:val="18"/>
              </w:rPr>
              <w:t>Jaccard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520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sz w:val="18"/>
              </w:rPr>
              <w:t>Generated words as % of actual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280"/>
            <w:shd w:fill="F2F4F7"/>
          </w:tcPr>
          <w:p>
            <w:pPr>
              <w:spacing w:after="60"/>
            </w:pPr>
            <w:r>
              <w:rPr>
                <w:rFonts w:ascii="Calibri" w:hAnsi="Calibri"/>
                <w:b/>
                <w:sz w:val="18"/>
              </w:rPr>
              <w:t>Numeric density gap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Amazon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68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0.2964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0.0615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52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2.51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28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-8.09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Microsoft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68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0.292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0.0542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52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2.29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28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4.81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SAP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68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0.1147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0.034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52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236.73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28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-54.84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Zalando</w:t>
            </w:r>
          </w:p>
        </w:tc>
        <w:tc>
          <w:tcPr>
            <w:tcW w:type="dxa" w:w="1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68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0.2797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144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0.0548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52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0.86</w:t>
            </w:r>
          </w:p>
        </w:tc>
        <w:tc>
          <w:tcPr>
            <w:tcW w:type="dxa" w:w="22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tcW w:type="dxa" w:w="2280"/>
          </w:tcPr>
          <w:p>
            <w:pPr>
              <w:spacing w:after="60"/>
            </w:pPr>
            <w:r>
              <w:rPr>
                <w:rFonts w:ascii="Calibri" w:hAnsi="Calibri"/>
                <w:sz w:val="18"/>
              </w:rPr>
              <w:t>-0.35</w:t>
            </w:r>
          </w:p>
        </w:tc>
      </w:tr>
    </w:tbl>
    <w:p>
      <w:pPr>
        <w:pStyle w:val="Heading1"/>
      </w:pPr>
      <w:r>
        <w:t>Company Findings</w:t>
      </w:r>
    </w:p>
    <w:p>
      <w:pPr>
        <w:pStyle w:val="Heading2"/>
      </w:pPr>
      <w:r>
        <w:t>Amazon</w:t>
      </w:r>
    </w:p>
    <w:p>
      <w:r>
        <w:t>The generated report has 1,061 words versus 42,256 words in the official report (2.51% of official length). Its TF-IDF cosine similarity to the official report is 0.2964, and its Jaccard similarity is 0.0615.</w:t>
      </w:r>
    </w:p>
    <w:p>
      <w:r>
        <w:t>Specificity: the generated report has 43.36 numeric mentions per 1,000 words, while the official report has 51.45. If the generated density is higher, this usually reflects concise summarization rather than a fuller evidence base; the official report still contains more total evidence.</w:t>
      </w:r>
    </w:p>
    <w:p>
      <w:r>
        <w:t>Coverage: the generated report's strongest ESG pillar is Environmental, while the official report's strongest pillar is Environmental. The most prominent official-report terms that are less visible in the generated report include: products, energy, carbon, water, waste, employees, progress, supply.</w:t>
      </w:r>
    </w:p>
    <w:p>
      <w:r>
        <w:t>Framing: the generated risk-to-success ratio is 2.17, compared with 0.33 in the official report. A higher ratio indicates comparatively more attention to risks, constraints, controversies, or unresolved issues.</w:t>
      </w:r>
    </w:p>
    <w:p>
      <w:pPr>
        <w:pStyle w:val="ListBullet"/>
        <w:spacing w:after="80"/>
      </w:pPr>
      <w:r>
        <w:t>Likely missing depth: detailed operational metrics across logistics, packaging, renewable energy, safety, human rights, and supplier programs.</w:t>
      </w:r>
    </w:p>
    <w:p>
      <w:pPr>
        <w:pStyle w:val="ListBullet"/>
        <w:spacing w:after="80"/>
      </w:pPr>
      <w:r>
        <w:t>Potential tension: the generated report captures the ESG pillars but cannot match the official report's scale-specific operational evidence.</w:t>
      </w:r>
    </w:p>
    <w:p>
      <w:pPr>
        <w:pStyle w:val="Heading2"/>
      </w:pPr>
      <w:r>
        <w:t>Microsoft</w:t>
      </w:r>
    </w:p>
    <w:p>
      <w:r>
        <w:t>The generated report has 914 words versus 39,940 words in the official report (2.29% of official length). Its TF-IDF cosine similarity to the official report is 0.292, and its Jaccard similarity is 0.0542.</w:t>
      </w:r>
    </w:p>
    <w:p>
      <w:r>
        <w:t>Specificity: the generated report has 39.39 numeric mentions per 1,000 words, while the official report has 34.58. If the generated density is higher, this usually reflects concise summarization rather than a fuller evidence base; the official report still contains more total evidence.</w:t>
      </w:r>
    </w:p>
    <w:p>
      <w:r>
        <w:t>Coverage: the generated report's strongest ESG pillar is Social, while the official report's strongest pillar is Environmental. The most prominent official-report terms that are less visible in the generated report include: water, carbon, waste, global, energy, across, climate, new.</w:t>
      </w:r>
    </w:p>
    <w:p>
      <w:r>
        <w:t>Framing: the generated risk-to-success ratio is 2.2, compared with 0.28 in the official report. A higher ratio indicates comparatively more attention to risks, constraints, controversies, or unresolved issues.</w:t>
      </w:r>
    </w:p>
    <w:p>
      <w:pPr>
        <w:pStyle w:val="ListBullet"/>
        <w:spacing w:after="80"/>
      </w:pPr>
      <w:r>
        <w:t>Likely missing depth: detailed environmental accounting, data-center energy and water impacts, cloud/AI growth implications, and official impact-program evidence.</w:t>
      </w:r>
    </w:p>
    <w:p>
      <w:pPr>
        <w:pStyle w:val="ListBullet"/>
        <w:spacing w:after="80"/>
      </w:pPr>
      <w:r>
        <w:t>Potential tension: the generated report may describe responsible AI and climate goals, while the official reports provide more structured measurement boundaries.</w:t>
      </w:r>
    </w:p>
    <w:p>
      <w:pPr>
        <w:pStyle w:val="Heading2"/>
      </w:pPr>
      <w:r>
        <w:t>SAP</w:t>
      </w:r>
    </w:p>
    <w:p>
      <w:r>
        <w:t>The generated report has 883 words versus 373 words in the official report (236.73% of official length). Its TF-IDF cosine similarity to the official report is 0.1147, and its Jaccard similarity is 0.034.</w:t>
      </w:r>
    </w:p>
    <w:p>
      <w:r>
        <w:t>Specificity: the generated report has 57.76 numeric mentions per 1,000 words, while the official report has 112.6. If the generated density is higher, this usually reflects concise summarization rather than a fuller evidence base; the official report still contains more total evidence.</w:t>
      </w:r>
    </w:p>
    <w:p>
      <w:r>
        <w:t>Coverage: the generated report's strongest ESG pillar is Governance, while the official report's strongest pillar is Governance. The most prominent official-report terms that are less visible in the generated report include: ion, ainabili, sus, von, con, egic, execu, inves.</w:t>
      </w:r>
    </w:p>
    <w:p>
      <w:r>
        <w:t>Framing: the generated risk-to-success ratio is 0.9, compared with 0.0 in the official report. A higher ratio indicates comparatively more attention to risks, constraints, controversies, or unresolved issues.</w:t>
      </w:r>
    </w:p>
    <w:p>
      <w:pPr>
        <w:pStyle w:val="ListBullet"/>
        <w:spacing w:after="80"/>
      </w:pPr>
      <w:r>
        <w:t>Likely missing depth: framework language around integrated reporting, materiality, assurance, taxonomy, and process-level governance.</w:t>
      </w:r>
    </w:p>
    <w:p>
      <w:pPr>
        <w:pStyle w:val="ListBullet"/>
        <w:spacing w:after="80"/>
      </w:pPr>
      <w:r>
        <w:t>Potential tension: SAP's official reporting is highly structured and regulatory, while the generated report is a shorter ESG narrative.</w:t>
      </w:r>
    </w:p>
    <w:p>
      <w:pPr>
        <w:pStyle w:val="Heading2"/>
      </w:pPr>
      <w:r>
        <w:t>Zalando</w:t>
      </w:r>
    </w:p>
    <w:p>
      <w:r>
        <w:t>The generated report has 1,115 words versus 129,514 words in the official report (0.86% of official length). Its TF-IDF cosine similarity to the official report is 0.2797, and its Jaccard similarity is 0.0548.</w:t>
      </w:r>
    </w:p>
    <w:p>
      <w:r>
        <w:t>Specificity: the generated report has 98.65 numeric mentions per 1,000 words, while the official report has 99.0. If the generated density is higher, this usually reflects concise summarization rather than a fuller evidence base; the official report still contains more total evidence.</w:t>
      </w:r>
    </w:p>
    <w:p>
      <w:r>
        <w:t>Coverage: the generated report's strongest ESG pillar is Environmental, while the official report's strongest pillar is Governance. The most prominent official-report terms that are less visible in the generated report include: eur, board, management, lti, prior, supervisory, esrs, value.</w:t>
      </w:r>
    </w:p>
    <w:p>
      <w:r>
        <w:t>Framing: the generated risk-to-success ratio is 1.71, compared with 1.46 in the official report. A higher ratio indicates comparatively more attention to risks, constraints, controversies, or unresolved issues.</w:t>
      </w:r>
    </w:p>
    <w:p>
      <w:pPr>
        <w:pStyle w:val="ListBullet"/>
        <w:spacing w:after="80"/>
      </w:pPr>
      <w:r>
        <w:t>Likely missing depth: ESRS/CSRD disclosure structure, value-chain workers, supplier due diligence, product circularity, returns, and platform governance details.</w:t>
      </w:r>
    </w:p>
    <w:p>
      <w:pPr>
        <w:pStyle w:val="ListBullet"/>
        <w:spacing w:after="80"/>
      </w:pPr>
      <w:r>
        <w:t>Potential tension: the generated report covers fashion-relevant ESG topics but compresses the official CSRD-style disclosure architecture.</w:t>
      </w:r>
    </w:p>
    <w:p>
      <w:pPr>
        <w:pStyle w:val="Heading1"/>
      </w:pPr>
      <w:r>
        <w:t>Cross-Company Interpretation</w:t>
      </w:r>
    </w:p>
    <w:p>
      <w:pPr>
        <w:pStyle w:val="ListBullet"/>
        <w:spacing w:after="80"/>
      </w:pPr>
      <w:r>
        <w:t>The generated reports are useful as compact ESG syntheses, but official reports remain stronger for auditability, quantified detail, and disclosure-boundary precision.</w:t>
      </w:r>
    </w:p>
    <w:p>
      <w:pPr>
        <w:pStyle w:val="ListBullet"/>
        <w:spacing w:after="80"/>
      </w:pPr>
      <w:r>
        <w:t>Generated reports tend to normalize structure across companies. That supports comparison but can hide industry-specific reporting obligations and materiality differences.</w:t>
      </w:r>
    </w:p>
    <w:p>
      <w:pPr>
        <w:pStyle w:val="ListBullet"/>
        <w:spacing w:after="80"/>
      </w:pPr>
      <w:r>
        <w:t>Official reports are harder to summarize because they mix narrative, metrics, frameworks, risk language, and regulatory compliance tables.</w:t>
      </w:r>
    </w:p>
    <w:p>
      <w:pPr>
        <w:pStyle w:val="ListBullet"/>
        <w:spacing w:after="80"/>
      </w:pPr>
      <w:r>
        <w:t>The main economic intuition is that ESG disclosure is not only a statement of performance; it is also a governance and accountability mechanism shaped by regulation, stakeholder pressure, and sector-specific risk.</w:t>
      </w:r>
    </w:p>
    <w:p>
      <w:pPr>
        <w:pStyle w:val="Heading1"/>
      </w:pPr>
      <w:r>
        <w:t>Limitations</w:t>
      </w:r>
    </w:p>
    <w:p>
      <w:pPr>
        <w:pStyle w:val="ListBullet"/>
        <w:spacing w:after="80"/>
      </w:pPr>
      <w:r>
        <w:t>PDF text extraction may miss table structure, footnotes, charts, and page layout.</w:t>
      </w:r>
    </w:p>
    <w:p>
      <w:pPr>
        <w:pStyle w:val="ListBullet"/>
        <w:spacing w:after="80"/>
      </w:pPr>
      <w:r>
        <w:t>Keyword lexicons are transparent but imperfect; they cannot fully capture semantic meaning or source quality.</w:t>
      </w:r>
    </w:p>
    <w:p>
      <w:pPr>
        <w:pStyle w:val="ListBullet"/>
        <w:spacing w:after="80"/>
      </w:pPr>
      <w:r>
        <w:t>Similarity metrics are sensitive to report length, boilerplate, and framework vocabulary.</w:t>
      </w:r>
    </w:p>
    <w:p>
      <w:pPr>
        <w:pStyle w:val="ListBullet"/>
        <w:spacing w:after="80"/>
      </w:pPr>
      <w:r>
        <w:t>The LLM-style section is an interpretive close reading guided by metrics, not a verified factual audit against every source statement.</w:t>
      </w:r>
    </w:p>
    <w:p>
      <w:pPr>
        <w:pStyle w:val="Heading1"/>
      </w:pPr>
      <w:r>
        <w:t>Source Caveat</w:t>
      </w:r>
    </w:p>
    <w:p>
      <w:r>
        <w:t>Source caveat: the SAP actual benchmark file currently available in reports/actual contains 5 extracted PDF pages. SAP length, similarity, and density metrics therefore reflect that supplied benchmark file and should not be interpreted as a comparison against a full-length SAP sustainability or integrated report unless the source file is replaced.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8"/>
      </w:rPr>
      <w:t>Generated vs. actual ESG report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Generated vs. Actual ESG Report LLM-Style Analysis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