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0000"/>
          <w:sz w:val="46"/>
        </w:rPr>
        <w:t>LLM-Style Qualitative ESG Analysis</w:t>
      </w:r>
    </w:p>
    <w:p>
      <w:pPr>
        <w:spacing w:after="280"/>
      </w:pPr>
      <w:r>
        <w:rPr>
          <w:rFonts w:ascii="Calibri" w:hAnsi="Calibri"/>
          <w:color w:val="4B5563"/>
          <w:sz w:val="24"/>
        </w:rPr>
        <w:t>Amazon, Microsoft, SAP, and Zalando | Based on generated English ESG reports and Python text metrics</w:t>
      </w:r>
    </w:p>
    <w:p>
      <w:pPr>
        <w:spacing w:after="40"/>
      </w:pPr>
      <w:r>
        <w:rPr>
          <w:rFonts w:ascii="Calibri" w:hAnsi="Calibri"/>
          <w:b/>
          <w:sz w:val="21"/>
        </w:rPr>
        <w:t xml:space="preserve">Prepared for: </w:t>
      </w:r>
      <w:r>
        <w:rPr>
          <w:rFonts w:ascii="Calibri" w:hAnsi="Calibri"/>
          <w:sz w:val="21"/>
        </w:rPr>
        <w:t>Financial Data Analytics ESG report analysis</w:t>
      </w:r>
    </w:p>
    <w:p>
      <w:pPr>
        <w:spacing w:after="40"/>
      </w:pPr>
      <w:r>
        <w:rPr>
          <w:rFonts w:ascii="Calibri" w:hAnsi="Calibri"/>
          <w:b/>
          <w:sz w:val="21"/>
        </w:rPr>
        <w:t xml:space="preserve">Date: </w:t>
      </w:r>
      <w:r>
        <w:rPr>
          <w:rFonts w:ascii="Calibri" w:hAnsi="Calibri"/>
          <w:sz w:val="21"/>
        </w:rPr>
        <w:t>2026-07-11</w:t>
      </w:r>
    </w:p>
    <w:p>
      <w:pPr>
        <w:spacing w:after="40"/>
      </w:pPr>
      <w:r>
        <w:rPr>
          <w:rFonts w:ascii="Calibri" w:hAnsi="Calibri"/>
          <w:b/>
          <w:sz w:val="21"/>
        </w:rPr>
        <w:t xml:space="preserve">Method: </w:t>
      </w:r>
      <w:r>
        <w:rPr>
          <w:rFonts w:ascii="Calibri" w:hAnsi="Calibri"/>
          <w:sz w:val="21"/>
        </w:rPr>
        <w:t>Close reading plus reproducible Python text metrics</w:t>
      </w:r>
    </w:p>
    <w:p>
      <w:pPr>
        <w:pStyle w:val="Heading1"/>
      </w:pPr>
      <w:r>
        <w:t>Executive Summary</w:t>
      </w:r>
    </w:p>
    <w:p>
      <w:r>
        <w:t>No hard internal factual contradiction was detected inside the four generated report texts. The stronger finding is that each report contains strategic ESG tensions: ambitious climate or governance claims are often paired with business growth, supply-chain complexity, regulatory exposure, or still-developing evidence. Those tensions should be discussed explicitly in the final analytical write-up rather than treated as failures of the reports.</w:t>
      </w:r>
    </w:p>
    <w:p>
      <w:r>
        <w:t>The highest density of numeric evidence appears in the Zalando report, followed by SAP. The highest risk-to-success tone ratio appears in the Microsoft report, which means that report gives comparatively more textual space to risks, constraints, controversies, or unresolved issues.</w:t>
      </w:r>
    </w:p>
    <w:p>
      <w:pPr>
        <w:pStyle w:val="Heading1"/>
      </w:pPr>
      <w:r>
        <w:t>Method</w:t>
      </w:r>
    </w:p>
    <w:p>
      <w:pPr>
        <w:pStyle w:val="ListBullet"/>
        <w:spacing w:after="80" w:line="280" w:lineRule="auto"/>
      </w:pPr>
      <w:r>
        <w:rPr>
          <w:rFonts w:ascii="Calibri" w:hAnsi="Calibri"/>
          <w:sz w:val="21"/>
        </w:rPr>
        <w:t>Classical text metrics: word count, sentence count, average sentence length, unique terms, lexical diversity, and numeric evidence density.</w:t>
      </w:r>
    </w:p>
    <w:p>
      <w:pPr>
        <w:pStyle w:val="ListBullet"/>
        <w:spacing w:after="80" w:line="280" w:lineRule="auto"/>
      </w:pPr>
      <w:r>
        <w:rPr>
          <w:rFonts w:ascii="Calibri" w:hAnsi="Calibri"/>
          <w:sz w:val="21"/>
        </w:rPr>
        <w:t>Thematic coverage: transparent E, S, and G keyword lexicons counted against the report text.</w:t>
      </w:r>
    </w:p>
    <w:p>
      <w:pPr>
        <w:pStyle w:val="ListBullet"/>
        <w:spacing w:after="80" w:line="280" w:lineRule="auto"/>
      </w:pPr>
      <w:r>
        <w:rPr>
          <w:rFonts w:ascii="Calibri" w:hAnsi="Calibri"/>
          <w:sz w:val="21"/>
        </w:rPr>
        <w:t>Tone analysis: lexicon counts for success language, risk language, controversy language, and future targets or tradeoffs.</w:t>
      </w:r>
    </w:p>
    <w:p>
      <w:pPr>
        <w:pStyle w:val="ListBullet"/>
        <w:spacing w:after="80" w:line="280" w:lineRule="auto"/>
      </w:pPr>
      <w:r>
        <w:rPr>
          <w:rFonts w:ascii="Calibri" w:hAnsi="Calibri"/>
          <w:sz w:val="21"/>
        </w:rPr>
        <w:t>Similarity analysis: manual TF-IDF cosine similarity and Jaccard similarity on cleaned report tokens.</w:t>
      </w:r>
    </w:p>
    <w:p>
      <w:pPr>
        <w:pStyle w:val="ListBullet"/>
        <w:spacing w:after="80" w:line="280" w:lineRule="auto"/>
      </w:pPr>
      <w:r>
        <w:rPr>
          <w:rFonts w:ascii="Calibri" w:hAnsi="Calibri"/>
          <w:sz w:val="21"/>
        </w:rPr>
        <w:t>Qualitative LLM-style review: close reading of the generated reports guided by the quantitative indicators. No external factual verification or external LLM API call is implied by this document.</w:t>
      </w:r>
    </w:p>
    <w:p>
      <w:pPr>
        <w:pStyle w:val="Heading1"/>
      </w:pPr>
      <w:r>
        <w:t>Comparative Metrics</w:t>
      </w:r>
    </w:p>
    <w:tbl>
      <w:tblPr>
        <w:tblStyle w:val="TableGrid"/>
        <w:tblW w:type="dxa" w:w="9360"/>
        <w:jc w:val="left"/>
        <w:tblLayout w:type="fixed"/>
        <w:tblLook w:firstColumn="1" w:firstRow="1" w:lastColumn="0" w:lastRow="0" w:noHBand="0" w:noVBand="1" w:val="04A0"/>
        <w:tblInd w:type="dxa" w:w="120"/>
      </w:tblPr>
      <w:tblGrid>
        <w:gridCol w:w="1440"/>
        <w:gridCol w:w="1080"/>
        <w:gridCol w:w="1080"/>
        <w:gridCol w:w="1440"/>
        <w:gridCol w:w="1680"/>
        <w:gridCol w:w="2640"/>
      </w:tblGrid>
      <w:tr>
        <w:tc>
          <w:tcPr>
            <w:tcW w:type="dxa" w:w="1440"/>
            <w:vAlign w:val="center"/>
            <w:tcMar>
              <w:top w:w="80" w:type="dxa"/>
              <w:start w:w="120" w:type="dxa"/>
              <w:bottom w:w="80" w:type="dxa"/>
              <w:end w:w="120" w:type="dxa"/>
            </w:tcMar>
            <w:shd w:fill="F2F4F7"/>
          </w:tcPr>
          <w:p>
            <w:pPr>
              <w:spacing w:after="60" w:line="264" w:lineRule="auto"/>
            </w:pPr>
            <w:r>
              <w:rPr>
                <w:rFonts w:ascii="Calibri" w:hAnsi="Calibri"/>
                <w:b/>
                <w:sz w:val="19"/>
              </w:rPr>
              <w:t>Company</w:t>
            </w:r>
          </w:p>
        </w:tc>
        <w:tc>
          <w:tcPr>
            <w:tcW w:type="dxa" w:w="1080"/>
            <w:vAlign w:val="center"/>
            <w:tcMar>
              <w:top w:w="80" w:type="dxa"/>
              <w:start w:w="120" w:type="dxa"/>
              <w:bottom w:w="80" w:type="dxa"/>
              <w:end w:w="120" w:type="dxa"/>
            </w:tcMar>
            <w:shd w:fill="F2F4F7"/>
          </w:tcPr>
          <w:p>
            <w:pPr>
              <w:spacing w:after="60" w:line="264" w:lineRule="auto"/>
            </w:pPr>
            <w:r>
              <w:rPr>
                <w:rFonts w:ascii="Calibri" w:hAnsi="Calibri"/>
                <w:b/>
                <w:sz w:val="19"/>
              </w:rPr>
              <w:t>Words</w:t>
            </w:r>
          </w:p>
        </w:tc>
        <w:tc>
          <w:tcPr>
            <w:tcW w:type="dxa" w:w="1080"/>
            <w:vAlign w:val="center"/>
            <w:tcMar>
              <w:top w:w="80" w:type="dxa"/>
              <w:start w:w="120" w:type="dxa"/>
              <w:bottom w:w="80" w:type="dxa"/>
              <w:end w:w="120" w:type="dxa"/>
            </w:tcMar>
            <w:shd w:fill="F2F4F7"/>
          </w:tcPr>
          <w:p>
            <w:pPr>
              <w:spacing w:after="60" w:line="264" w:lineRule="auto"/>
            </w:pPr>
            <w:r>
              <w:rPr>
                <w:rFonts w:ascii="Calibri" w:hAnsi="Calibri"/>
                <w:b/>
                <w:sz w:val="19"/>
              </w:rPr>
              <w:t>Sentences</w:t>
            </w:r>
          </w:p>
        </w:tc>
        <w:tc>
          <w:tcPr>
            <w:tcW w:type="dxa" w:w="1440"/>
            <w:vAlign w:val="center"/>
            <w:tcMar>
              <w:top w:w="80" w:type="dxa"/>
              <w:start w:w="120" w:type="dxa"/>
              <w:bottom w:w="80" w:type="dxa"/>
              <w:end w:w="120" w:type="dxa"/>
            </w:tcMar>
            <w:shd w:fill="F2F4F7"/>
          </w:tcPr>
          <w:p>
            <w:pPr>
              <w:spacing w:after="60" w:line="264" w:lineRule="auto"/>
            </w:pPr>
            <w:r>
              <w:rPr>
                <w:rFonts w:ascii="Calibri" w:hAnsi="Calibri"/>
                <w:b/>
                <w:sz w:val="19"/>
              </w:rPr>
              <w:t>Avg. sentence</w:t>
            </w:r>
          </w:p>
        </w:tc>
        <w:tc>
          <w:tcPr>
            <w:tcW w:type="dxa" w:w="1680"/>
            <w:vAlign w:val="center"/>
            <w:tcMar>
              <w:top w:w="80" w:type="dxa"/>
              <w:start w:w="120" w:type="dxa"/>
              <w:bottom w:w="80" w:type="dxa"/>
              <w:end w:w="120" w:type="dxa"/>
            </w:tcMar>
            <w:shd w:fill="F2F4F7"/>
          </w:tcPr>
          <w:p>
            <w:pPr>
              <w:spacing w:after="60" w:line="264" w:lineRule="auto"/>
            </w:pPr>
            <w:r>
              <w:rPr>
                <w:rFonts w:ascii="Calibri" w:hAnsi="Calibri"/>
                <w:b/>
                <w:sz w:val="19"/>
              </w:rPr>
              <w:t>Numeric / 1k words</w:t>
            </w:r>
          </w:p>
        </w:tc>
        <w:tc>
          <w:tcPr>
            <w:tcW w:type="dxa" w:w="2640"/>
            <w:vAlign w:val="center"/>
            <w:tcMar>
              <w:top w:w="80" w:type="dxa"/>
              <w:start w:w="120" w:type="dxa"/>
              <w:bottom w:w="80" w:type="dxa"/>
              <w:end w:w="120" w:type="dxa"/>
            </w:tcMar>
            <w:shd w:fill="F2F4F7"/>
          </w:tcPr>
          <w:p>
            <w:pPr>
              <w:spacing w:after="60" w:line="264" w:lineRule="auto"/>
            </w:pPr>
            <w:r>
              <w:rPr>
                <w:rFonts w:ascii="Calibri" w:hAnsi="Calibri"/>
                <w:b/>
                <w:sz w:val="19"/>
              </w:rPr>
              <w:t>Strongest ESG pillar</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Amazon</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1061</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62</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17.11</w:t>
            </w:r>
          </w:p>
        </w:tc>
        <w:tc>
          <w:tcPr>
            <w:tcW w:type="dxa" w:w="1680"/>
            <w:vAlign w:val="center"/>
            <w:tcMar>
              <w:top w:w="80" w:type="dxa"/>
              <w:start w:w="120" w:type="dxa"/>
              <w:bottom w:w="80" w:type="dxa"/>
              <w:end w:w="120" w:type="dxa"/>
            </w:tcMar>
          </w:tcPr>
          <w:p>
            <w:pPr>
              <w:spacing w:after="60" w:line="264" w:lineRule="auto"/>
            </w:pPr>
            <w:r>
              <w:rPr>
                <w:rFonts w:ascii="Calibri" w:hAnsi="Calibri"/>
                <w:sz w:val="18"/>
              </w:rPr>
              <w:t>43.36</w:t>
            </w:r>
          </w:p>
        </w:tc>
        <w:tc>
          <w:tcPr>
            <w:tcW w:type="dxa" w:w="2640"/>
            <w:vAlign w:val="center"/>
            <w:tcMar>
              <w:top w:w="80" w:type="dxa"/>
              <w:start w:w="120" w:type="dxa"/>
              <w:bottom w:w="80" w:type="dxa"/>
              <w:end w:w="120" w:type="dxa"/>
            </w:tcMar>
          </w:tcPr>
          <w:p>
            <w:pPr>
              <w:spacing w:after="60" w:line="264" w:lineRule="auto"/>
            </w:pPr>
            <w:r>
              <w:rPr>
                <w:rFonts w:ascii="Calibri" w:hAnsi="Calibri"/>
                <w:sz w:val="18"/>
              </w:rPr>
              <w:t>Environmental</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Microsoft</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914</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54</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16.93</w:t>
            </w:r>
          </w:p>
        </w:tc>
        <w:tc>
          <w:tcPr>
            <w:tcW w:type="dxa" w:w="1680"/>
            <w:vAlign w:val="center"/>
            <w:tcMar>
              <w:top w:w="80" w:type="dxa"/>
              <w:start w:w="120" w:type="dxa"/>
              <w:bottom w:w="80" w:type="dxa"/>
              <w:end w:w="120" w:type="dxa"/>
            </w:tcMar>
          </w:tcPr>
          <w:p>
            <w:pPr>
              <w:spacing w:after="60" w:line="264" w:lineRule="auto"/>
            </w:pPr>
            <w:r>
              <w:rPr>
                <w:rFonts w:ascii="Calibri" w:hAnsi="Calibri"/>
                <w:sz w:val="18"/>
              </w:rPr>
              <w:t>39.39</w:t>
            </w:r>
          </w:p>
        </w:tc>
        <w:tc>
          <w:tcPr>
            <w:tcW w:type="dxa" w:w="2640"/>
            <w:vAlign w:val="center"/>
            <w:tcMar>
              <w:top w:w="80" w:type="dxa"/>
              <w:start w:w="120" w:type="dxa"/>
              <w:bottom w:w="80" w:type="dxa"/>
              <w:end w:w="120" w:type="dxa"/>
            </w:tcMar>
          </w:tcPr>
          <w:p>
            <w:pPr>
              <w:spacing w:after="60" w:line="264" w:lineRule="auto"/>
            </w:pPr>
            <w:r>
              <w:rPr>
                <w:rFonts w:ascii="Calibri" w:hAnsi="Calibri"/>
                <w:sz w:val="18"/>
              </w:rPr>
              <w:t>Social</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SAP</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883</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53</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16.66</w:t>
            </w:r>
          </w:p>
        </w:tc>
        <w:tc>
          <w:tcPr>
            <w:tcW w:type="dxa" w:w="1680"/>
            <w:vAlign w:val="center"/>
            <w:tcMar>
              <w:top w:w="80" w:type="dxa"/>
              <w:start w:w="120" w:type="dxa"/>
              <w:bottom w:w="80" w:type="dxa"/>
              <w:end w:w="120" w:type="dxa"/>
            </w:tcMar>
          </w:tcPr>
          <w:p>
            <w:pPr>
              <w:spacing w:after="60" w:line="264" w:lineRule="auto"/>
            </w:pPr>
            <w:r>
              <w:rPr>
                <w:rFonts w:ascii="Calibri" w:hAnsi="Calibri"/>
                <w:sz w:val="18"/>
              </w:rPr>
              <w:t>57.76</w:t>
            </w:r>
          </w:p>
        </w:tc>
        <w:tc>
          <w:tcPr>
            <w:tcW w:type="dxa" w:w="2640"/>
            <w:vAlign w:val="center"/>
            <w:tcMar>
              <w:top w:w="80" w:type="dxa"/>
              <w:start w:w="120" w:type="dxa"/>
              <w:bottom w:w="80" w:type="dxa"/>
              <w:end w:w="120" w:type="dxa"/>
            </w:tcMar>
          </w:tcPr>
          <w:p>
            <w:pPr>
              <w:spacing w:after="60" w:line="264" w:lineRule="auto"/>
            </w:pPr>
            <w:r>
              <w:rPr>
                <w:rFonts w:ascii="Calibri" w:hAnsi="Calibri"/>
                <w:sz w:val="18"/>
              </w:rPr>
              <w:t>Environmental</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Zalando</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1115</w:t>
            </w:r>
          </w:p>
        </w:tc>
        <w:tc>
          <w:tcPr>
            <w:tcW w:type="dxa" w:w="1080"/>
            <w:vAlign w:val="center"/>
            <w:tcMar>
              <w:top w:w="80" w:type="dxa"/>
              <w:start w:w="120" w:type="dxa"/>
              <w:bottom w:w="80" w:type="dxa"/>
              <w:end w:w="120" w:type="dxa"/>
            </w:tcMar>
          </w:tcPr>
          <w:p>
            <w:pPr>
              <w:spacing w:after="60" w:line="264" w:lineRule="auto"/>
            </w:pPr>
            <w:r>
              <w:rPr>
                <w:rFonts w:ascii="Calibri" w:hAnsi="Calibri"/>
                <w:sz w:val="18"/>
              </w:rPr>
              <w:t>67</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16.64</w:t>
            </w:r>
          </w:p>
        </w:tc>
        <w:tc>
          <w:tcPr>
            <w:tcW w:type="dxa" w:w="1680"/>
            <w:vAlign w:val="center"/>
            <w:tcMar>
              <w:top w:w="80" w:type="dxa"/>
              <w:start w:w="120" w:type="dxa"/>
              <w:bottom w:w="80" w:type="dxa"/>
              <w:end w:w="120" w:type="dxa"/>
            </w:tcMar>
          </w:tcPr>
          <w:p>
            <w:pPr>
              <w:spacing w:after="60" w:line="264" w:lineRule="auto"/>
            </w:pPr>
            <w:r>
              <w:rPr>
                <w:rFonts w:ascii="Calibri" w:hAnsi="Calibri"/>
                <w:sz w:val="18"/>
              </w:rPr>
              <w:t>98.65</w:t>
            </w:r>
          </w:p>
        </w:tc>
        <w:tc>
          <w:tcPr>
            <w:tcW w:type="dxa" w:w="2640"/>
            <w:vAlign w:val="center"/>
            <w:tcMar>
              <w:top w:w="80" w:type="dxa"/>
              <w:start w:w="120" w:type="dxa"/>
              <w:bottom w:w="80" w:type="dxa"/>
              <w:end w:w="120" w:type="dxa"/>
            </w:tcMar>
          </w:tcPr>
          <w:p>
            <w:pPr>
              <w:spacing w:after="60" w:line="264" w:lineRule="auto"/>
            </w:pPr>
            <w:r>
              <w:rPr>
                <w:rFonts w:ascii="Calibri" w:hAnsi="Calibri"/>
                <w:sz w:val="18"/>
              </w:rPr>
              <w:t>Environmental</w:t>
            </w:r>
          </w:p>
        </w:tc>
      </w:tr>
    </w:tbl>
    <w:p>
      <w:pPr>
        <w:pStyle w:val="Heading1"/>
      </w:pPr>
      <w:r>
        <w:t>Factual Contradictions and Tensions</w:t>
      </w:r>
    </w:p>
    <w:p>
      <w:r>
        <w:t>The reports do not present obvious direct contradictions such as a target being both achieved and missed in the same text. However, they do contain material tensions that are important for interpretation.</w:t>
      </w:r>
    </w:p>
    <w:tbl>
      <w:tblPr>
        <w:tblStyle w:val="TableGrid"/>
        <w:tblW w:type="dxa" w:w="9360"/>
        <w:jc w:val="left"/>
        <w:tblLayout w:type="fixed"/>
        <w:tblLook w:firstColumn="1" w:firstRow="1" w:lastColumn="0" w:lastRow="0" w:noHBand="0" w:noVBand="1" w:val="04A0"/>
        <w:tblInd w:type="dxa" w:w="120"/>
      </w:tblPr>
      <w:tblGrid>
        <w:gridCol w:w="1200"/>
        <w:gridCol w:w="2280"/>
        <w:gridCol w:w="5880"/>
      </w:tblGrid>
      <w:tr>
        <w:tc>
          <w:tcPr>
            <w:tcW w:type="dxa" w:w="1200"/>
            <w:vAlign w:val="center"/>
            <w:tcMar>
              <w:top w:w="80" w:type="dxa"/>
              <w:start w:w="120" w:type="dxa"/>
              <w:bottom w:w="80" w:type="dxa"/>
              <w:end w:w="120" w:type="dxa"/>
            </w:tcMar>
            <w:shd w:fill="F2F4F7"/>
          </w:tcPr>
          <w:p>
            <w:pPr>
              <w:spacing w:after="60" w:line="264" w:lineRule="auto"/>
            </w:pPr>
            <w:r>
              <w:rPr>
                <w:rFonts w:ascii="Calibri" w:hAnsi="Calibri"/>
                <w:b/>
                <w:sz w:val="19"/>
              </w:rPr>
              <w:t>Company</w:t>
            </w:r>
          </w:p>
        </w:tc>
        <w:tc>
          <w:tcPr>
            <w:tcW w:type="dxa" w:w="2280"/>
            <w:vAlign w:val="center"/>
            <w:tcMar>
              <w:top w:w="80" w:type="dxa"/>
              <w:start w:w="120" w:type="dxa"/>
              <w:bottom w:w="80" w:type="dxa"/>
              <w:end w:w="120" w:type="dxa"/>
            </w:tcMar>
            <w:shd w:fill="F2F4F7"/>
          </w:tcPr>
          <w:p>
            <w:pPr>
              <w:spacing w:after="60" w:line="264" w:lineRule="auto"/>
            </w:pPr>
            <w:r>
              <w:rPr>
                <w:rFonts w:ascii="Calibri" w:hAnsi="Calibri"/>
                <w:b/>
                <w:sz w:val="19"/>
              </w:rPr>
              <w:t>Detected contradiction</w:t>
            </w:r>
          </w:p>
        </w:tc>
        <w:tc>
          <w:tcPr>
            <w:tcW w:type="dxa" w:w="5880"/>
            <w:vAlign w:val="center"/>
            <w:tcMar>
              <w:top w:w="80" w:type="dxa"/>
              <w:start w:w="120" w:type="dxa"/>
              <w:bottom w:w="80" w:type="dxa"/>
              <w:end w:w="120" w:type="dxa"/>
            </w:tcMar>
            <w:shd w:fill="F2F4F7"/>
          </w:tcPr>
          <w:p>
            <w:pPr>
              <w:spacing w:after="60" w:line="264" w:lineRule="auto"/>
            </w:pPr>
            <w:r>
              <w:rPr>
                <w:rFonts w:ascii="Calibri" w:hAnsi="Calibri"/>
                <w:b/>
                <w:sz w:val="19"/>
              </w:rPr>
              <w:t>Material tension to discuss</w:t>
            </w:r>
          </w:p>
        </w:tc>
      </w:tr>
      <w:tr>
        <w:tc>
          <w:tcPr>
            <w:tcW w:type="dxa" w:w="1200"/>
            <w:vAlign w:val="center"/>
            <w:tcMar>
              <w:top w:w="80" w:type="dxa"/>
              <w:start w:w="120" w:type="dxa"/>
              <w:bottom w:w="80" w:type="dxa"/>
              <w:end w:w="120" w:type="dxa"/>
            </w:tcMar>
          </w:tcPr>
          <w:p>
            <w:pPr>
              <w:spacing w:after="60" w:line="264" w:lineRule="auto"/>
            </w:pPr>
            <w:r>
              <w:rPr>
                <w:rFonts w:ascii="Calibri" w:hAnsi="Calibri"/>
                <w:sz w:val="18"/>
              </w:rPr>
              <w:t>Amazon</w:t>
            </w:r>
          </w:p>
        </w:tc>
        <w:tc>
          <w:tcPr>
            <w:tcW w:type="dxa" w:w="2280"/>
            <w:vAlign w:val="center"/>
            <w:tcMar>
              <w:top w:w="80" w:type="dxa"/>
              <w:start w:w="120" w:type="dxa"/>
              <w:bottom w:w="80" w:type="dxa"/>
              <w:end w:w="120" w:type="dxa"/>
            </w:tcMar>
          </w:tcPr>
          <w:p>
            <w:pPr>
              <w:spacing w:after="60" w:line="264" w:lineRule="auto"/>
            </w:pPr>
            <w:r>
              <w:rPr>
                <w:rFonts w:ascii="Calibri" w:hAnsi="Calibri"/>
                <w:sz w:val="18"/>
              </w:rPr>
              <w:t>No direct internal contradiction detected.</w:t>
            </w:r>
          </w:p>
        </w:tc>
        <w:tc>
          <w:tcPr>
            <w:tcW w:type="dxa" w:w="5880"/>
            <w:vAlign w:val="center"/>
            <w:tcMar>
              <w:top w:w="80" w:type="dxa"/>
              <w:start w:w="120" w:type="dxa"/>
              <w:bottom w:w="80" w:type="dxa"/>
              <w:end w:w="120" w:type="dxa"/>
            </w:tcMar>
          </w:tcPr>
          <w:p>
            <w:pPr>
              <w:spacing w:after="60" w:line="264" w:lineRule="auto"/>
            </w:pPr>
            <w:r>
              <w:rPr>
                <w:rFonts w:ascii="Calibri" w:hAnsi="Calibri"/>
                <w:sz w:val="18"/>
              </w:rPr>
              <w:t>Climate and renewable-energy progress is presented alongside the structural footprint of retail logistics, cloud infrastructure growth, packaging, and supplier emissions.</w:t>
            </w:r>
          </w:p>
        </w:tc>
      </w:tr>
      <w:tr>
        <w:tc>
          <w:tcPr>
            <w:tcW w:type="dxa" w:w="1200"/>
            <w:vAlign w:val="center"/>
            <w:tcMar>
              <w:top w:w="80" w:type="dxa"/>
              <w:start w:w="120" w:type="dxa"/>
              <w:bottom w:w="80" w:type="dxa"/>
              <w:end w:w="120" w:type="dxa"/>
            </w:tcMar>
          </w:tcPr>
          <w:p>
            <w:pPr>
              <w:spacing w:after="60" w:line="264" w:lineRule="auto"/>
            </w:pPr>
            <w:r>
              <w:rPr>
                <w:rFonts w:ascii="Calibri" w:hAnsi="Calibri"/>
                <w:sz w:val="18"/>
              </w:rPr>
              <w:t>Microsoft</w:t>
            </w:r>
          </w:p>
        </w:tc>
        <w:tc>
          <w:tcPr>
            <w:tcW w:type="dxa" w:w="2280"/>
            <w:vAlign w:val="center"/>
            <w:tcMar>
              <w:top w:w="80" w:type="dxa"/>
              <w:start w:w="120" w:type="dxa"/>
              <w:bottom w:w="80" w:type="dxa"/>
              <w:end w:w="120" w:type="dxa"/>
            </w:tcMar>
          </w:tcPr>
          <w:p>
            <w:pPr>
              <w:spacing w:after="60" w:line="264" w:lineRule="auto"/>
            </w:pPr>
            <w:r>
              <w:rPr>
                <w:rFonts w:ascii="Calibri" w:hAnsi="Calibri"/>
                <w:sz w:val="18"/>
              </w:rPr>
              <w:t>No direct internal contradiction detected.</w:t>
            </w:r>
          </w:p>
        </w:tc>
        <w:tc>
          <w:tcPr>
            <w:tcW w:type="dxa" w:w="5880"/>
            <w:vAlign w:val="center"/>
            <w:tcMar>
              <w:top w:w="80" w:type="dxa"/>
              <w:start w:w="120" w:type="dxa"/>
              <w:bottom w:w="80" w:type="dxa"/>
              <w:end w:w="120" w:type="dxa"/>
            </w:tcMar>
          </w:tcPr>
          <w:p>
            <w:pPr>
              <w:spacing w:after="60" w:line="264" w:lineRule="auto"/>
            </w:pPr>
            <w:r>
              <w:rPr>
                <w:rFonts w:ascii="Calibri" w:hAnsi="Calibri"/>
                <w:sz w:val="18"/>
              </w:rPr>
              <w:t>AI and cloud expansion can increase energy and water pressure while the report also emphasizes carbon-negative and responsible-AI commitments.</w:t>
            </w:r>
          </w:p>
        </w:tc>
      </w:tr>
      <w:tr>
        <w:tc>
          <w:tcPr>
            <w:tcW w:type="dxa" w:w="1200"/>
            <w:vAlign w:val="center"/>
            <w:tcMar>
              <w:top w:w="80" w:type="dxa"/>
              <w:start w:w="120" w:type="dxa"/>
              <w:bottom w:w="80" w:type="dxa"/>
              <w:end w:w="120" w:type="dxa"/>
            </w:tcMar>
          </w:tcPr>
          <w:p>
            <w:pPr>
              <w:spacing w:after="60" w:line="264" w:lineRule="auto"/>
            </w:pPr>
            <w:r>
              <w:rPr>
                <w:rFonts w:ascii="Calibri" w:hAnsi="Calibri"/>
                <w:sz w:val="18"/>
              </w:rPr>
              <w:t>SAP</w:t>
            </w:r>
          </w:p>
        </w:tc>
        <w:tc>
          <w:tcPr>
            <w:tcW w:type="dxa" w:w="2280"/>
            <w:vAlign w:val="center"/>
            <w:tcMar>
              <w:top w:w="80" w:type="dxa"/>
              <w:start w:w="120" w:type="dxa"/>
              <w:bottom w:w="80" w:type="dxa"/>
              <w:end w:w="120" w:type="dxa"/>
            </w:tcMar>
          </w:tcPr>
          <w:p>
            <w:pPr>
              <w:spacing w:after="60" w:line="264" w:lineRule="auto"/>
            </w:pPr>
            <w:r>
              <w:rPr>
                <w:rFonts w:ascii="Calibri" w:hAnsi="Calibri"/>
                <w:sz w:val="18"/>
              </w:rPr>
              <w:t>No direct internal contradiction detected.</w:t>
            </w:r>
          </w:p>
        </w:tc>
        <w:tc>
          <w:tcPr>
            <w:tcW w:type="dxa" w:w="5880"/>
            <w:vAlign w:val="center"/>
            <w:tcMar>
              <w:top w:w="80" w:type="dxa"/>
              <w:start w:w="120" w:type="dxa"/>
              <w:bottom w:w="80" w:type="dxa"/>
              <w:end w:w="120" w:type="dxa"/>
            </w:tcMar>
          </w:tcPr>
          <w:p>
            <w:pPr>
              <w:spacing w:after="60" w:line="264" w:lineRule="auto"/>
            </w:pPr>
            <w:r>
              <w:rPr>
                <w:rFonts w:ascii="Calibri" w:hAnsi="Calibri"/>
                <w:sz w:val="18"/>
              </w:rPr>
              <w:t>The report has strong governance and CSRD-style structure, but SAP's environmental impact depends partly on customer use, partner infrastructure, and Scope 3 methodology choices.</w:t>
            </w:r>
          </w:p>
        </w:tc>
      </w:tr>
      <w:tr>
        <w:tc>
          <w:tcPr>
            <w:tcW w:type="dxa" w:w="1200"/>
            <w:vAlign w:val="center"/>
            <w:tcMar>
              <w:top w:w="80" w:type="dxa"/>
              <w:start w:w="120" w:type="dxa"/>
              <w:bottom w:w="80" w:type="dxa"/>
              <w:end w:w="120" w:type="dxa"/>
            </w:tcMar>
          </w:tcPr>
          <w:p>
            <w:pPr>
              <w:spacing w:after="60" w:line="264" w:lineRule="auto"/>
            </w:pPr>
            <w:r>
              <w:rPr>
                <w:rFonts w:ascii="Calibri" w:hAnsi="Calibri"/>
                <w:sz w:val="18"/>
              </w:rPr>
              <w:t>Zalando</w:t>
            </w:r>
          </w:p>
        </w:tc>
        <w:tc>
          <w:tcPr>
            <w:tcW w:type="dxa" w:w="2280"/>
            <w:vAlign w:val="center"/>
            <w:tcMar>
              <w:top w:w="80" w:type="dxa"/>
              <w:start w:w="120" w:type="dxa"/>
              <w:bottom w:w="80" w:type="dxa"/>
              <w:end w:w="120" w:type="dxa"/>
            </w:tcMar>
          </w:tcPr>
          <w:p>
            <w:pPr>
              <w:spacing w:after="60" w:line="264" w:lineRule="auto"/>
            </w:pPr>
            <w:r>
              <w:rPr>
                <w:rFonts w:ascii="Calibri" w:hAnsi="Calibri"/>
                <w:sz w:val="18"/>
              </w:rPr>
              <w:t>No direct internal contradiction detected.</w:t>
            </w:r>
          </w:p>
        </w:tc>
        <w:tc>
          <w:tcPr>
            <w:tcW w:type="dxa" w:w="5880"/>
            <w:vAlign w:val="center"/>
            <w:tcMar>
              <w:top w:w="80" w:type="dxa"/>
              <w:start w:w="120" w:type="dxa"/>
              <w:bottom w:w="80" w:type="dxa"/>
              <w:end w:w="120" w:type="dxa"/>
            </w:tcMar>
          </w:tcPr>
          <w:p>
            <w:pPr>
              <w:spacing w:after="60" w:line="264" w:lineRule="auto"/>
            </w:pPr>
            <w:r>
              <w:rPr>
                <w:rFonts w:ascii="Calibri" w:hAnsi="Calibri"/>
                <w:sz w:val="18"/>
              </w:rPr>
              <w:t>Marketplace growth, returns, packaging, supplier standards, and the ABOUT YOU integration create data and execution tensions around Scope 3 and social due diligence.</w:t>
            </w:r>
          </w:p>
        </w:tc>
      </w:tr>
    </w:tbl>
    <w:p>
      <w:pPr>
        <w:pStyle w:val="Heading1"/>
      </w:pPr>
      <w:r>
        <w:t>Missing or Underdeveloped Themes</w:t>
      </w:r>
    </w:p>
    <w:tbl>
      <w:tblPr>
        <w:tblStyle w:val="TableGrid"/>
        <w:tblW w:type="dxa" w:w="9360"/>
        <w:jc w:val="left"/>
        <w:tblLayout w:type="fixed"/>
        <w:tblLook w:firstColumn="1" w:firstRow="1" w:lastColumn="0" w:lastRow="0" w:noHBand="0" w:noVBand="1" w:val="04A0"/>
        <w:tblInd w:type="dxa" w:w="120"/>
      </w:tblPr>
      <w:tblGrid>
        <w:gridCol w:w="1440"/>
        <w:gridCol w:w="7920"/>
      </w:tblGrid>
      <w:tr>
        <w:tc>
          <w:tcPr>
            <w:tcW w:type="dxa" w:w="1440"/>
            <w:vAlign w:val="center"/>
            <w:tcMar>
              <w:top w:w="80" w:type="dxa"/>
              <w:start w:w="120" w:type="dxa"/>
              <w:bottom w:w="80" w:type="dxa"/>
              <w:end w:w="120" w:type="dxa"/>
            </w:tcMar>
            <w:shd w:fill="F2F4F7"/>
          </w:tcPr>
          <w:p>
            <w:pPr>
              <w:spacing w:after="60" w:line="264" w:lineRule="auto"/>
            </w:pPr>
            <w:r>
              <w:rPr>
                <w:rFonts w:ascii="Calibri" w:hAnsi="Calibri"/>
                <w:b/>
                <w:sz w:val="19"/>
              </w:rPr>
              <w:t>Company</w:t>
            </w:r>
          </w:p>
        </w:tc>
        <w:tc>
          <w:tcPr>
            <w:tcW w:type="dxa" w:w="7920"/>
            <w:vAlign w:val="center"/>
            <w:tcMar>
              <w:top w:w="80" w:type="dxa"/>
              <w:start w:w="120" w:type="dxa"/>
              <w:bottom w:w="80" w:type="dxa"/>
              <w:end w:w="120" w:type="dxa"/>
            </w:tcMar>
            <w:shd w:fill="F2F4F7"/>
          </w:tcPr>
          <w:p>
            <w:pPr>
              <w:spacing w:after="60" w:line="264" w:lineRule="auto"/>
            </w:pPr>
            <w:r>
              <w:rPr>
                <w:rFonts w:ascii="Calibri" w:hAnsi="Calibri"/>
                <w:b/>
                <w:sz w:val="19"/>
              </w:rPr>
              <w:t>Themes that would strengthen the report</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Amazon</w:t>
            </w:r>
          </w:p>
        </w:tc>
        <w:tc>
          <w:tcPr>
            <w:tcW w:type="dxa" w:w="7920"/>
            <w:vAlign w:val="center"/>
            <w:tcMar>
              <w:top w:w="80" w:type="dxa"/>
              <w:start w:w="120" w:type="dxa"/>
              <w:bottom w:w="80" w:type="dxa"/>
              <w:end w:w="120" w:type="dxa"/>
            </w:tcMar>
          </w:tcPr>
          <w:p>
            <w:pPr>
              <w:spacing w:after="60" w:line="264" w:lineRule="auto"/>
            </w:pPr>
            <w:r>
              <w:rPr>
                <w:rFonts w:ascii="Calibri" w:hAnsi="Calibri"/>
                <w:sz w:val="18"/>
              </w:rPr>
              <w:t>More regional water-stress detail, labor-relations outcomes, supplier audit outcomes, fulfillment-center safety trends, and AI incident metrics.</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Microsoft</w:t>
            </w:r>
          </w:p>
        </w:tc>
        <w:tc>
          <w:tcPr>
            <w:tcW w:type="dxa" w:w="7920"/>
            <w:vAlign w:val="center"/>
            <w:tcMar>
              <w:top w:w="80" w:type="dxa"/>
              <w:start w:w="120" w:type="dxa"/>
              <w:bottom w:w="80" w:type="dxa"/>
              <w:end w:w="120" w:type="dxa"/>
            </w:tcMar>
          </w:tcPr>
          <w:p>
            <w:pPr>
              <w:spacing w:after="60" w:line="264" w:lineRule="auto"/>
            </w:pPr>
            <w:r>
              <w:rPr>
                <w:rFonts w:ascii="Calibri" w:hAnsi="Calibri"/>
                <w:sz w:val="18"/>
              </w:rPr>
              <w:t>More explicit post-AI environmental trajectory, regional water impacts, hardware supply-chain impacts, AI harm incident metrics, and stronger links between policy and measured outcomes.</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SAP</w:t>
            </w:r>
          </w:p>
        </w:tc>
        <w:tc>
          <w:tcPr>
            <w:tcW w:type="dxa" w:w="7920"/>
            <w:vAlign w:val="center"/>
            <w:tcMar>
              <w:top w:w="80" w:type="dxa"/>
              <w:start w:w="120" w:type="dxa"/>
              <w:bottom w:w="80" w:type="dxa"/>
              <w:end w:w="120" w:type="dxa"/>
            </w:tcMar>
          </w:tcPr>
          <w:p>
            <w:pPr>
              <w:spacing w:after="60" w:line="264" w:lineRule="auto"/>
            </w:pPr>
            <w:r>
              <w:rPr>
                <w:rFonts w:ascii="Calibri" w:hAnsi="Calibri"/>
                <w:sz w:val="18"/>
              </w:rPr>
              <w:t>More detail on customer-use emissions methodology, cloud-provider dependencies, external assurance boundaries, D&amp;I outcome depth, and quantified supplier due-diligence results.</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Zalando</w:t>
            </w:r>
          </w:p>
        </w:tc>
        <w:tc>
          <w:tcPr>
            <w:tcW w:type="dxa" w:w="7920"/>
            <w:vAlign w:val="center"/>
            <w:tcMar>
              <w:top w:w="80" w:type="dxa"/>
              <w:start w:w="120" w:type="dxa"/>
              <w:bottom w:w="80" w:type="dxa"/>
              <w:end w:w="120" w:type="dxa"/>
            </w:tcMar>
          </w:tcPr>
          <w:p>
            <w:pPr>
              <w:spacing w:after="60" w:line="264" w:lineRule="auto"/>
            </w:pPr>
            <w:r>
              <w:rPr>
                <w:rFonts w:ascii="Calibri" w:hAnsi="Calibri"/>
                <w:sz w:val="18"/>
              </w:rPr>
              <w:t>More granular supplier wage and purchasing-practice evidence, returns emissions, product circularity outcomes, DSA/privacy incident metrics, and ABOUT YOU integration KPIs.</w:t>
            </w:r>
          </w:p>
        </w:tc>
      </w:tr>
    </w:tbl>
    <w:p>
      <w:pPr>
        <w:pStyle w:val="Heading1"/>
      </w:pPr>
      <w:r>
        <w:t>Specificity and Numerical Evidence</w:t>
      </w:r>
    </w:p>
    <w:p>
      <w:r>
        <w:t>Specificity was approximated through numeric mentions per 1,000 words and through the presence of concrete ESG topic vocabulary. By this proxy, Zalando is the most numerically dense report and Microsoft is the least numerically dense. This does not automatically mean the most numeric report is the best report, but it is usually easier to audit because claims are more anchored in dates, targets, counts, percentages, or measured outcomes.</w:t>
      </w:r>
    </w:p>
    <w:tbl>
      <w:tblPr>
        <w:tblStyle w:val="TableGrid"/>
        <w:tblW w:type="dxa" w:w="9360"/>
        <w:jc w:val="left"/>
        <w:tblLayout w:type="fixed"/>
        <w:tblLook w:firstColumn="1" w:firstRow="1" w:lastColumn="0" w:lastRow="0" w:noHBand="0" w:noVBand="1" w:val="04A0"/>
        <w:tblInd w:type="dxa" w:w="120"/>
      </w:tblPr>
      <w:tblGrid>
        <w:gridCol w:w="720"/>
        <w:gridCol w:w="1440"/>
        <w:gridCol w:w="2160"/>
        <w:gridCol w:w="5040"/>
      </w:tblGrid>
      <w:tr>
        <w:tc>
          <w:tcPr>
            <w:tcW w:type="dxa" w:w="720"/>
            <w:vAlign w:val="center"/>
            <w:tcMar>
              <w:top w:w="80" w:type="dxa"/>
              <w:start w:w="120" w:type="dxa"/>
              <w:bottom w:w="80" w:type="dxa"/>
              <w:end w:w="120" w:type="dxa"/>
            </w:tcMar>
            <w:shd w:fill="F2F4F7"/>
          </w:tcPr>
          <w:p>
            <w:pPr>
              <w:spacing w:after="60" w:line="264" w:lineRule="auto"/>
            </w:pPr>
            <w:r>
              <w:rPr>
                <w:rFonts w:ascii="Calibri" w:hAnsi="Calibri"/>
                <w:b/>
                <w:sz w:val="19"/>
              </w:rPr>
              <w:t>Rank</w:t>
            </w:r>
          </w:p>
        </w:tc>
        <w:tc>
          <w:tcPr>
            <w:tcW w:type="dxa" w:w="1440"/>
            <w:vAlign w:val="center"/>
            <w:tcMar>
              <w:top w:w="80" w:type="dxa"/>
              <w:start w:w="120" w:type="dxa"/>
              <w:bottom w:w="80" w:type="dxa"/>
              <w:end w:w="120" w:type="dxa"/>
            </w:tcMar>
            <w:shd w:fill="F2F4F7"/>
          </w:tcPr>
          <w:p>
            <w:pPr>
              <w:spacing w:after="60" w:line="264" w:lineRule="auto"/>
            </w:pPr>
            <w:r>
              <w:rPr>
                <w:rFonts w:ascii="Calibri" w:hAnsi="Calibri"/>
                <w:b/>
                <w:sz w:val="19"/>
              </w:rPr>
              <w:t>Company</w:t>
            </w:r>
          </w:p>
        </w:tc>
        <w:tc>
          <w:tcPr>
            <w:tcW w:type="dxa" w:w="2160"/>
            <w:vAlign w:val="center"/>
            <w:tcMar>
              <w:top w:w="80" w:type="dxa"/>
              <w:start w:w="120" w:type="dxa"/>
              <w:bottom w:w="80" w:type="dxa"/>
              <w:end w:w="120" w:type="dxa"/>
            </w:tcMar>
            <w:shd w:fill="F2F4F7"/>
          </w:tcPr>
          <w:p>
            <w:pPr>
              <w:spacing w:after="60" w:line="264" w:lineRule="auto"/>
            </w:pPr>
            <w:r>
              <w:rPr>
                <w:rFonts w:ascii="Calibri" w:hAnsi="Calibri"/>
                <w:b/>
                <w:sz w:val="19"/>
              </w:rPr>
              <w:t>Numeric mentions / 1k words</w:t>
            </w:r>
          </w:p>
        </w:tc>
        <w:tc>
          <w:tcPr>
            <w:tcW w:type="dxa" w:w="5040"/>
            <w:vAlign w:val="center"/>
            <w:tcMar>
              <w:top w:w="80" w:type="dxa"/>
              <w:start w:w="120" w:type="dxa"/>
              <w:bottom w:w="80" w:type="dxa"/>
              <w:end w:w="120" w:type="dxa"/>
            </w:tcMar>
            <w:shd w:fill="F2F4F7"/>
          </w:tcPr>
          <w:p>
            <w:pPr>
              <w:spacing w:after="60" w:line="264" w:lineRule="auto"/>
            </w:pPr>
            <w:r>
              <w:rPr>
                <w:rFonts w:ascii="Calibri" w:hAnsi="Calibri"/>
                <w:b/>
                <w:sz w:val="19"/>
              </w:rPr>
              <w:t>Interpretation</w:t>
            </w:r>
          </w:p>
        </w:tc>
      </w:tr>
      <w:tr>
        <w:tc>
          <w:tcPr>
            <w:tcW w:type="dxa" w:w="720"/>
            <w:vAlign w:val="center"/>
            <w:tcMar>
              <w:top w:w="80" w:type="dxa"/>
              <w:start w:w="120" w:type="dxa"/>
              <w:bottom w:w="80" w:type="dxa"/>
              <w:end w:w="120" w:type="dxa"/>
            </w:tcMar>
          </w:tcPr>
          <w:p>
            <w:pPr>
              <w:spacing w:after="60" w:line="264" w:lineRule="auto"/>
            </w:pPr>
            <w:r>
              <w:rPr>
                <w:rFonts w:ascii="Calibri" w:hAnsi="Calibri"/>
                <w:sz w:val="18"/>
              </w:rPr>
              <w:t>1</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Zalando</w:t>
            </w:r>
          </w:p>
        </w:tc>
        <w:tc>
          <w:tcPr>
            <w:tcW w:type="dxa" w:w="2160"/>
            <w:vAlign w:val="center"/>
            <w:tcMar>
              <w:top w:w="80" w:type="dxa"/>
              <w:start w:w="120" w:type="dxa"/>
              <w:bottom w:w="80" w:type="dxa"/>
              <w:end w:w="120" w:type="dxa"/>
            </w:tcMar>
          </w:tcPr>
          <w:p>
            <w:pPr>
              <w:spacing w:after="60" w:line="264" w:lineRule="auto"/>
            </w:pPr>
            <w:r>
              <w:rPr>
                <w:rFonts w:ascii="Calibri" w:hAnsi="Calibri"/>
                <w:sz w:val="18"/>
              </w:rPr>
              <w:t>98.65</w:t>
            </w:r>
          </w:p>
        </w:tc>
        <w:tc>
          <w:tcPr>
            <w:tcW w:type="dxa" w:w="5040"/>
            <w:vAlign w:val="center"/>
            <w:tcMar>
              <w:top w:w="80" w:type="dxa"/>
              <w:start w:w="120" w:type="dxa"/>
              <w:bottom w:w="80" w:type="dxa"/>
              <w:end w:w="120" w:type="dxa"/>
            </w:tcMar>
          </w:tcPr>
          <w:p>
            <w:pPr>
              <w:spacing w:after="60" w:line="264" w:lineRule="auto"/>
            </w:pPr>
            <w:r>
              <w:rPr>
                <w:rFonts w:ascii="Calibri" w:hAnsi="Calibri"/>
                <w:sz w:val="18"/>
              </w:rPr>
              <w:t>Most measurement-oriented wording; strongest evidence density.</w:t>
            </w:r>
          </w:p>
        </w:tc>
      </w:tr>
      <w:tr>
        <w:tc>
          <w:tcPr>
            <w:tcW w:type="dxa" w:w="720"/>
            <w:vAlign w:val="center"/>
            <w:tcMar>
              <w:top w:w="80" w:type="dxa"/>
              <w:start w:w="120" w:type="dxa"/>
              <w:bottom w:w="80" w:type="dxa"/>
              <w:end w:w="120" w:type="dxa"/>
            </w:tcMar>
          </w:tcPr>
          <w:p>
            <w:pPr>
              <w:spacing w:after="60" w:line="264" w:lineRule="auto"/>
            </w:pPr>
            <w:r>
              <w:rPr>
                <w:rFonts w:ascii="Calibri" w:hAnsi="Calibri"/>
                <w:sz w:val="18"/>
              </w:rPr>
              <w:t>2</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SAP</w:t>
            </w:r>
          </w:p>
        </w:tc>
        <w:tc>
          <w:tcPr>
            <w:tcW w:type="dxa" w:w="2160"/>
            <w:vAlign w:val="center"/>
            <w:tcMar>
              <w:top w:w="80" w:type="dxa"/>
              <w:start w:w="120" w:type="dxa"/>
              <w:bottom w:w="80" w:type="dxa"/>
              <w:end w:w="120" w:type="dxa"/>
            </w:tcMar>
          </w:tcPr>
          <w:p>
            <w:pPr>
              <w:spacing w:after="60" w:line="264" w:lineRule="auto"/>
            </w:pPr>
            <w:r>
              <w:rPr>
                <w:rFonts w:ascii="Calibri" w:hAnsi="Calibri"/>
                <w:sz w:val="18"/>
              </w:rPr>
              <w:t>57.76</w:t>
            </w:r>
          </w:p>
        </w:tc>
        <w:tc>
          <w:tcPr>
            <w:tcW w:type="dxa" w:w="5040"/>
            <w:vAlign w:val="center"/>
            <w:tcMar>
              <w:top w:w="80" w:type="dxa"/>
              <w:start w:w="120" w:type="dxa"/>
              <w:bottom w:w="80" w:type="dxa"/>
              <w:end w:w="120" w:type="dxa"/>
            </w:tcMar>
          </w:tcPr>
          <w:p>
            <w:pPr>
              <w:spacing w:after="60" w:line="264" w:lineRule="auto"/>
            </w:pPr>
            <w:r>
              <w:rPr>
                <w:rFonts w:ascii="Calibri" w:hAnsi="Calibri"/>
                <w:sz w:val="18"/>
              </w:rPr>
              <w:t>Moderate evidence density; mix of targets, programs, and measured indicators.</w:t>
            </w:r>
          </w:p>
        </w:tc>
      </w:tr>
      <w:tr>
        <w:tc>
          <w:tcPr>
            <w:tcW w:type="dxa" w:w="720"/>
            <w:vAlign w:val="center"/>
            <w:tcMar>
              <w:top w:w="80" w:type="dxa"/>
              <w:start w:w="120" w:type="dxa"/>
              <w:bottom w:w="80" w:type="dxa"/>
              <w:end w:w="120" w:type="dxa"/>
            </w:tcMar>
          </w:tcPr>
          <w:p>
            <w:pPr>
              <w:spacing w:after="60" w:line="264" w:lineRule="auto"/>
            </w:pPr>
            <w:r>
              <w:rPr>
                <w:rFonts w:ascii="Calibri" w:hAnsi="Calibri"/>
                <w:sz w:val="18"/>
              </w:rPr>
              <w:t>3</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Amazon</w:t>
            </w:r>
          </w:p>
        </w:tc>
        <w:tc>
          <w:tcPr>
            <w:tcW w:type="dxa" w:w="2160"/>
            <w:vAlign w:val="center"/>
            <w:tcMar>
              <w:top w:w="80" w:type="dxa"/>
              <w:start w:w="120" w:type="dxa"/>
              <w:bottom w:w="80" w:type="dxa"/>
              <w:end w:w="120" w:type="dxa"/>
            </w:tcMar>
          </w:tcPr>
          <w:p>
            <w:pPr>
              <w:spacing w:after="60" w:line="264" w:lineRule="auto"/>
            </w:pPr>
            <w:r>
              <w:rPr>
                <w:rFonts w:ascii="Calibri" w:hAnsi="Calibri"/>
                <w:sz w:val="18"/>
              </w:rPr>
              <w:t>43.36</w:t>
            </w:r>
          </w:p>
        </w:tc>
        <w:tc>
          <w:tcPr>
            <w:tcW w:type="dxa" w:w="5040"/>
            <w:vAlign w:val="center"/>
            <w:tcMar>
              <w:top w:w="80" w:type="dxa"/>
              <w:start w:w="120" w:type="dxa"/>
              <w:bottom w:w="80" w:type="dxa"/>
              <w:end w:w="120" w:type="dxa"/>
            </w:tcMar>
          </w:tcPr>
          <w:p>
            <w:pPr>
              <w:spacing w:after="60" w:line="264" w:lineRule="auto"/>
            </w:pPr>
            <w:r>
              <w:rPr>
                <w:rFonts w:ascii="Calibri" w:hAnsi="Calibri"/>
                <w:sz w:val="18"/>
              </w:rPr>
              <w:t>Moderate evidence density; mix of targets, programs, and measured indicators.</w:t>
            </w:r>
          </w:p>
        </w:tc>
      </w:tr>
      <w:tr>
        <w:tc>
          <w:tcPr>
            <w:tcW w:type="dxa" w:w="720"/>
            <w:vAlign w:val="center"/>
            <w:tcMar>
              <w:top w:w="80" w:type="dxa"/>
              <w:start w:w="120" w:type="dxa"/>
              <w:bottom w:w="80" w:type="dxa"/>
              <w:end w:w="120" w:type="dxa"/>
            </w:tcMar>
          </w:tcPr>
          <w:p>
            <w:pPr>
              <w:spacing w:after="60" w:line="264" w:lineRule="auto"/>
            </w:pPr>
            <w:r>
              <w:rPr>
                <w:rFonts w:ascii="Calibri" w:hAnsi="Calibri"/>
                <w:sz w:val="18"/>
              </w:rPr>
              <w:t>4</w:t>
            </w:r>
          </w:p>
        </w:tc>
        <w:tc>
          <w:tcPr>
            <w:tcW w:type="dxa" w:w="1440"/>
            <w:vAlign w:val="center"/>
            <w:tcMar>
              <w:top w:w="80" w:type="dxa"/>
              <w:start w:w="120" w:type="dxa"/>
              <w:bottom w:w="80" w:type="dxa"/>
              <w:end w:w="120" w:type="dxa"/>
            </w:tcMar>
          </w:tcPr>
          <w:p>
            <w:pPr>
              <w:spacing w:after="60" w:line="264" w:lineRule="auto"/>
            </w:pPr>
            <w:r>
              <w:rPr>
                <w:rFonts w:ascii="Calibri" w:hAnsi="Calibri"/>
                <w:sz w:val="18"/>
              </w:rPr>
              <w:t>Microsoft</w:t>
            </w:r>
          </w:p>
        </w:tc>
        <w:tc>
          <w:tcPr>
            <w:tcW w:type="dxa" w:w="2160"/>
            <w:vAlign w:val="center"/>
            <w:tcMar>
              <w:top w:w="80" w:type="dxa"/>
              <w:start w:w="120" w:type="dxa"/>
              <w:bottom w:w="80" w:type="dxa"/>
              <w:end w:w="120" w:type="dxa"/>
            </w:tcMar>
          </w:tcPr>
          <w:p>
            <w:pPr>
              <w:spacing w:after="60" w:line="264" w:lineRule="auto"/>
            </w:pPr>
            <w:r>
              <w:rPr>
                <w:rFonts w:ascii="Calibri" w:hAnsi="Calibri"/>
                <w:sz w:val="18"/>
              </w:rPr>
              <w:t>39.39</w:t>
            </w:r>
          </w:p>
        </w:tc>
        <w:tc>
          <w:tcPr>
            <w:tcW w:type="dxa" w:w="5040"/>
            <w:vAlign w:val="center"/>
            <w:tcMar>
              <w:top w:w="80" w:type="dxa"/>
              <w:start w:w="120" w:type="dxa"/>
              <w:bottom w:w="80" w:type="dxa"/>
              <w:end w:w="120" w:type="dxa"/>
            </w:tcMar>
          </w:tcPr>
          <w:p>
            <w:pPr>
              <w:spacing w:after="60" w:line="264" w:lineRule="auto"/>
            </w:pPr>
            <w:r>
              <w:rPr>
                <w:rFonts w:ascii="Calibri" w:hAnsi="Calibri"/>
                <w:sz w:val="18"/>
              </w:rPr>
              <w:t>More qualitative wording; would benefit from more quantified outcome evidence.</w:t>
            </w:r>
          </w:p>
        </w:tc>
      </w:tr>
    </w:tbl>
    <w:p>
      <w:pPr>
        <w:pStyle w:val="Heading1"/>
      </w:pPr>
      <w:r>
        <w:t>Success, Risk, Controversy, and Target Conflicts</w:t>
      </w:r>
    </w:p>
    <w:tbl>
      <w:tblPr>
        <w:tblStyle w:val="TableGrid"/>
        <w:tblW w:type="dxa" w:w="9360"/>
        <w:jc w:val="left"/>
        <w:tblLayout w:type="fixed"/>
        <w:tblLook w:firstColumn="1" w:firstRow="1" w:lastColumn="0" w:lastRow="0" w:noHBand="0" w:noVBand="1" w:val="04A0"/>
        <w:tblInd w:type="dxa" w:w="120"/>
      </w:tblPr>
      <w:tblGrid>
        <w:gridCol w:w="1440"/>
        <w:gridCol w:w="1320"/>
        <w:gridCol w:w="1200"/>
        <w:gridCol w:w="1560"/>
        <w:gridCol w:w="2040"/>
        <w:gridCol w:w="1800"/>
      </w:tblGrid>
      <w:tr>
        <w:tc>
          <w:tcPr>
            <w:tcW w:type="dxa" w:w="1440"/>
            <w:vAlign w:val="center"/>
            <w:tcMar>
              <w:top w:w="80" w:type="dxa"/>
              <w:start w:w="120" w:type="dxa"/>
              <w:bottom w:w="80" w:type="dxa"/>
              <w:end w:w="120" w:type="dxa"/>
            </w:tcMar>
            <w:shd w:fill="F2F4F7"/>
          </w:tcPr>
          <w:p>
            <w:pPr>
              <w:spacing w:after="60" w:line="264" w:lineRule="auto"/>
            </w:pPr>
            <w:r>
              <w:rPr>
                <w:rFonts w:ascii="Calibri" w:hAnsi="Calibri"/>
                <w:b/>
                <w:sz w:val="19"/>
              </w:rPr>
              <w:t>Company</w:t>
            </w:r>
          </w:p>
        </w:tc>
        <w:tc>
          <w:tcPr>
            <w:tcW w:type="dxa" w:w="1320"/>
            <w:vAlign w:val="center"/>
            <w:tcMar>
              <w:top w:w="80" w:type="dxa"/>
              <w:start w:w="120" w:type="dxa"/>
              <w:bottom w:w="80" w:type="dxa"/>
              <w:end w:w="120" w:type="dxa"/>
            </w:tcMar>
            <w:shd w:fill="F2F4F7"/>
          </w:tcPr>
          <w:p>
            <w:pPr>
              <w:spacing w:after="60" w:line="264" w:lineRule="auto"/>
            </w:pPr>
            <w:r>
              <w:rPr>
                <w:rFonts w:ascii="Calibri" w:hAnsi="Calibri"/>
                <w:b/>
                <w:sz w:val="19"/>
              </w:rPr>
              <w:t>Success hits</w:t>
            </w:r>
          </w:p>
        </w:tc>
        <w:tc>
          <w:tcPr>
            <w:tcW w:type="dxa" w:w="1200"/>
            <w:vAlign w:val="center"/>
            <w:tcMar>
              <w:top w:w="80" w:type="dxa"/>
              <w:start w:w="120" w:type="dxa"/>
              <w:bottom w:w="80" w:type="dxa"/>
              <w:end w:w="120" w:type="dxa"/>
            </w:tcMar>
            <w:shd w:fill="F2F4F7"/>
          </w:tcPr>
          <w:p>
            <w:pPr>
              <w:spacing w:after="60" w:line="264" w:lineRule="auto"/>
            </w:pPr>
            <w:r>
              <w:rPr>
                <w:rFonts w:ascii="Calibri" w:hAnsi="Calibri"/>
                <w:b/>
                <w:sz w:val="19"/>
              </w:rPr>
              <w:t>Risk hits</w:t>
            </w:r>
          </w:p>
        </w:tc>
        <w:tc>
          <w:tcPr>
            <w:tcW w:type="dxa" w:w="1560"/>
            <w:vAlign w:val="center"/>
            <w:tcMar>
              <w:top w:w="80" w:type="dxa"/>
              <w:start w:w="120" w:type="dxa"/>
              <w:bottom w:w="80" w:type="dxa"/>
              <w:end w:w="120" w:type="dxa"/>
            </w:tcMar>
            <w:shd w:fill="F2F4F7"/>
          </w:tcPr>
          <w:p>
            <w:pPr>
              <w:spacing w:after="60" w:line="264" w:lineRule="auto"/>
            </w:pPr>
            <w:r>
              <w:rPr>
                <w:rFonts w:ascii="Calibri" w:hAnsi="Calibri"/>
                <w:b/>
                <w:sz w:val="19"/>
              </w:rPr>
              <w:t>Controversy hits</w:t>
            </w:r>
          </w:p>
        </w:tc>
        <w:tc>
          <w:tcPr>
            <w:tcW w:type="dxa" w:w="2040"/>
            <w:vAlign w:val="center"/>
            <w:tcMar>
              <w:top w:w="80" w:type="dxa"/>
              <w:start w:w="120" w:type="dxa"/>
              <w:bottom w:w="80" w:type="dxa"/>
              <w:end w:w="120" w:type="dxa"/>
            </w:tcMar>
            <w:shd w:fill="F2F4F7"/>
          </w:tcPr>
          <w:p>
            <w:pPr>
              <w:spacing w:after="60" w:line="264" w:lineRule="auto"/>
            </w:pPr>
            <w:r>
              <w:rPr>
                <w:rFonts w:ascii="Calibri" w:hAnsi="Calibri"/>
                <w:b/>
                <w:sz w:val="19"/>
              </w:rPr>
              <w:t>Targets/tradeoffs</w:t>
            </w:r>
          </w:p>
        </w:tc>
        <w:tc>
          <w:tcPr>
            <w:tcW w:type="dxa" w:w="1800"/>
            <w:vAlign w:val="center"/>
            <w:tcMar>
              <w:top w:w="80" w:type="dxa"/>
              <w:start w:w="120" w:type="dxa"/>
              <w:bottom w:w="80" w:type="dxa"/>
              <w:end w:w="120" w:type="dxa"/>
            </w:tcMar>
            <w:shd w:fill="F2F4F7"/>
          </w:tcPr>
          <w:p>
            <w:pPr>
              <w:spacing w:after="60" w:line="264" w:lineRule="auto"/>
            </w:pPr>
            <w:r>
              <w:rPr>
                <w:rFonts w:ascii="Calibri" w:hAnsi="Calibri"/>
                <w:b/>
                <w:sz w:val="19"/>
              </w:rPr>
              <w:t>Risk / success</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Amazon</w:t>
            </w:r>
          </w:p>
        </w:tc>
        <w:tc>
          <w:tcPr>
            <w:tcW w:type="dxa" w:w="1320"/>
            <w:vAlign w:val="center"/>
            <w:tcMar>
              <w:top w:w="80" w:type="dxa"/>
              <w:start w:w="120" w:type="dxa"/>
              <w:bottom w:w="80" w:type="dxa"/>
              <w:end w:w="120" w:type="dxa"/>
            </w:tcMar>
          </w:tcPr>
          <w:p>
            <w:pPr>
              <w:spacing w:after="60" w:line="264" w:lineRule="auto"/>
            </w:pPr>
            <w:r>
              <w:rPr>
                <w:rFonts w:ascii="Calibri" w:hAnsi="Calibri"/>
                <w:sz w:val="18"/>
              </w:rPr>
              <w:t>6</w:t>
            </w:r>
          </w:p>
        </w:tc>
        <w:tc>
          <w:tcPr>
            <w:tcW w:type="dxa" w:w="1200"/>
            <w:vAlign w:val="center"/>
            <w:tcMar>
              <w:top w:w="80" w:type="dxa"/>
              <w:start w:w="120" w:type="dxa"/>
              <w:bottom w:w="80" w:type="dxa"/>
              <w:end w:w="120" w:type="dxa"/>
            </w:tcMar>
          </w:tcPr>
          <w:p>
            <w:pPr>
              <w:spacing w:after="60" w:line="264" w:lineRule="auto"/>
            </w:pPr>
            <w:r>
              <w:rPr>
                <w:rFonts w:ascii="Calibri" w:hAnsi="Calibri"/>
                <w:sz w:val="18"/>
              </w:rPr>
              <w:t>13</w:t>
            </w:r>
          </w:p>
        </w:tc>
        <w:tc>
          <w:tcPr>
            <w:tcW w:type="dxa" w:w="1560"/>
            <w:vAlign w:val="center"/>
            <w:tcMar>
              <w:top w:w="80" w:type="dxa"/>
              <w:start w:w="120" w:type="dxa"/>
              <w:bottom w:w="80" w:type="dxa"/>
              <w:end w:w="120" w:type="dxa"/>
            </w:tcMar>
          </w:tcPr>
          <w:p>
            <w:pPr>
              <w:spacing w:after="60" w:line="264" w:lineRule="auto"/>
            </w:pPr>
            <w:r>
              <w:rPr>
                <w:rFonts w:ascii="Calibri" w:hAnsi="Calibri"/>
                <w:sz w:val="18"/>
              </w:rPr>
              <w:t>6</w:t>
            </w:r>
          </w:p>
        </w:tc>
        <w:tc>
          <w:tcPr>
            <w:tcW w:type="dxa" w:w="2040"/>
            <w:vAlign w:val="center"/>
            <w:tcMar>
              <w:top w:w="80" w:type="dxa"/>
              <w:start w:w="120" w:type="dxa"/>
              <w:bottom w:w="80" w:type="dxa"/>
              <w:end w:w="120" w:type="dxa"/>
            </w:tcMar>
          </w:tcPr>
          <w:p>
            <w:pPr>
              <w:spacing w:after="60" w:line="264" w:lineRule="auto"/>
            </w:pPr>
            <w:r>
              <w:rPr>
                <w:rFonts w:ascii="Calibri" w:hAnsi="Calibri"/>
                <w:sz w:val="18"/>
              </w:rPr>
              <w:t>7</w:t>
            </w:r>
          </w:p>
        </w:tc>
        <w:tc>
          <w:tcPr>
            <w:tcW w:type="dxa" w:w="1800"/>
            <w:vAlign w:val="center"/>
            <w:tcMar>
              <w:top w:w="80" w:type="dxa"/>
              <w:start w:w="120" w:type="dxa"/>
              <w:bottom w:w="80" w:type="dxa"/>
              <w:end w:w="120" w:type="dxa"/>
            </w:tcMar>
          </w:tcPr>
          <w:p>
            <w:pPr>
              <w:spacing w:after="60" w:line="264" w:lineRule="auto"/>
            </w:pPr>
            <w:r>
              <w:rPr>
                <w:rFonts w:ascii="Calibri" w:hAnsi="Calibri"/>
                <w:sz w:val="18"/>
              </w:rPr>
              <w:t>2.17</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Microsoft</w:t>
            </w:r>
          </w:p>
        </w:tc>
        <w:tc>
          <w:tcPr>
            <w:tcW w:type="dxa" w:w="1320"/>
            <w:vAlign w:val="center"/>
            <w:tcMar>
              <w:top w:w="80" w:type="dxa"/>
              <w:start w:w="120" w:type="dxa"/>
              <w:bottom w:w="80" w:type="dxa"/>
              <w:end w:w="120" w:type="dxa"/>
            </w:tcMar>
          </w:tcPr>
          <w:p>
            <w:pPr>
              <w:spacing w:after="60" w:line="264" w:lineRule="auto"/>
            </w:pPr>
            <w:r>
              <w:rPr>
                <w:rFonts w:ascii="Calibri" w:hAnsi="Calibri"/>
                <w:sz w:val="18"/>
              </w:rPr>
              <w:t>5</w:t>
            </w:r>
          </w:p>
        </w:tc>
        <w:tc>
          <w:tcPr>
            <w:tcW w:type="dxa" w:w="1200"/>
            <w:vAlign w:val="center"/>
            <w:tcMar>
              <w:top w:w="80" w:type="dxa"/>
              <w:start w:w="120" w:type="dxa"/>
              <w:bottom w:w="80" w:type="dxa"/>
              <w:end w:w="120" w:type="dxa"/>
            </w:tcMar>
          </w:tcPr>
          <w:p>
            <w:pPr>
              <w:spacing w:after="60" w:line="264" w:lineRule="auto"/>
            </w:pPr>
            <w:r>
              <w:rPr>
                <w:rFonts w:ascii="Calibri" w:hAnsi="Calibri"/>
                <w:sz w:val="18"/>
              </w:rPr>
              <w:t>11</w:t>
            </w:r>
          </w:p>
        </w:tc>
        <w:tc>
          <w:tcPr>
            <w:tcW w:type="dxa" w:w="1560"/>
            <w:vAlign w:val="center"/>
            <w:tcMar>
              <w:top w:w="80" w:type="dxa"/>
              <w:start w:w="120" w:type="dxa"/>
              <w:bottom w:w="80" w:type="dxa"/>
              <w:end w:w="120" w:type="dxa"/>
            </w:tcMar>
          </w:tcPr>
          <w:p>
            <w:pPr>
              <w:spacing w:after="60" w:line="264" w:lineRule="auto"/>
            </w:pPr>
            <w:r>
              <w:rPr>
                <w:rFonts w:ascii="Calibri" w:hAnsi="Calibri"/>
                <w:sz w:val="18"/>
              </w:rPr>
              <w:t>3</w:t>
            </w:r>
          </w:p>
        </w:tc>
        <w:tc>
          <w:tcPr>
            <w:tcW w:type="dxa" w:w="2040"/>
            <w:vAlign w:val="center"/>
            <w:tcMar>
              <w:top w:w="80" w:type="dxa"/>
              <w:start w:w="120" w:type="dxa"/>
              <w:bottom w:w="80" w:type="dxa"/>
              <w:end w:w="120" w:type="dxa"/>
            </w:tcMar>
          </w:tcPr>
          <w:p>
            <w:pPr>
              <w:spacing w:after="60" w:line="264" w:lineRule="auto"/>
            </w:pPr>
            <w:r>
              <w:rPr>
                <w:rFonts w:ascii="Calibri" w:hAnsi="Calibri"/>
                <w:sz w:val="18"/>
              </w:rPr>
              <w:t>6</w:t>
            </w:r>
          </w:p>
        </w:tc>
        <w:tc>
          <w:tcPr>
            <w:tcW w:type="dxa" w:w="1800"/>
            <w:vAlign w:val="center"/>
            <w:tcMar>
              <w:top w:w="80" w:type="dxa"/>
              <w:start w:w="120" w:type="dxa"/>
              <w:bottom w:w="80" w:type="dxa"/>
              <w:end w:w="120" w:type="dxa"/>
            </w:tcMar>
          </w:tcPr>
          <w:p>
            <w:pPr>
              <w:spacing w:after="60" w:line="264" w:lineRule="auto"/>
            </w:pPr>
            <w:r>
              <w:rPr>
                <w:rFonts w:ascii="Calibri" w:hAnsi="Calibri"/>
                <w:sz w:val="18"/>
              </w:rPr>
              <w:t>2.2</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SAP</w:t>
            </w:r>
          </w:p>
        </w:tc>
        <w:tc>
          <w:tcPr>
            <w:tcW w:type="dxa" w:w="1320"/>
            <w:vAlign w:val="center"/>
            <w:tcMar>
              <w:top w:w="80" w:type="dxa"/>
              <w:start w:w="120" w:type="dxa"/>
              <w:bottom w:w="80" w:type="dxa"/>
              <w:end w:w="120" w:type="dxa"/>
            </w:tcMar>
          </w:tcPr>
          <w:p>
            <w:pPr>
              <w:spacing w:after="60" w:line="264" w:lineRule="auto"/>
            </w:pPr>
            <w:r>
              <w:rPr>
                <w:rFonts w:ascii="Calibri" w:hAnsi="Calibri"/>
                <w:sz w:val="18"/>
              </w:rPr>
              <w:t>10</w:t>
            </w:r>
          </w:p>
        </w:tc>
        <w:tc>
          <w:tcPr>
            <w:tcW w:type="dxa" w:w="1200"/>
            <w:vAlign w:val="center"/>
            <w:tcMar>
              <w:top w:w="80" w:type="dxa"/>
              <w:start w:w="120" w:type="dxa"/>
              <w:bottom w:w="80" w:type="dxa"/>
              <w:end w:w="120" w:type="dxa"/>
            </w:tcMar>
          </w:tcPr>
          <w:p>
            <w:pPr>
              <w:spacing w:after="60" w:line="264" w:lineRule="auto"/>
            </w:pPr>
            <w:r>
              <w:rPr>
                <w:rFonts w:ascii="Calibri" w:hAnsi="Calibri"/>
                <w:sz w:val="18"/>
              </w:rPr>
              <w:t>9</w:t>
            </w:r>
          </w:p>
        </w:tc>
        <w:tc>
          <w:tcPr>
            <w:tcW w:type="dxa" w:w="1560"/>
            <w:vAlign w:val="center"/>
            <w:tcMar>
              <w:top w:w="80" w:type="dxa"/>
              <w:start w:w="120" w:type="dxa"/>
              <w:bottom w:w="80" w:type="dxa"/>
              <w:end w:w="120" w:type="dxa"/>
            </w:tcMar>
          </w:tcPr>
          <w:p>
            <w:pPr>
              <w:spacing w:after="60" w:line="264" w:lineRule="auto"/>
            </w:pPr>
            <w:r>
              <w:rPr>
                <w:rFonts w:ascii="Calibri" w:hAnsi="Calibri"/>
                <w:sz w:val="18"/>
              </w:rPr>
              <w:t>2</w:t>
            </w:r>
          </w:p>
        </w:tc>
        <w:tc>
          <w:tcPr>
            <w:tcW w:type="dxa" w:w="2040"/>
            <w:vAlign w:val="center"/>
            <w:tcMar>
              <w:top w:w="80" w:type="dxa"/>
              <w:start w:w="120" w:type="dxa"/>
              <w:bottom w:w="80" w:type="dxa"/>
              <w:end w:w="120" w:type="dxa"/>
            </w:tcMar>
          </w:tcPr>
          <w:p>
            <w:pPr>
              <w:spacing w:after="60" w:line="264" w:lineRule="auto"/>
            </w:pPr>
            <w:r>
              <w:rPr>
                <w:rFonts w:ascii="Calibri" w:hAnsi="Calibri"/>
                <w:sz w:val="18"/>
              </w:rPr>
              <w:t>9</w:t>
            </w:r>
          </w:p>
        </w:tc>
        <w:tc>
          <w:tcPr>
            <w:tcW w:type="dxa" w:w="1800"/>
            <w:vAlign w:val="center"/>
            <w:tcMar>
              <w:top w:w="80" w:type="dxa"/>
              <w:start w:w="120" w:type="dxa"/>
              <w:bottom w:w="80" w:type="dxa"/>
              <w:end w:w="120" w:type="dxa"/>
            </w:tcMar>
          </w:tcPr>
          <w:p>
            <w:pPr>
              <w:spacing w:after="60" w:line="264" w:lineRule="auto"/>
            </w:pPr>
            <w:r>
              <w:rPr>
                <w:rFonts w:ascii="Calibri" w:hAnsi="Calibri"/>
                <w:sz w:val="18"/>
              </w:rPr>
              <w:t>0.9</w:t>
            </w:r>
          </w:p>
        </w:tc>
      </w:tr>
      <w:tr>
        <w:tc>
          <w:tcPr>
            <w:tcW w:type="dxa" w:w="1440"/>
            <w:vAlign w:val="center"/>
            <w:tcMar>
              <w:top w:w="80" w:type="dxa"/>
              <w:start w:w="120" w:type="dxa"/>
              <w:bottom w:w="80" w:type="dxa"/>
              <w:end w:w="120" w:type="dxa"/>
            </w:tcMar>
          </w:tcPr>
          <w:p>
            <w:pPr>
              <w:spacing w:after="60" w:line="264" w:lineRule="auto"/>
            </w:pPr>
            <w:r>
              <w:rPr>
                <w:rFonts w:ascii="Calibri" w:hAnsi="Calibri"/>
                <w:sz w:val="18"/>
              </w:rPr>
              <w:t>Zalando</w:t>
            </w:r>
          </w:p>
        </w:tc>
        <w:tc>
          <w:tcPr>
            <w:tcW w:type="dxa" w:w="1320"/>
            <w:vAlign w:val="center"/>
            <w:tcMar>
              <w:top w:w="80" w:type="dxa"/>
              <w:start w:w="120" w:type="dxa"/>
              <w:bottom w:w="80" w:type="dxa"/>
              <w:end w:w="120" w:type="dxa"/>
            </w:tcMar>
          </w:tcPr>
          <w:p>
            <w:pPr>
              <w:spacing w:after="60" w:line="264" w:lineRule="auto"/>
            </w:pPr>
            <w:r>
              <w:rPr>
                <w:rFonts w:ascii="Calibri" w:hAnsi="Calibri"/>
                <w:sz w:val="18"/>
              </w:rPr>
              <w:t>7</w:t>
            </w:r>
          </w:p>
        </w:tc>
        <w:tc>
          <w:tcPr>
            <w:tcW w:type="dxa" w:w="1200"/>
            <w:vAlign w:val="center"/>
            <w:tcMar>
              <w:top w:w="80" w:type="dxa"/>
              <w:start w:w="120" w:type="dxa"/>
              <w:bottom w:w="80" w:type="dxa"/>
              <w:end w:w="120" w:type="dxa"/>
            </w:tcMar>
          </w:tcPr>
          <w:p>
            <w:pPr>
              <w:spacing w:after="60" w:line="264" w:lineRule="auto"/>
            </w:pPr>
            <w:r>
              <w:rPr>
                <w:rFonts w:ascii="Calibri" w:hAnsi="Calibri"/>
                <w:sz w:val="18"/>
              </w:rPr>
              <w:t>12</w:t>
            </w:r>
          </w:p>
        </w:tc>
        <w:tc>
          <w:tcPr>
            <w:tcW w:type="dxa" w:w="1560"/>
            <w:vAlign w:val="center"/>
            <w:tcMar>
              <w:top w:w="80" w:type="dxa"/>
              <w:start w:w="120" w:type="dxa"/>
              <w:bottom w:w="80" w:type="dxa"/>
              <w:end w:w="120" w:type="dxa"/>
            </w:tcMar>
          </w:tcPr>
          <w:p>
            <w:pPr>
              <w:spacing w:after="60" w:line="264" w:lineRule="auto"/>
            </w:pPr>
            <w:r>
              <w:rPr>
                <w:rFonts w:ascii="Calibri" w:hAnsi="Calibri"/>
                <w:sz w:val="18"/>
              </w:rPr>
              <w:t>10</w:t>
            </w:r>
          </w:p>
        </w:tc>
        <w:tc>
          <w:tcPr>
            <w:tcW w:type="dxa" w:w="2040"/>
            <w:vAlign w:val="center"/>
            <w:tcMar>
              <w:top w:w="80" w:type="dxa"/>
              <w:start w:w="120" w:type="dxa"/>
              <w:bottom w:w="80" w:type="dxa"/>
              <w:end w:w="120" w:type="dxa"/>
            </w:tcMar>
          </w:tcPr>
          <w:p>
            <w:pPr>
              <w:spacing w:after="60" w:line="264" w:lineRule="auto"/>
            </w:pPr>
            <w:r>
              <w:rPr>
                <w:rFonts w:ascii="Calibri" w:hAnsi="Calibri"/>
                <w:sz w:val="18"/>
              </w:rPr>
              <w:t>12</w:t>
            </w:r>
          </w:p>
        </w:tc>
        <w:tc>
          <w:tcPr>
            <w:tcW w:type="dxa" w:w="1800"/>
            <w:vAlign w:val="center"/>
            <w:tcMar>
              <w:top w:w="80" w:type="dxa"/>
              <w:start w:w="120" w:type="dxa"/>
              <w:bottom w:w="80" w:type="dxa"/>
              <w:end w:w="120" w:type="dxa"/>
            </w:tcMar>
          </w:tcPr>
          <w:p>
            <w:pPr>
              <w:spacing w:after="60" w:line="264" w:lineRule="auto"/>
            </w:pPr>
            <w:r>
              <w:rPr>
                <w:rFonts w:ascii="Calibri" w:hAnsi="Calibri"/>
                <w:sz w:val="18"/>
              </w:rPr>
              <w:t>1.71</w:t>
            </w:r>
          </w:p>
        </w:tc>
      </w:tr>
    </w:tbl>
    <w:p>
      <w:r>
        <w:t>Across the set, success language generally describes commitments, progress, and governance systems, while risk language points to regulatory pressure, operational complexity, labor or supply-chain issues, climate transition pressure, and AI or data-governance concerns. The important analytical move is not to label risk language as negative, but to ask whether the report quantifies the risk and explains mitigation clearly.</w:t>
      </w:r>
    </w:p>
    <w:p>
      <w:pPr>
        <w:pStyle w:val="Heading1"/>
      </w:pPr>
      <w:r>
        <w:t>Company-by-Company Reading</w:t>
      </w:r>
    </w:p>
    <w:p>
      <w:pPr>
        <w:pStyle w:val="Heading2"/>
      </w:pPr>
      <w:r>
        <w:t>Amazon</w:t>
      </w:r>
    </w:p>
    <w:p>
      <w:r>
        <w:t>The Amazon report is broad and operationally concrete, especially where it connects ESG topics to logistics, cloud infrastructure, suppliers, and customer-facing services.</w:t>
      </w:r>
    </w:p>
    <w:p>
      <w:r>
        <w:t>The main analytical caveat is scale: even credible progress can coexist with rising absolute impact if retail, cloud, and device ecosystems continue to expand.</w:t>
      </w:r>
    </w:p>
    <w:p>
      <w:pPr>
        <w:pStyle w:val="Heading2"/>
      </w:pPr>
      <w:r>
        <w:t>Microsoft</w:t>
      </w:r>
    </w:p>
    <w:p>
      <w:r>
        <w:t>The Microsoft report is governance-heavy and strategically mature, with strong links between cloud, AI, cybersecurity, privacy, and responsible technology oversight.</w:t>
      </w:r>
    </w:p>
    <w:p>
      <w:r>
        <w:t>The main caveat is the environmental intensity of AI and data-center growth, which can create tension with climate goals unless energy, water, and supplier impacts are quantified consistently.</w:t>
      </w:r>
    </w:p>
    <w:p>
      <w:pPr>
        <w:pStyle w:val="Heading2"/>
      </w:pPr>
      <w:r>
        <w:t>SAP</w:t>
      </w:r>
    </w:p>
    <w:p>
      <w:r>
        <w:t>The SAP report reads as the most CSRD-structured and process-oriented, with strong governance, compliance, and enterprise-software relevance.</w:t>
      </w:r>
    </w:p>
    <w:p>
      <w:r>
        <w:t>The main caveat is attribution: SAP's largest ESG influence often runs through customers, partners, and cloud providers, so methodology and boundary explanations matter.</w:t>
      </w:r>
    </w:p>
    <w:p>
      <w:pPr>
        <w:pStyle w:val="Heading2"/>
      </w:pPr>
      <w:r>
        <w:t>Zalando</w:t>
      </w:r>
    </w:p>
    <w:p>
      <w:r>
        <w:t>The Zalando report is strong where fashion-specific ESG issues appear: supplier due diligence, packaging, returns, circularity, platform governance, and consumer protection.</w:t>
      </w:r>
    </w:p>
    <w:p>
      <w:r>
        <w:t>The main caveat is integration and supply-chain evidence, especially around ABOUT YOU, social outcomes, and Scope 3 impacts linked to brands, logistics, and returns.</w:t>
      </w:r>
    </w:p>
    <w:p>
      <w:pPr>
        <w:pStyle w:val="Heading1"/>
      </w:pPr>
      <w:r>
        <w:t>Overall Conclusion</w:t>
      </w:r>
    </w:p>
    <w:p>
      <w:pPr>
        <w:pStyle w:val="ListBullet"/>
        <w:spacing w:after="80" w:line="280" w:lineRule="auto"/>
      </w:pPr>
      <w:r>
        <w:rPr>
          <w:rFonts w:ascii="Calibri" w:hAnsi="Calibri"/>
          <w:sz w:val="21"/>
        </w:rPr>
        <w:t>Most quantified report by text proxy: Zalando.</w:t>
      </w:r>
    </w:p>
    <w:p>
      <w:pPr>
        <w:pStyle w:val="ListBullet"/>
        <w:spacing w:after="80" w:line="280" w:lineRule="auto"/>
      </w:pPr>
      <w:r>
        <w:rPr>
          <w:rFonts w:ascii="Calibri" w:hAnsi="Calibri"/>
          <w:sz w:val="21"/>
        </w:rPr>
        <w:t>Most governance/process-oriented reading: SAP and Microsoft.</w:t>
      </w:r>
    </w:p>
    <w:p>
      <w:pPr>
        <w:pStyle w:val="ListBullet"/>
        <w:spacing w:after="80" w:line="280" w:lineRule="auto"/>
      </w:pPr>
      <w:r>
        <w:rPr>
          <w:rFonts w:ascii="Calibri" w:hAnsi="Calibri"/>
          <w:sz w:val="21"/>
        </w:rPr>
        <w:t>Largest environmental growth tension: Amazon and Microsoft.</w:t>
      </w:r>
    </w:p>
    <w:p>
      <w:pPr>
        <w:pStyle w:val="ListBullet"/>
        <w:spacing w:after="80" w:line="280" w:lineRule="auto"/>
      </w:pPr>
      <w:r>
        <w:rPr>
          <w:rFonts w:ascii="Calibri" w:hAnsi="Calibri"/>
          <w:sz w:val="21"/>
        </w:rPr>
        <w:t>Most supply-chain and integration-sensitive report: Zalando.</w:t>
      </w:r>
    </w:p>
    <w:p>
      <w:pPr>
        <w:pStyle w:val="ListBullet"/>
        <w:spacing w:after="80" w:line="280" w:lineRule="auto"/>
      </w:pPr>
      <w:r>
        <w:rPr>
          <w:rFonts w:ascii="Calibri" w:hAnsi="Calibri"/>
          <w:sz w:val="21"/>
        </w:rPr>
        <w:t>Best next analytical step: compare these generated reports against primary annual, sustainability, and regulatory source documents to separate strong evidence from polished narrative.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Generated text analysis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ESG qualitative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LLM-Style Qualitative ESG Analysis</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