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ABAC" w14:textId="77777777" w:rsidR="00260C1F" w:rsidRDefault="00000000">
      <w:pPr>
        <w:spacing w:before="1600" w:after="120"/>
      </w:pPr>
      <w:r>
        <w:rPr>
          <w:b/>
          <w:bCs/>
          <w:color w:val="1BAF7A"/>
          <w:sz w:val="22"/>
          <w:szCs w:val="22"/>
        </w:rPr>
        <w:t>TRABAJO FIN DE MÁSTER · ENTREGA 3</w:t>
      </w:r>
    </w:p>
    <w:p w14:paraId="4166ABAD" w14:textId="77777777" w:rsidR="00260C1F" w:rsidRDefault="00000000">
      <w:pPr>
        <w:spacing w:after="120"/>
      </w:pPr>
      <w:r>
        <w:rPr>
          <w:b/>
          <w:bCs/>
          <w:color w:val="0F2A4A"/>
          <w:sz w:val="52"/>
          <w:szCs w:val="52"/>
        </w:rPr>
        <w:t xml:space="preserve">Visualización en Power BI e </w:t>
      </w:r>
      <w:proofErr w:type="spellStart"/>
      <w:r>
        <w:rPr>
          <w:b/>
          <w:bCs/>
          <w:color w:val="0F2A4A"/>
          <w:sz w:val="52"/>
          <w:szCs w:val="52"/>
        </w:rPr>
        <w:t>insights</w:t>
      </w:r>
      <w:proofErr w:type="spellEnd"/>
    </w:p>
    <w:p w14:paraId="4166ABAE" w14:textId="77777777" w:rsidR="00260C1F" w:rsidRDefault="00000000">
      <w:pPr>
        <w:spacing w:after="480"/>
      </w:pPr>
      <w:r>
        <w:rPr>
          <w:color w:val="5B6575"/>
          <w:sz w:val="28"/>
          <w:szCs w:val="28"/>
        </w:rPr>
        <w:t>Cartera de clientes de Banco Sabadell: análisis 360°, segmentación y propensión a invertir</w:t>
      </w:r>
    </w:p>
    <w:p w14:paraId="4166ABAF" w14:textId="77777777" w:rsidR="00260C1F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166AD8E" wp14:editId="4166AD8F">
            <wp:extent cx="5715000" cy="3219450"/>
            <wp:effectExtent l="0" t="0" r="0" b="0"/>
            <wp:docPr id="1" name="Menú principal del informe Power BI (página de inicio)" descr="Menú principal del informe Power BI (página de inicio)" title="Menú principal del informe Power BI (página de inici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ABB0" w14:textId="77777777" w:rsidR="00260C1F" w:rsidRDefault="00000000">
      <w:pPr>
        <w:spacing w:after="160"/>
        <w:jc w:val="center"/>
      </w:pPr>
      <w:r>
        <w:rPr>
          <w:i/>
          <w:iCs/>
          <w:color w:val="5B6575"/>
          <w:sz w:val="18"/>
          <w:szCs w:val="18"/>
        </w:rPr>
        <w:t>Menú principal del informe Power BI (página de inicio)</w:t>
      </w:r>
    </w:p>
    <w:p w14:paraId="4166ABB1" w14:textId="77777777" w:rsidR="00260C1F" w:rsidRDefault="00000000">
      <w:pPr>
        <w:spacing w:before="480" w:after="60"/>
      </w:pPr>
      <w:r>
        <w:rPr>
          <w:b/>
          <w:bCs/>
          <w:color w:val="0F2A4A"/>
          <w:sz w:val="24"/>
          <w:szCs w:val="24"/>
        </w:rPr>
        <w:t>Equipo Ethos</w:t>
      </w:r>
    </w:p>
    <w:p w14:paraId="4166ABB2" w14:textId="77777777" w:rsidR="00260C1F" w:rsidRDefault="00000000">
      <w:pPr>
        <w:spacing w:after="60"/>
      </w:pPr>
      <w:r>
        <w:rPr>
          <w:sz w:val="22"/>
          <w:szCs w:val="22"/>
        </w:rPr>
        <w:t>Jannyn Mendoza · Juan Mateo Duque · Nicole Custode María · Isabel Sanguino · Sacha Aponte</w:t>
      </w:r>
    </w:p>
    <w:p w14:paraId="4166ABB3" w14:textId="77777777" w:rsidR="00260C1F" w:rsidRDefault="00000000">
      <w:pPr>
        <w:spacing w:after="60"/>
      </w:pPr>
      <w:r>
        <w:rPr>
          <w:color w:val="5B6575"/>
          <w:sz w:val="22"/>
          <w:szCs w:val="22"/>
        </w:rPr>
        <w:t xml:space="preserve">Máster en Business </w:t>
      </w:r>
      <w:proofErr w:type="spellStart"/>
      <w:r>
        <w:rPr>
          <w:color w:val="5B6575"/>
          <w:sz w:val="22"/>
          <w:szCs w:val="22"/>
        </w:rPr>
        <w:t>Analytics</w:t>
      </w:r>
      <w:proofErr w:type="spellEnd"/>
      <w:r>
        <w:rPr>
          <w:color w:val="5B6575"/>
          <w:sz w:val="22"/>
          <w:szCs w:val="22"/>
        </w:rPr>
        <w:t xml:space="preserve"> e Inteligencia Artificial · INESDI</w:t>
      </w:r>
    </w:p>
    <w:p w14:paraId="4166ABB4" w14:textId="77777777" w:rsidR="00260C1F" w:rsidRDefault="00000000">
      <w:r>
        <w:rPr>
          <w:color w:val="5B6575"/>
          <w:sz w:val="22"/>
          <w:szCs w:val="22"/>
        </w:rPr>
        <w:t>Octubre de 2026</w:t>
      </w:r>
    </w:p>
    <w:p w14:paraId="4166ABB5" w14:textId="77777777" w:rsidR="00260C1F" w:rsidRDefault="00000000">
      <w:pPr>
        <w:pageBreakBefore/>
        <w:spacing w:after="200"/>
      </w:pPr>
      <w:r>
        <w:rPr>
          <w:b/>
          <w:bCs/>
          <w:color w:val="0F2A4A"/>
          <w:sz w:val="32"/>
          <w:szCs w:val="32"/>
        </w:rPr>
        <w:lastRenderedPageBreak/>
        <w:t>Índice</w:t>
      </w:r>
    </w:p>
    <w:sdt>
      <w:sdtPr>
        <w:alias w:val="Índice"/>
        <w:id w:val="355863474"/>
      </w:sdtPr>
      <w:sdtContent>
        <w:p w14:paraId="4166ABB6" w14:textId="77777777" w:rsidR="00260C1F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4166ABB7" w14:textId="77777777" w:rsidR="00260C1F" w:rsidRDefault="00000000">
          <w:r>
            <w:fldChar w:fldCharType="end"/>
          </w:r>
        </w:p>
      </w:sdtContent>
    </w:sdt>
    <w:p w14:paraId="4166ABB8" w14:textId="77777777" w:rsidR="00260C1F" w:rsidRDefault="00000000">
      <w:pPr>
        <w:spacing w:before="200"/>
      </w:pPr>
      <w:r>
        <w:t>Si el índice aparece vacío, en Word pulse con el botón derecho sobre él y elija «Actualizar campos».</w:t>
      </w:r>
    </w:p>
    <w:p w14:paraId="4166ABB9" w14:textId="77777777" w:rsidR="00260C1F" w:rsidRDefault="00000000">
      <w:pPr>
        <w:pStyle w:val="Ttulo1"/>
        <w:pageBreakBefore/>
      </w:pPr>
      <w:r>
        <w:lastRenderedPageBreak/>
        <w:t>1. Resumen ejecutivo</w:t>
      </w:r>
    </w:p>
    <w:p w14:paraId="4166ABBA" w14:textId="77777777" w:rsidR="00260C1F" w:rsidRDefault="00000000">
      <w:pPr>
        <w:spacing w:after="120" w:line="276" w:lineRule="auto"/>
      </w:pPr>
      <w:r>
        <w:t xml:space="preserve">En esta tercera entrega el modelo de datos construido en la Entrega 2 se convierte en un </w:t>
      </w:r>
      <w:r>
        <w:rPr>
          <w:b/>
          <w:bCs/>
        </w:rPr>
        <w:t>informe interactivo de Power BI de 10 páginas</w:t>
      </w:r>
      <w:r>
        <w:t xml:space="preserve"> y en un </w:t>
      </w:r>
      <w:r>
        <w:rPr>
          <w:b/>
          <w:bCs/>
        </w:rPr>
        <w:t>notebook de analítica avanzada</w:t>
      </w:r>
      <w:r>
        <w:t xml:space="preserve"> (correlaciones, segmentación K-Means y modelo de propensión). Este documento explica qué contiene el informe, qué </w:t>
      </w:r>
      <w:proofErr w:type="spellStart"/>
      <w:r>
        <w:t>insights</w:t>
      </w:r>
      <w:proofErr w:type="spellEnd"/>
      <w:r>
        <w:t xml:space="preserve"> se han obtenido y, sobre todo, </w:t>
      </w:r>
      <w:r>
        <w:rPr>
          <w:b/>
          <w:bCs/>
        </w:rPr>
        <w:t>cómo se encontraron</w:t>
      </w:r>
      <w:r>
        <w:t>: en qué página, con qué visual y con qué filtros puede reproducirlos cualquier persona que abra el fichero.</w:t>
      </w:r>
    </w:p>
    <w:p w14:paraId="4166ABBB" w14:textId="77777777" w:rsidR="00260C1F" w:rsidRDefault="00000000">
      <w:pPr>
        <w:spacing w:after="120" w:line="276" w:lineRule="auto"/>
      </w:pPr>
      <w:r>
        <w:t xml:space="preserve">La cartera analizada tiene </w:t>
      </w:r>
      <w:r>
        <w:rPr>
          <w:b/>
          <w:bCs/>
        </w:rPr>
        <w:t>9.822 clientes</w:t>
      </w:r>
      <w:r>
        <w:t xml:space="preserve">, un patrimonio de </w:t>
      </w:r>
      <w:r>
        <w:rPr>
          <w:b/>
          <w:bCs/>
        </w:rPr>
        <w:t>231,1 millones de euros</w:t>
      </w:r>
      <w:r>
        <w:t xml:space="preserve"> y un margen comercial de </w:t>
      </w:r>
      <w:r>
        <w:rPr>
          <w:b/>
          <w:bCs/>
        </w:rPr>
        <w:t>1,26 millones de euros</w:t>
      </w:r>
      <w:r>
        <w:t xml:space="preserve">. El 33,2 % de los clientes tiene algún producto de inversión, la media es de 2,16 productos por cliente y el 27,0 % es </w:t>
      </w:r>
      <w:proofErr w:type="spellStart"/>
      <w:r>
        <w:t>mono-producto</w:t>
      </w:r>
      <w:proofErr w:type="spellEnd"/>
      <w:r>
        <w:t>.</w:t>
      </w:r>
    </w:p>
    <w:p w14:paraId="4166ABBC" w14:textId="77777777" w:rsidR="00260C1F" w:rsidRDefault="00000000">
      <w:pPr>
        <w:pStyle w:val="Ttulo3"/>
      </w:pPr>
      <w:r>
        <w:t>Los cinco mensajes clave</w:t>
      </w:r>
    </w:p>
    <w:p w14:paraId="4166ABBD" w14:textId="77777777" w:rsidR="00260C1F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El valor está muy concentrado:</w:t>
      </w:r>
      <w:r>
        <w:t xml:space="preserve"> el 10 % de los clientes genera el 57,7 % del margen y los 100 clientes con más patrimonio reúnen el 24,1 % del total.</w:t>
      </w:r>
    </w:p>
    <w:p w14:paraId="4166ABBE" w14:textId="77777777" w:rsidR="00260C1F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Los hipotecados son a la vez el segmento más rentable y el más expuesto:</w:t>
      </w:r>
      <w:r>
        <w:t xml:space="preserve"> 42,0 % del margen con solo el 14,3 % de los clientes, pero 1.215 de ellos están en riesgo crítico y solo la mitad tiene seguro de protección.</w:t>
      </w:r>
    </w:p>
    <w:p w14:paraId="4166ABBF" w14:textId="77777777" w:rsidR="00260C1F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Domiciliar la nómina no convierte al cliente en inversor:</w:t>
      </w:r>
      <w:r>
        <w:t xml:space="preserve"> con nómina invierte el 34,8 % y sin nómina el 32,7 %; la antigüedad y la renta pesan mucho más.</w:t>
      </w:r>
    </w:p>
    <w:p w14:paraId="4166ABC0" w14:textId="77777777" w:rsidR="00260C1F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Los primeros años son críticos:</w:t>
      </w:r>
      <w:r>
        <w:t xml:space="preserve"> con un año o menos de antigüedad solo invierte el 16,9 % y la mitad son </w:t>
      </w:r>
      <w:proofErr w:type="spellStart"/>
      <w:r>
        <w:t>mono-producto</w:t>
      </w:r>
      <w:proofErr w:type="spellEnd"/>
      <w:r>
        <w:t>; a partir de 20 años invierte el 50,4 %.</w:t>
      </w:r>
    </w:p>
    <w:p w14:paraId="4166ABC1" w14:textId="77777777" w:rsidR="00260C1F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Hay un mercado potencial cuantificado:</w:t>
      </w:r>
      <w:r>
        <w:t xml:space="preserve"> el modelo de propensión (AUC 0,757, </w:t>
      </w:r>
      <w:proofErr w:type="spellStart"/>
      <w:r>
        <w:t>recall</w:t>
      </w:r>
      <w:proofErr w:type="spellEnd"/>
      <w:r>
        <w:t xml:space="preserve"> 70 %) identifica </w:t>
      </w:r>
      <w:r>
        <w:rPr>
          <w:b/>
          <w:bCs/>
        </w:rPr>
        <w:t>1.313 clientes con propensión alta</w:t>
      </w:r>
      <w:r>
        <w:t xml:space="preserve"> que todavía no invierten, listos para una campaña.</w:t>
      </w:r>
    </w:p>
    <w:p w14:paraId="4166ABC2" w14:textId="77777777" w:rsidR="00260C1F" w:rsidRDefault="00000000">
      <w:pPr>
        <w:pStyle w:val="Ttulo1"/>
        <w:pageBreakBefore/>
      </w:pPr>
      <w:r>
        <w:lastRenderedPageBreak/>
        <w:t>2. El informe de Power BI</w:t>
      </w:r>
    </w:p>
    <w:p w14:paraId="4166ABC3" w14:textId="77777777" w:rsidR="00260C1F" w:rsidRDefault="00000000">
      <w:pPr>
        <w:pStyle w:val="Ttulo2"/>
      </w:pPr>
      <w:r>
        <w:t>2.1. Entregable y cómo abrirlo</w:t>
      </w:r>
    </w:p>
    <w:p w14:paraId="4166ABC4" w14:textId="77777777" w:rsidR="00260C1F" w:rsidRDefault="00000000">
      <w:pPr>
        <w:spacing w:after="120" w:line="276" w:lineRule="auto"/>
      </w:pPr>
      <w:r>
        <w:t xml:space="preserve">El informe se entrega como </w:t>
      </w:r>
      <w:r>
        <w:rPr>
          <w:b/>
          <w:bCs/>
        </w:rPr>
        <w:t>proyecto de Power BI (.</w:t>
      </w:r>
      <w:proofErr w:type="spellStart"/>
      <w:r>
        <w:rPr>
          <w:b/>
          <w:bCs/>
        </w:rPr>
        <w:t>pbip</w:t>
      </w:r>
      <w:proofErr w:type="spellEnd"/>
      <w:r>
        <w:rPr>
          <w:b/>
          <w:bCs/>
        </w:rPr>
        <w:t>)</w:t>
      </w:r>
      <w:r>
        <w:t>, el formato de proyecto de Power BI Desktop que guarda el informe y el modelo semántico en carpetas de texto. Así puede abrirse, editarse y versionarse; una vez abierto se guarda como .</w:t>
      </w:r>
      <w:proofErr w:type="spellStart"/>
      <w:r>
        <w:t>pbix</w:t>
      </w:r>
      <w:proofErr w:type="spellEnd"/>
      <w:r>
        <w:t xml:space="preserve"> con «Archivo → Guardar como».</w:t>
      </w:r>
    </w:p>
    <w:p w14:paraId="4166ABC5" w14:textId="77777777" w:rsidR="00260C1F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Copiar la carpeta </w:t>
      </w:r>
      <w:r>
        <w:rPr>
          <w:b/>
          <w:bCs/>
        </w:rPr>
        <w:t>Entrega3_TFM_Ethos</w:t>
      </w:r>
      <w:r>
        <w:t xml:space="preserve"> en </w:t>
      </w:r>
      <w:r>
        <w:rPr>
          <w:b/>
          <w:bCs/>
        </w:rPr>
        <w:t>C:\TFM_Ethos\</w:t>
      </w:r>
      <w:r>
        <w:t xml:space="preserve"> (la ruta de datos ya apunta ahí). Si se usa otra ruta, cambiar el parámetro </w:t>
      </w:r>
      <w:proofErr w:type="spellStart"/>
      <w:r>
        <w:rPr>
          <w:b/>
          <w:bCs/>
        </w:rPr>
        <w:t>RutaDatos</w:t>
      </w:r>
      <w:proofErr w:type="spellEnd"/>
      <w:r>
        <w:t xml:space="preserve"> en «Transformar datos → Administrar parámetros».</w:t>
      </w:r>
    </w:p>
    <w:p w14:paraId="4166ABC6" w14:textId="77777777" w:rsidR="00260C1F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Abrir </w:t>
      </w:r>
      <w:proofErr w:type="spellStart"/>
      <w:r>
        <w:rPr>
          <w:b/>
          <w:bCs/>
        </w:rPr>
        <w:t>PowerBI</w:t>
      </w:r>
      <w:proofErr w:type="spellEnd"/>
      <w:r>
        <w:rPr>
          <w:b/>
          <w:bCs/>
        </w:rPr>
        <w:t>\</w:t>
      </w:r>
      <w:proofErr w:type="spellStart"/>
      <w:r>
        <w:rPr>
          <w:b/>
          <w:bCs/>
        </w:rPr>
        <w:t>TFM_Ethos_Cartera.pbip</w:t>
      </w:r>
      <w:proofErr w:type="spellEnd"/>
      <w:r>
        <w:t xml:space="preserve"> con Power BI Desktop (versión de 2025 o posterior). Si el programa lo pide, activar en «Opciones → Características en vista previa» el formato de proyecto y el formato de informe PBIR.</w:t>
      </w:r>
    </w:p>
    <w:p w14:paraId="4166ABC7" w14:textId="77777777" w:rsidR="00260C1F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Pulsar </w:t>
      </w:r>
      <w:r>
        <w:rPr>
          <w:b/>
          <w:bCs/>
        </w:rPr>
        <w:t>Actualizar</w:t>
      </w:r>
      <w:r>
        <w:t xml:space="preserve"> para cargar los datos desde TFM_Ethos_datos.xlsx y, si se desea, guardar como .</w:t>
      </w:r>
      <w:proofErr w:type="spellStart"/>
      <w:r>
        <w:t>pbix</w:t>
      </w:r>
      <w:proofErr w:type="spellEnd"/>
      <w:r>
        <w:t>.</w:t>
      </w:r>
    </w:p>
    <w:p w14:paraId="4166ABC8" w14:textId="77777777" w:rsidR="00260C1F" w:rsidRDefault="00000000">
      <w:pPr>
        <w:pStyle w:val="Ttulo2"/>
      </w:pPr>
      <w:r>
        <w:t>2.2. Estructura: 10 páginas con menú principal</w:t>
      </w:r>
    </w:p>
    <w:p w14:paraId="4166ABC9" w14:textId="77777777" w:rsidR="00260C1F" w:rsidRDefault="00000000">
      <w:pPr>
        <w:spacing w:after="120" w:line="276" w:lineRule="auto"/>
      </w:pPr>
      <w:r>
        <w:t xml:space="preserve">El informe se navega desde un </w:t>
      </w:r>
      <w:r>
        <w:rPr>
          <w:b/>
          <w:bCs/>
        </w:rPr>
        <w:t>menú principal</w:t>
      </w:r>
      <w:r>
        <w:t xml:space="preserve"> (página de inicio) con nueve tarjetas que llevan a cada sección, y una </w:t>
      </w:r>
      <w:r>
        <w:rPr>
          <w:b/>
          <w:bCs/>
        </w:rPr>
        <w:t>barra lateral</w:t>
      </w:r>
      <w:r>
        <w:t xml:space="preserve"> presente en todas las páginas para moverse entre ellas o volver al inicio. Cada página tiene un fondo diseñado específicamente (cabecera con título y subtítulo, barra lateral con iconos y la sección activa resaltada) y comparte la misma rejilla: </w:t>
      </w:r>
      <w:proofErr w:type="spellStart"/>
      <w:r>
        <w:t>segmentadores</w:t>
      </w:r>
      <w:proofErr w:type="spellEnd"/>
      <w:r>
        <w:t xml:space="preserve"> arriba, fila de </w:t>
      </w:r>
      <w:proofErr w:type="spellStart"/>
      <w:r>
        <w:t>KPIs</w:t>
      </w:r>
      <w:proofErr w:type="spellEnd"/>
      <w:r>
        <w:t xml:space="preserve"> y dos filas de gráficos.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900"/>
        <w:gridCol w:w="4338"/>
        <w:gridCol w:w="2900"/>
      </w:tblGrid>
      <w:tr w:rsidR="00260C1F" w14:paraId="4166AB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CA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CB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Página</w:t>
            </w:r>
          </w:p>
        </w:tc>
        <w:tc>
          <w:tcPr>
            <w:tcW w:w="43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CC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Pregunta que responde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CD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Capacidades de Power BI</w:t>
            </w:r>
          </w:p>
        </w:tc>
      </w:tr>
      <w:tr w:rsidR="00260C1F" w14:paraId="4166AB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CF" w14:textId="77777777" w:rsidR="00260C1F" w:rsidRDefault="00000000">
            <w:r>
              <w:t>0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D0" w14:textId="77777777" w:rsidR="00260C1F" w:rsidRDefault="00000000">
            <w:r>
              <w:t>Inicio (menú)</w:t>
            </w:r>
          </w:p>
        </w:tc>
        <w:tc>
          <w:tcPr>
            <w:tcW w:w="43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D1" w14:textId="77777777" w:rsidR="00260C1F" w:rsidRDefault="00000000">
            <w:r>
              <w:t xml:space="preserve">Portada con </w:t>
            </w:r>
            <w:proofErr w:type="spellStart"/>
            <w:r>
              <w:t>KPIs</w:t>
            </w:r>
            <w:proofErr w:type="spellEnd"/>
            <w:r>
              <w:t xml:space="preserve"> de cabecera y 9 accesos directos a cada sección.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D2" w14:textId="77777777" w:rsidR="00260C1F" w:rsidRDefault="00000000">
            <w:r>
              <w:t>Botones de navegación, fondo diseñado</w:t>
            </w:r>
          </w:p>
        </w:tc>
      </w:tr>
      <w:tr w:rsidR="00260C1F" w14:paraId="4166AB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D4" w14:textId="77777777" w:rsidR="00260C1F" w:rsidRDefault="00000000">
            <w:r>
              <w:t>1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D5" w14:textId="77777777" w:rsidR="00260C1F" w:rsidRDefault="00000000">
            <w:r>
              <w:t>Resumen ejecutivo</w:t>
            </w:r>
          </w:p>
        </w:tc>
        <w:tc>
          <w:tcPr>
            <w:tcW w:w="43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D6" w14:textId="77777777" w:rsidR="00260C1F" w:rsidRDefault="00000000">
            <w:r>
              <w:t>Fotografía de la cartera: clientes, patrimonio, margen, inversión y concentración del valor.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D7" w14:textId="77777777" w:rsidR="00260C1F" w:rsidRDefault="00000000">
            <w:r>
              <w:t>Tarjetas, combinado, anillo, textos dinámicos</w:t>
            </w:r>
          </w:p>
        </w:tc>
      </w:tr>
      <w:tr w:rsidR="00260C1F" w14:paraId="4166AB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D9" w14:textId="77777777" w:rsidR="00260C1F" w:rsidRDefault="00000000">
            <w:r>
              <w:t>2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DA" w14:textId="77777777" w:rsidR="00260C1F" w:rsidRDefault="00000000">
            <w:r>
              <w:t>Clientes</w:t>
            </w:r>
          </w:p>
        </w:tc>
        <w:tc>
          <w:tcPr>
            <w:tcW w:w="43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DB" w14:textId="77777777" w:rsidR="00260C1F" w:rsidRDefault="00000000">
            <w:r>
              <w:t>Quién es el cliente: edad, renta, antigüedad, residencia y mapa de calor renta × perfil.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DC" w14:textId="77777777" w:rsidR="00260C1F" w:rsidRDefault="00000000">
            <w:r>
              <w:t>Matriz con formato condicional por medida</w:t>
            </w:r>
          </w:p>
        </w:tc>
      </w:tr>
      <w:tr w:rsidR="00260C1F" w14:paraId="4166AB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DE" w14:textId="77777777" w:rsidR="00260C1F" w:rsidRDefault="00000000">
            <w:r>
              <w:t>3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DF" w14:textId="77777777" w:rsidR="00260C1F" w:rsidRDefault="00000000">
            <w:r>
              <w:t>Productos</w:t>
            </w:r>
          </w:p>
        </w:tc>
        <w:tc>
          <w:tcPr>
            <w:tcW w:w="43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E0" w14:textId="77777777" w:rsidR="00260C1F" w:rsidRDefault="00000000">
            <w:r>
              <w:t xml:space="preserve">Penetración de cada producto, cesta media, </w:t>
            </w:r>
            <w:proofErr w:type="spellStart"/>
            <w:r>
              <w:t>mono-producto</w:t>
            </w:r>
            <w:proofErr w:type="spellEnd"/>
            <w:r>
              <w:t xml:space="preserve"> y matriz producto × perfil.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E1" w14:textId="77777777" w:rsidR="00260C1F" w:rsidRDefault="00000000">
            <w:r>
              <w:t>Gráfico de árbol, matriz, combinado</w:t>
            </w:r>
          </w:p>
        </w:tc>
      </w:tr>
      <w:tr w:rsidR="00260C1F" w14:paraId="4166AB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E3" w14:textId="77777777" w:rsidR="00260C1F" w:rsidRDefault="00000000">
            <w:r>
              <w:t>4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E4" w14:textId="77777777" w:rsidR="00260C1F" w:rsidRDefault="00000000">
            <w:r>
              <w:t>Geografía</w:t>
            </w:r>
          </w:p>
        </w:tc>
        <w:tc>
          <w:tcPr>
            <w:tcW w:w="43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E5" w14:textId="77777777" w:rsidR="00260C1F" w:rsidRDefault="00000000">
            <w:r>
              <w:t>Volumen, valor e inversión por comunidad y provincia; dispersión margen vs. inversión.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E6" w14:textId="77777777" w:rsidR="00260C1F" w:rsidRDefault="00000000">
            <w:r>
              <w:t>Gráfico de árbol, dispersión, tabla</w:t>
            </w:r>
          </w:p>
        </w:tc>
      </w:tr>
      <w:tr w:rsidR="00260C1F" w14:paraId="4166AB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E8" w14:textId="77777777" w:rsidR="00260C1F" w:rsidRDefault="00000000">
            <w:r>
              <w:t>5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E9" w14:textId="77777777" w:rsidR="00260C1F" w:rsidRDefault="00000000">
            <w:r>
              <w:t>Riesgo</w:t>
            </w:r>
          </w:p>
        </w:tc>
        <w:tc>
          <w:tcPr>
            <w:tcW w:w="43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EA" w14:textId="77777777" w:rsidR="00260C1F" w:rsidRDefault="00000000">
            <w:r>
              <w:t>Endeudamiento, riesgo crítico por segmento y cobertura con seguros de protección.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EB" w14:textId="77777777" w:rsidR="00260C1F" w:rsidRDefault="00000000">
            <w:r>
              <w:t>Barras 100 %, tabla con alertas de color</w:t>
            </w:r>
          </w:p>
        </w:tc>
      </w:tr>
      <w:tr w:rsidR="00260C1F" w:rsidRPr="00305E28" w14:paraId="4166AB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ED" w14:textId="77777777" w:rsidR="00260C1F" w:rsidRDefault="00000000">
            <w:r>
              <w:t>6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EE" w14:textId="77777777" w:rsidR="00260C1F" w:rsidRDefault="00000000">
            <w:r>
              <w:t>Segmentos y propensión</w:t>
            </w:r>
          </w:p>
        </w:tc>
        <w:tc>
          <w:tcPr>
            <w:tcW w:w="43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EF" w14:textId="77777777" w:rsidR="00260C1F" w:rsidRDefault="00000000">
            <w:r>
              <w:t>Segmentos K-Means, modelo de propensión y lista priorizada de clientes para campaña.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F0" w14:textId="77777777" w:rsidR="00260C1F" w:rsidRPr="00305E28" w:rsidRDefault="00000000">
            <w:pPr>
              <w:rPr>
                <w:lang w:val="en-US"/>
              </w:rPr>
            </w:pPr>
            <w:r w:rsidRPr="00305E28">
              <w:rPr>
                <w:lang w:val="en-US"/>
              </w:rPr>
              <w:t>Parámetro what-if (umbral), tablas</w:t>
            </w:r>
          </w:p>
        </w:tc>
      </w:tr>
      <w:tr w:rsidR="00260C1F" w14:paraId="4166AB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F2" w14:textId="77777777" w:rsidR="00260C1F" w:rsidRDefault="00000000">
            <w:r>
              <w:t>7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F3" w14:textId="77777777" w:rsidR="00260C1F" w:rsidRDefault="00000000">
            <w:r>
              <w:t>Exploración IA</w:t>
            </w:r>
          </w:p>
        </w:tc>
        <w:tc>
          <w:tcPr>
            <w:tcW w:w="43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F4" w14:textId="77777777" w:rsidR="00260C1F" w:rsidRDefault="00000000">
            <w:r>
              <w:t>Exploración libre del margen y de los factores que explican la inversión.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F5" w14:textId="77777777" w:rsidR="00260C1F" w:rsidRDefault="00000000">
            <w:r>
              <w:t>Árbol de descomposición, influenciadores clave, mapa de calor de correlaciones</w:t>
            </w:r>
          </w:p>
        </w:tc>
      </w:tr>
      <w:tr w:rsidR="00260C1F" w14:paraId="4166AB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F7" w14:textId="77777777" w:rsidR="00260C1F" w:rsidRDefault="00000000">
            <w:r>
              <w:t>8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F8" w14:textId="77777777" w:rsidR="00260C1F" w:rsidRDefault="00000000">
            <w:r>
              <w:t>Ficha de cliente</w:t>
            </w:r>
          </w:p>
        </w:tc>
        <w:tc>
          <w:tcPr>
            <w:tcW w:w="43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F9" w14:textId="77777777" w:rsidR="00260C1F" w:rsidRDefault="00000000">
            <w:r>
              <w:t>Detalle individual con productos, probabilidad de inversión y acción recomendada.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FA" w14:textId="77777777" w:rsidR="00260C1F" w:rsidRDefault="00000000">
            <w:r>
              <w:t>Obtención de detalles (</w:t>
            </w:r>
            <w:proofErr w:type="spellStart"/>
            <w:r>
              <w:t>drillthrough</w:t>
            </w:r>
            <w:proofErr w:type="spellEnd"/>
            <w:r>
              <w:t>), medidor</w:t>
            </w:r>
          </w:p>
        </w:tc>
      </w:tr>
      <w:tr w:rsidR="00260C1F" w14:paraId="4166AC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FC" w14:textId="77777777" w:rsidR="00260C1F" w:rsidRDefault="00000000">
            <w:r>
              <w:t>9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FD" w14:textId="77777777" w:rsidR="00260C1F" w:rsidRDefault="00000000">
            <w:r>
              <w:t xml:space="preserve">Glosario de </w:t>
            </w:r>
            <w:proofErr w:type="spellStart"/>
            <w:r>
              <w:t>KPIs</w:t>
            </w:r>
            <w:proofErr w:type="spellEnd"/>
          </w:p>
        </w:tc>
        <w:tc>
          <w:tcPr>
            <w:tcW w:w="43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FE" w14:textId="77777777" w:rsidR="00260C1F" w:rsidRDefault="00000000">
            <w:r>
              <w:t>Definición, fórmula y página de cada KPI, y guía de uso del informe.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BFF" w14:textId="77777777" w:rsidR="00260C1F" w:rsidRDefault="00000000">
            <w:r>
              <w:t>Tabla, cuadro de texto</w:t>
            </w:r>
          </w:p>
        </w:tc>
      </w:tr>
    </w:tbl>
    <w:p w14:paraId="4166AC01" w14:textId="77777777" w:rsidR="00260C1F" w:rsidRDefault="00260C1F">
      <w:pPr>
        <w:spacing w:after="80"/>
      </w:pPr>
    </w:p>
    <w:p w14:paraId="4166AC02" w14:textId="77777777" w:rsidR="00260C1F" w:rsidRDefault="00000000">
      <w:pPr>
        <w:pStyle w:val="Ttulo2"/>
      </w:pPr>
      <w:r>
        <w:t>2.3. Capacidades de Power BI aprovechadas</w:t>
      </w:r>
    </w:p>
    <w:p w14:paraId="4166AC03" w14:textId="77777777" w:rsidR="00260C1F" w:rsidRDefault="00000000">
      <w:pPr>
        <w:spacing w:after="120" w:line="276" w:lineRule="auto"/>
      </w:pPr>
      <w:r>
        <w:t>El objetivo no es replicar un Excel con filtros, sino aprovechar lo que aporta Power BI:</w:t>
      </w:r>
    </w:p>
    <w:p w14:paraId="4166AC04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rPr>
          <w:b/>
          <w:bCs/>
        </w:rPr>
        <w:lastRenderedPageBreak/>
        <w:t>Modelo semántico en estrella</w:t>
      </w:r>
      <w:r>
        <w:t xml:space="preserve"> con 9 tablas, 5 relaciones (una bidireccional para la relación muchos a muchos cliente-producto) y </w:t>
      </w:r>
      <w:r>
        <w:rPr>
          <w:b/>
          <w:bCs/>
        </w:rPr>
        <w:t>55 medidas DAX</w:t>
      </w:r>
      <w:r>
        <w:t xml:space="preserve"> organizadas en 7 carpetas.</w:t>
      </w:r>
    </w:p>
    <w:p w14:paraId="4166AC05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Navegación tipo aplicación:</w:t>
      </w:r>
      <w:r>
        <w:t xml:space="preserve"> botones con acción de página, menú principal y barra lateral con la sección activa resaltada.</w:t>
      </w:r>
    </w:p>
    <w:p w14:paraId="4166AC06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proofErr w:type="spellStart"/>
      <w:r>
        <w:rPr>
          <w:b/>
          <w:bCs/>
        </w:rPr>
        <w:t>Segmentadores</w:t>
      </w:r>
      <w:proofErr w:type="spellEnd"/>
      <w:r>
        <w:rPr>
          <w:b/>
          <w:bCs/>
        </w:rPr>
        <w:t xml:space="preserve"> sincronizados</w:t>
      </w:r>
      <w:r>
        <w:t xml:space="preserve"> (perfil, segmento, nivel de renta y comunidad): un filtro aplicado en una página se mantiene al cambiar de página, y un texto dinámico en la cabecera recuerda qué está filtrado.</w:t>
      </w:r>
    </w:p>
    <w:p w14:paraId="4166AC07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Obtención de detalles (</w:t>
      </w:r>
      <w:proofErr w:type="spellStart"/>
      <w:r>
        <w:rPr>
          <w:b/>
          <w:bCs/>
        </w:rPr>
        <w:t>drillthrough</w:t>
      </w:r>
      <w:proofErr w:type="spellEnd"/>
      <w:r>
        <w:rPr>
          <w:b/>
          <w:bCs/>
        </w:rPr>
        <w:t>):</w:t>
      </w:r>
      <w:r>
        <w:t xml:space="preserve"> desde cualquier tabla de clientes, clic derecho → «Obtener detalles» → «Ficha de cliente», que muestra su perfil, productos, probabilidad de inversión y una acción recomendada calculada en DAX.</w:t>
      </w:r>
    </w:p>
    <w:p w14:paraId="4166AC08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 xml:space="preserve">Parámetro </w:t>
      </w:r>
      <w:proofErr w:type="spellStart"/>
      <w:r>
        <w:rPr>
          <w:b/>
          <w:bCs/>
        </w:rPr>
        <w:t>what-if</w:t>
      </w:r>
      <w:proofErr w:type="spellEnd"/>
      <w:r>
        <w:t xml:space="preserve"> «Umbral de propensión» (0,30 a 0,90): mueve el corte de probabilidad y recalcula al instante cuántos clientes entran en campaña.</w:t>
      </w:r>
    </w:p>
    <w:p w14:paraId="4166AC09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Visuales de IA:</w:t>
      </w:r>
      <w:r>
        <w:t xml:space="preserve"> árbol de descomposición (descompone el margen por el eje que se elija) e influenciadores clave (qué factores aumentan la probabilidad de invertir).</w:t>
      </w:r>
    </w:p>
    <w:p w14:paraId="4166AC0A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Formato condicional dirigido por medidas:</w:t>
      </w:r>
      <w:r>
        <w:t xml:space="preserve"> mapas de calor en matrices, semáforos de riesgo y colores de coeficientes positivos/negativos definidos en DAX, no a mano.</w:t>
      </w:r>
    </w:p>
    <w:p w14:paraId="4166AC0B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Textos dinámicos (</w:t>
      </w:r>
      <w:proofErr w:type="spellStart"/>
      <w:r>
        <w:rPr>
          <w:b/>
          <w:bCs/>
        </w:rPr>
        <w:t>insights</w:t>
      </w:r>
      <w:proofErr w:type="spellEnd"/>
      <w:r>
        <w:rPr>
          <w:b/>
          <w:bCs/>
        </w:rPr>
        <w:t xml:space="preserve"> automáticos):</w:t>
      </w:r>
      <w:r>
        <w:t xml:space="preserve"> medidas que redactan una frase que cambia con los filtros, por </w:t>
      </w:r>
      <w:proofErr w:type="gramStart"/>
      <w:r>
        <w:t>ejemplo</w:t>
      </w:r>
      <w:proofErr w:type="gramEnd"/>
      <w:r>
        <w:t xml:space="preserve"> el perfil con mayor inversión en la selección actual.</w:t>
      </w:r>
    </w:p>
    <w:p w14:paraId="4166AC0C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Tema corporativo propio</w:t>
      </w:r>
      <w:r>
        <w:t xml:space="preserve"> (</w:t>
      </w:r>
      <w:proofErr w:type="spellStart"/>
      <w:r>
        <w:t>TemaEthos.json</w:t>
      </w:r>
      <w:proofErr w:type="spellEnd"/>
      <w:r>
        <w:t>) con paleta accesible y tipografía homogénea, y fondos de página en alta resolución.</w:t>
      </w:r>
    </w:p>
    <w:p w14:paraId="4166AC0D" w14:textId="77777777" w:rsidR="00260C1F" w:rsidRDefault="00000000">
      <w:pPr>
        <w:pStyle w:val="Ttulo2"/>
      </w:pPr>
      <w:r>
        <w:t>2.4. Modelo de datos</w:t>
      </w:r>
    </w:p>
    <w:p w14:paraId="4166AC0E" w14:textId="77777777" w:rsidR="00260C1F" w:rsidRDefault="00000000">
      <w:pPr>
        <w:spacing w:after="120" w:line="276" w:lineRule="auto"/>
      </w:pPr>
      <w:r>
        <w:t xml:space="preserve">Las tablas proceden del notebook (sección 6), que exporta un Excel limpio con una hoja por tabla. La tabla de hechos </w:t>
      </w:r>
      <w:proofErr w:type="spellStart"/>
      <w:r>
        <w:t>principal es</w:t>
      </w:r>
      <w:proofErr w:type="spellEnd"/>
      <w:r>
        <w:t xml:space="preserve"> </w:t>
      </w:r>
      <w:r>
        <w:rPr>
          <w:b/>
          <w:bCs/>
        </w:rPr>
        <w:t>Clientes</w:t>
      </w:r>
      <w:r>
        <w:t xml:space="preserve"> (una fila por cliente con todas las variables derivadas, el segmento ML y la probabilidad de inversión) y se rodea de dimensiones y tablas de resultados analíticos: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38"/>
        <w:gridCol w:w="2600"/>
      </w:tblGrid>
      <w:tr w:rsidR="00260C1F" w14:paraId="4166AC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0F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4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10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11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Relación</w:t>
            </w:r>
          </w:p>
        </w:tc>
      </w:tr>
      <w:tr w:rsidR="00260C1F" w14:paraId="4166AC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13" w14:textId="77777777" w:rsidR="00260C1F" w:rsidRDefault="00000000">
            <w:r>
              <w:t>Clientes</w:t>
            </w:r>
          </w:p>
        </w:tc>
        <w:tc>
          <w:tcPr>
            <w:tcW w:w="4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14" w14:textId="77777777" w:rsidR="00260C1F" w:rsidRDefault="00000000">
            <w:r>
              <w:t>9.822 clientes × 51 columnas (demografía, patrimonio, margen, deuda, productos, segmento, propensión)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15" w14:textId="77777777" w:rsidR="00260C1F" w:rsidRDefault="00000000">
            <w:r>
              <w:t>Tabla central</w:t>
            </w:r>
          </w:p>
        </w:tc>
      </w:tr>
      <w:tr w:rsidR="00260C1F" w14:paraId="4166AC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17" w14:textId="77777777" w:rsidR="00260C1F" w:rsidRDefault="00000000">
            <w:proofErr w:type="spellStart"/>
            <w:r>
              <w:t>Geografia</w:t>
            </w:r>
            <w:proofErr w:type="spellEnd"/>
          </w:p>
        </w:tc>
        <w:tc>
          <w:tcPr>
            <w:tcW w:w="4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18" w14:textId="77777777" w:rsidR="00260C1F" w:rsidRDefault="00000000">
            <w:r>
              <w:t>53 provincias con comunidad autónoma y ámbito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19" w14:textId="77777777" w:rsidR="00260C1F" w:rsidRDefault="00000000">
            <w:proofErr w:type="gramStart"/>
            <w:r>
              <w:t>Clientes[</w:t>
            </w:r>
            <w:proofErr w:type="gramEnd"/>
            <w:r>
              <w:t>Código provincia] → *:1</w:t>
            </w:r>
          </w:p>
        </w:tc>
      </w:tr>
      <w:tr w:rsidR="00260C1F" w14:paraId="4166AC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1B" w14:textId="77777777" w:rsidR="00260C1F" w:rsidRDefault="00000000">
            <w:r>
              <w:t>Perfiles</w:t>
            </w:r>
          </w:p>
        </w:tc>
        <w:tc>
          <w:tcPr>
            <w:tcW w:w="4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1C" w14:textId="77777777" w:rsidR="00260C1F" w:rsidRDefault="00000000">
            <w:r>
              <w:t>3 perfiles de inversión con su producto objetivo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1D" w14:textId="77777777" w:rsidR="00260C1F" w:rsidRDefault="00000000">
            <w:proofErr w:type="gramStart"/>
            <w:r>
              <w:t>Clientes[</w:t>
            </w:r>
            <w:proofErr w:type="gramEnd"/>
            <w:r>
              <w:t>Perfil inversión] → *:1</w:t>
            </w:r>
          </w:p>
        </w:tc>
      </w:tr>
      <w:tr w:rsidR="00260C1F" w14:paraId="4166AC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1F" w14:textId="77777777" w:rsidR="00260C1F" w:rsidRDefault="00000000">
            <w:proofErr w:type="spellStart"/>
            <w:r>
              <w:t>SegmentosML</w:t>
            </w:r>
            <w:proofErr w:type="spellEnd"/>
          </w:p>
        </w:tc>
        <w:tc>
          <w:tcPr>
            <w:tcW w:w="4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20" w14:textId="77777777" w:rsidR="00260C1F" w:rsidRDefault="00000000">
            <w:r>
              <w:t>6 segmentos K-Means + atípicos con su descripción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21" w14:textId="77777777" w:rsidR="00260C1F" w:rsidRDefault="00000000">
            <w:proofErr w:type="gramStart"/>
            <w:r>
              <w:t>Clientes[</w:t>
            </w:r>
            <w:proofErr w:type="gramEnd"/>
            <w:r>
              <w:t>Segmento ML] → *:1</w:t>
            </w:r>
          </w:p>
        </w:tc>
      </w:tr>
      <w:tr w:rsidR="00260C1F" w14:paraId="4166A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23" w14:textId="77777777" w:rsidR="00260C1F" w:rsidRDefault="00000000">
            <w:r>
              <w:t xml:space="preserve">Productos / </w:t>
            </w:r>
            <w:proofErr w:type="spellStart"/>
            <w:r>
              <w:t>ClienteProducto</w:t>
            </w:r>
            <w:proofErr w:type="spellEnd"/>
          </w:p>
        </w:tc>
        <w:tc>
          <w:tcPr>
            <w:tcW w:w="4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24" w14:textId="77777777" w:rsidR="00260C1F" w:rsidRDefault="00000000">
            <w:r>
              <w:t>45 productos y 21.260 contrataciones (puente muchos a muchos)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25" w14:textId="77777777" w:rsidR="00260C1F" w:rsidRDefault="00000000">
            <w:proofErr w:type="spellStart"/>
            <w:r>
              <w:t>ClienteProducto</w:t>
            </w:r>
            <w:proofErr w:type="spellEnd"/>
            <w:r>
              <w:t xml:space="preserve"> → Clientes (bidireccional) y → Productos</w:t>
            </w:r>
          </w:p>
        </w:tc>
      </w:tr>
      <w:tr w:rsidR="00260C1F" w14:paraId="4166AC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27" w14:textId="77777777" w:rsidR="00260C1F" w:rsidRDefault="00000000">
            <w:r>
              <w:t xml:space="preserve">Correlaciones, </w:t>
            </w:r>
            <w:proofErr w:type="spellStart"/>
            <w:r>
              <w:t>FactoresInversion</w:t>
            </w:r>
            <w:proofErr w:type="spellEnd"/>
            <w:r>
              <w:t xml:space="preserve">, </w:t>
            </w:r>
            <w:proofErr w:type="spellStart"/>
            <w:r>
              <w:t>ModeloMetricas</w:t>
            </w:r>
            <w:proofErr w:type="spellEnd"/>
            <w:r>
              <w:t xml:space="preserve">, </w:t>
            </w:r>
            <w:proofErr w:type="spellStart"/>
            <w:r>
              <w:t>ModeloCoeficientes</w:t>
            </w:r>
            <w:proofErr w:type="spellEnd"/>
            <w:r>
              <w:t xml:space="preserve">, </w:t>
            </w:r>
            <w:proofErr w:type="spellStart"/>
            <w:r>
              <w:t>SeleccionK</w:t>
            </w:r>
            <w:proofErr w:type="spellEnd"/>
          </w:p>
        </w:tc>
        <w:tc>
          <w:tcPr>
            <w:tcW w:w="4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28" w14:textId="77777777" w:rsidR="00260C1F" w:rsidRDefault="00000000">
            <w:r>
              <w:t>Resultados del notebook para la página Exploración IA y Segmentos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29" w14:textId="77777777" w:rsidR="00260C1F" w:rsidRDefault="00000000">
            <w:r>
              <w:t>Tablas desconectadas</w:t>
            </w:r>
          </w:p>
        </w:tc>
      </w:tr>
      <w:tr w:rsidR="00260C1F" w14:paraId="4166AC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2B" w14:textId="77777777" w:rsidR="00260C1F" w:rsidRDefault="00000000">
            <w:proofErr w:type="spellStart"/>
            <w:r>
              <w:t>KPIs</w:t>
            </w:r>
            <w:proofErr w:type="spellEnd"/>
            <w:r>
              <w:t>, Umbral, Medidas</w:t>
            </w:r>
          </w:p>
        </w:tc>
        <w:tc>
          <w:tcPr>
            <w:tcW w:w="4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2C" w14:textId="77777777" w:rsidR="00260C1F" w:rsidRDefault="00000000">
            <w:r>
              <w:t xml:space="preserve">Glosario, parámetro </w:t>
            </w:r>
            <w:proofErr w:type="spellStart"/>
            <w:r>
              <w:t>what-if</w:t>
            </w:r>
            <w:proofErr w:type="spellEnd"/>
            <w:r>
              <w:t xml:space="preserve"> y tabla contenedora de medidas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2D" w14:textId="77777777" w:rsidR="00260C1F" w:rsidRDefault="00000000">
            <w:r>
              <w:t>Tablas auxiliares</w:t>
            </w:r>
          </w:p>
        </w:tc>
      </w:tr>
    </w:tbl>
    <w:p w14:paraId="4166AC2F" w14:textId="77777777" w:rsidR="00260C1F" w:rsidRDefault="00000000">
      <w:pPr>
        <w:pStyle w:val="Ttulo1"/>
        <w:pageBreakBefore/>
      </w:pPr>
      <w:r>
        <w:lastRenderedPageBreak/>
        <w:t xml:space="preserve">3. Cómo se generan los </w:t>
      </w:r>
      <w:proofErr w:type="spellStart"/>
      <w:r>
        <w:t>insights</w:t>
      </w:r>
      <w:proofErr w:type="spellEnd"/>
    </w:p>
    <w:p w14:paraId="4166AC30" w14:textId="77777777" w:rsidR="00260C1F" w:rsidRDefault="00000000">
      <w:pPr>
        <w:spacing w:after="120" w:line="276" w:lineRule="auto"/>
      </w:pPr>
      <w:r>
        <w:t xml:space="preserve">Cada </w:t>
      </w:r>
      <w:proofErr w:type="spellStart"/>
      <w:r>
        <w:t>insight</w:t>
      </w:r>
      <w:proofErr w:type="spellEnd"/>
      <w:r>
        <w:t xml:space="preserve"> sigue el mismo proceso, pensado para que sea </w:t>
      </w:r>
      <w:r>
        <w:rPr>
          <w:b/>
          <w:bCs/>
        </w:rPr>
        <w:t>reproducible</w:t>
      </w:r>
      <w:r>
        <w:t xml:space="preserve"> dentro del informe:</w:t>
      </w:r>
    </w:p>
    <w:p w14:paraId="4166AC31" w14:textId="77777777" w:rsidR="00260C1F" w:rsidRDefault="00000000">
      <w:pPr>
        <w:pStyle w:val="Prrafodelista"/>
        <w:numPr>
          <w:ilvl w:val="0"/>
          <w:numId w:val="5"/>
        </w:numPr>
        <w:spacing w:after="60" w:line="264" w:lineRule="auto"/>
      </w:pPr>
      <w:r>
        <w:rPr>
          <w:b/>
          <w:bCs/>
        </w:rPr>
        <w:t>Pregunta de negocio.</w:t>
      </w:r>
      <w:r>
        <w:t xml:space="preserve"> Se parte de una duda concreta (¿quién deja el margen?, ¿qué hace que un cliente invierta?).</w:t>
      </w:r>
    </w:p>
    <w:p w14:paraId="4166AC32" w14:textId="77777777" w:rsidR="00260C1F" w:rsidRDefault="00000000">
      <w:pPr>
        <w:pStyle w:val="Prrafodelista"/>
        <w:numPr>
          <w:ilvl w:val="0"/>
          <w:numId w:val="5"/>
        </w:numPr>
        <w:spacing w:after="60" w:line="264" w:lineRule="auto"/>
      </w:pPr>
      <w:r>
        <w:rPr>
          <w:b/>
          <w:bCs/>
        </w:rPr>
        <w:t>Exploración en Power BI.</w:t>
      </w:r>
      <w:r>
        <w:t xml:space="preserve"> Se busca la respuesta en la página correspondiente, combinando </w:t>
      </w:r>
      <w:proofErr w:type="spellStart"/>
      <w:r>
        <w:t>segmentadores</w:t>
      </w:r>
      <w:proofErr w:type="spellEnd"/>
      <w:r>
        <w:t xml:space="preserve"> y la interacción entre visuales (al hacer clic en una barra se filtran los demás gráficos de la página).</w:t>
      </w:r>
    </w:p>
    <w:p w14:paraId="4166AC33" w14:textId="77777777" w:rsidR="00260C1F" w:rsidRDefault="00000000">
      <w:pPr>
        <w:pStyle w:val="Prrafodelista"/>
        <w:numPr>
          <w:ilvl w:val="0"/>
          <w:numId w:val="5"/>
        </w:numPr>
        <w:spacing w:after="60" w:line="264" w:lineRule="auto"/>
      </w:pPr>
      <w:r>
        <w:rPr>
          <w:b/>
          <w:bCs/>
        </w:rPr>
        <w:t>Validación estadística.</w:t>
      </w:r>
      <w:r>
        <w:t xml:space="preserve"> Si el patrón parece relevante se comprueba en el notebook con una prueba adecuada (Spearman, Mann-Whitney/AUC, V de </w:t>
      </w:r>
      <w:proofErr w:type="spellStart"/>
      <w:r>
        <w:t>Cramér</w:t>
      </w:r>
      <w:proofErr w:type="spellEnd"/>
      <w:r>
        <w:t>) para descartar que sea casualidad o un efecto de tamaño muestral.</w:t>
      </w:r>
    </w:p>
    <w:p w14:paraId="4166AC34" w14:textId="77777777" w:rsidR="00260C1F" w:rsidRDefault="00000000">
      <w:pPr>
        <w:pStyle w:val="Prrafodelista"/>
        <w:numPr>
          <w:ilvl w:val="0"/>
          <w:numId w:val="5"/>
        </w:numPr>
        <w:spacing w:after="60" w:line="264" w:lineRule="auto"/>
      </w:pPr>
      <w:r>
        <w:rPr>
          <w:b/>
          <w:bCs/>
        </w:rPr>
        <w:t>Recomendación.</w:t>
      </w:r>
      <w:r>
        <w:t xml:space="preserve"> Se traduce en una acción comercial o de gestión concreta y medible.</w:t>
      </w:r>
    </w:p>
    <w:p w14:paraId="4166AC35" w14:textId="77777777" w:rsidR="00260C1F" w:rsidRDefault="00000000">
      <w:pPr>
        <w:spacing w:after="120" w:line="276" w:lineRule="auto"/>
      </w:pPr>
      <w:r>
        <w:t xml:space="preserve">En cada </w:t>
      </w:r>
      <w:proofErr w:type="spellStart"/>
      <w:r>
        <w:t>insight</w:t>
      </w:r>
      <w:proofErr w:type="spellEnd"/>
      <w:r>
        <w:t xml:space="preserve"> se indica la ruta exacta dentro del informe (página → visual → filtro) con el formato de caja azul, y la recomendación en la caja verde.</w:t>
      </w:r>
    </w:p>
    <w:p w14:paraId="4166AC36" w14:textId="77777777" w:rsidR="00260C1F" w:rsidRDefault="00000000">
      <w:pPr>
        <w:pStyle w:val="Ttulo1"/>
        <w:pageBreakBefore/>
      </w:pPr>
      <w:r>
        <w:lastRenderedPageBreak/>
        <w:t xml:space="preserve">4. </w:t>
      </w:r>
      <w:proofErr w:type="spellStart"/>
      <w:r>
        <w:t>Insights</w:t>
      </w:r>
      <w:proofErr w:type="spellEnd"/>
    </w:p>
    <w:p w14:paraId="4166AC37" w14:textId="77777777" w:rsidR="00260C1F" w:rsidRDefault="00000000">
      <w:pPr>
        <w:pStyle w:val="Ttulo2"/>
      </w:pPr>
      <w:proofErr w:type="spellStart"/>
      <w:r>
        <w:t>Insight</w:t>
      </w:r>
      <w:proofErr w:type="spellEnd"/>
      <w:r>
        <w:t xml:space="preserve"> 1. El 10 % de los clientes genera más de la mitad del margen</w:t>
      </w:r>
    </w:p>
    <w:p w14:paraId="4166AC38" w14:textId="77777777" w:rsidR="00260C1F" w:rsidRDefault="00000000">
      <w:pPr>
        <w:spacing w:after="120" w:line="276" w:lineRule="auto"/>
      </w:pPr>
      <w:r>
        <w:t xml:space="preserve">El margen comercial está muy concentrado: el </w:t>
      </w:r>
      <w:r>
        <w:rPr>
          <w:b/>
          <w:bCs/>
        </w:rPr>
        <w:t>10 % de los clientes aporta el 57,7 %</w:t>
      </w:r>
      <w:r>
        <w:t xml:space="preserve"> del margen total y el 20 % llega al 76,5 %. En el otro extremo, </w:t>
      </w:r>
      <w:r>
        <w:rPr>
          <w:b/>
          <w:bCs/>
        </w:rPr>
        <w:t>629 clientes tienen margen negativo</w:t>
      </w:r>
      <w:r>
        <w:t xml:space="preserve"> (−22.355 € en total): cuestan dinero al banco.</w:t>
      </w:r>
    </w:p>
    <w:p w14:paraId="4166AC39" w14:textId="77777777" w:rsidR="00260C1F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166AD90" wp14:editId="4166AD91">
            <wp:extent cx="5334000" cy="2771775"/>
            <wp:effectExtent l="0" t="0" r="0" b="0"/>
            <wp:docPr id="1312491727" name="Figura 1. Curva de concentración del margen (cuanto más se aleja de la diagonal, más concentrado)" descr="Figura 1. Curva de concentración del margen (cuanto más se aleja de la diagonal, más concentrado)" title="Figura 1. Curva de concentración del margen (cuanto más se aleja de la diagonal, más concentrad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AC3A" w14:textId="77777777" w:rsidR="00260C1F" w:rsidRDefault="00000000">
      <w:pPr>
        <w:spacing w:after="160"/>
        <w:jc w:val="center"/>
      </w:pPr>
      <w:r>
        <w:rPr>
          <w:i/>
          <w:iCs/>
          <w:color w:val="5B6575"/>
          <w:sz w:val="18"/>
          <w:szCs w:val="18"/>
        </w:rPr>
        <w:t>Figura 1. Curva de concentración del margen (cuanto más se aleja de la diagonal, más concentrado)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4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3B" w14:textId="77777777" w:rsidR="00260C1F" w:rsidRDefault="00000000">
            <w:pPr>
              <w:spacing w:after="60"/>
            </w:pPr>
            <w:r>
              <w:rPr>
                <w:b/>
                <w:bCs/>
                <w:color w:val="2A78D6"/>
              </w:rPr>
              <w:t>Cómo se encontró en el Power BI</w:t>
            </w:r>
          </w:p>
          <w:p w14:paraId="4166AC3C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Página:</w:t>
            </w:r>
            <w:r>
              <w:t xml:space="preserve"> Resumen ejecutivo.</w:t>
            </w:r>
          </w:p>
          <w:p w14:paraId="4166AC3D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Visual:</w:t>
            </w:r>
            <w:r>
              <w:t xml:space="preserve"> tarjeta «Concentración margen Top 10 %» y tarjeta «Clientes con margen negativo».</w:t>
            </w:r>
          </w:p>
          <w:p w14:paraId="4166AC3E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Exploración:</w:t>
            </w:r>
            <w:r>
              <w:t xml:space="preserve"> al cambiar el </w:t>
            </w:r>
            <w:proofErr w:type="spellStart"/>
            <w:r>
              <w:t>segmentador</w:t>
            </w:r>
            <w:proofErr w:type="spellEnd"/>
            <w:r>
              <w:t xml:space="preserve"> de perfil la concentración se mantiene por encima del 50 % en los tres perfiles, lo que indica que es un rasgo estructural de la cartera.</w:t>
            </w:r>
          </w:p>
          <w:p w14:paraId="4166AC3F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Profundizar:</w:t>
            </w:r>
            <w:r>
              <w:t xml:space="preserve"> página Exploración IA → árbol de descomposición sobre «Margen total», expandiendo por Segmento ML y Tramo de patrimonio.</w:t>
            </w:r>
          </w:p>
        </w:tc>
      </w:tr>
    </w:tbl>
    <w:p w14:paraId="4166AC41" w14:textId="77777777" w:rsidR="00260C1F" w:rsidRDefault="00260C1F">
      <w:pPr>
        <w:spacing w:after="80"/>
      </w:pPr>
    </w:p>
    <w:p w14:paraId="4166AC42" w14:textId="77777777" w:rsidR="00260C1F" w:rsidRDefault="00000000">
      <w:pPr>
        <w:spacing w:after="120" w:line="276" w:lineRule="auto"/>
      </w:pPr>
      <w:r>
        <w:rPr>
          <w:b/>
          <w:bCs/>
        </w:rPr>
        <w:t>Evidencia.</w:t>
      </w:r>
      <w:r>
        <w:t xml:space="preserve"> La concentración es típica de banca minorista, pero aquí es intensa: perder unos pocos cientos de clientes afectaría a más de la mitad del resultado. El margen negativo se concentra en Transaccionales con nómina (300 clientes) y Poco vinculados (196), con un patrimonio mediano de 858 € frente a 2.112 € del conjunto y 1,6 productos de media.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4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BAF7A"/>
              <w:bottom w:val="none" w:sz="0" w:space="0" w:color="FFFFFF"/>
              <w:right w:val="none" w:sz="0" w:space="0" w:color="FFFFFF"/>
            </w:tcBorders>
            <w:shd w:val="clear" w:color="auto" w:fill="EAF7F1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43" w14:textId="77777777" w:rsidR="00260C1F" w:rsidRDefault="00000000">
            <w:pPr>
              <w:spacing w:after="60"/>
            </w:pPr>
            <w:r>
              <w:rPr>
                <w:b/>
                <w:bCs/>
                <w:color w:val="1BAF7A"/>
              </w:rPr>
              <w:t>Recomendación de negocio</w:t>
            </w:r>
          </w:p>
          <w:p w14:paraId="4166AC44" w14:textId="77777777" w:rsidR="00260C1F" w:rsidRDefault="00000000">
            <w:pPr>
              <w:spacing w:after="40"/>
            </w:pPr>
            <w:r>
              <w:t>Programa de retención y atención preferente para el decil superior (alertas de fuga, gestor asignado). Revisar precios y comisiones de los clientes con margen negativo antes de captar más clientes de ese perfil.</w:t>
            </w:r>
          </w:p>
        </w:tc>
      </w:tr>
    </w:tbl>
    <w:p w14:paraId="4166AC46" w14:textId="77777777" w:rsidR="00260C1F" w:rsidRDefault="00260C1F">
      <w:pPr>
        <w:spacing w:after="80"/>
      </w:pPr>
    </w:p>
    <w:p w14:paraId="4166AC47" w14:textId="77777777" w:rsidR="00260C1F" w:rsidRDefault="00000000">
      <w:pPr>
        <w:pStyle w:val="Ttulo2"/>
      </w:pPr>
      <w:proofErr w:type="spellStart"/>
      <w:r>
        <w:t>Insight</w:t>
      </w:r>
      <w:proofErr w:type="spellEnd"/>
      <w:r>
        <w:t xml:space="preserve"> 2. Cien clientes concentran casi una cuarta parte del patrimonio</w:t>
      </w:r>
    </w:p>
    <w:p w14:paraId="4166AC48" w14:textId="77777777" w:rsidR="00260C1F" w:rsidRDefault="00000000">
      <w:pPr>
        <w:spacing w:after="120" w:line="276" w:lineRule="auto"/>
      </w:pPr>
      <w:r>
        <w:t xml:space="preserve">Los </w:t>
      </w:r>
      <w:r>
        <w:rPr>
          <w:b/>
          <w:bCs/>
        </w:rPr>
        <w:t>100 clientes con mayor patrimonio (el 1 % de la cartera) reúnen el 24,1 %</w:t>
      </w:r>
      <w:r>
        <w:t xml:space="preserve"> del patrimonio total. Es un riesgo de concentración: la salida de uno de ellos se nota en los saldos de toda la oficina.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4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49" w14:textId="77777777" w:rsidR="00260C1F" w:rsidRDefault="00000000">
            <w:pPr>
              <w:spacing w:after="60"/>
            </w:pPr>
            <w:r>
              <w:rPr>
                <w:b/>
                <w:bCs/>
                <w:color w:val="2A78D6"/>
              </w:rPr>
              <w:t>Cómo se encontró en el Power BI</w:t>
            </w:r>
          </w:p>
          <w:p w14:paraId="4166AC4A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Página:</w:t>
            </w:r>
            <w:r>
              <w:t xml:space="preserve"> Resumen ejecutivo → tarjeta «Concentración patrimonio Top 100».</w:t>
            </w:r>
          </w:p>
          <w:p w14:paraId="4166AC4B" w14:textId="77777777" w:rsidR="00260C1F" w:rsidRDefault="00000000">
            <w:pPr>
              <w:spacing w:after="40"/>
            </w:pPr>
            <w:r>
              <w:rPr>
                <w:b/>
                <w:bCs/>
              </w:rPr>
              <w:lastRenderedPageBreak/>
              <w:t>Detalle:</w:t>
            </w:r>
            <w:r>
              <w:t xml:space="preserve"> página Riesgo y Segmentos → tablas de clientes; clic derecho sobre un cliente → Obtener detalles → </w:t>
            </w:r>
            <w:r>
              <w:rPr>
                <w:b/>
                <w:bCs/>
              </w:rPr>
              <w:t>Ficha de cliente</w:t>
            </w:r>
            <w:r>
              <w:t xml:space="preserve"> para ver su cesta de productos y la acción recomendada.</w:t>
            </w:r>
          </w:p>
          <w:p w14:paraId="4166AC4C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Filtro útil:</w:t>
            </w:r>
            <w:r>
              <w:t xml:space="preserve"> columna «Top 100 patrimonio» = Sí en el panel de filtros.</w:t>
            </w:r>
          </w:p>
        </w:tc>
      </w:tr>
    </w:tbl>
    <w:p w14:paraId="4166AC4E" w14:textId="77777777" w:rsidR="00260C1F" w:rsidRDefault="00260C1F">
      <w:pPr>
        <w:spacing w:after="80"/>
      </w:pPr>
    </w:p>
    <w:p w14:paraId="4166AC4F" w14:textId="77777777" w:rsidR="00260C1F" w:rsidRDefault="00000000">
      <w:pPr>
        <w:spacing w:after="120" w:line="276" w:lineRule="auto"/>
      </w:pPr>
      <w:r>
        <w:rPr>
          <w:b/>
          <w:bCs/>
        </w:rPr>
        <w:t>Evidencia.</w:t>
      </w:r>
      <w:r>
        <w:t xml:space="preserve"> Los 100 son Pensionados (84 de ellos Ahorradores senior) y 59 tienen renta medio-alta. Su mediana es de 6 productos, pero 11 tienen 3 o menos: ahí la vinculación es mejorable.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5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BAF7A"/>
              <w:bottom w:val="none" w:sz="0" w:space="0" w:color="FFFFFF"/>
              <w:right w:val="none" w:sz="0" w:space="0" w:color="FFFFFF"/>
            </w:tcBorders>
            <w:shd w:val="clear" w:color="auto" w:fill="EAF7F1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50" w14:textId="77777777" w:rsidR="00260C1F" w:rsidRDefault="00000000">
            <w:pPr>
              <w:spacing w:after="60"/>
            </w:pPr>
            <w:r>
              <w:rPr>
                <w:b/>
                <w:bCs/>
                <w:color w:val="1BAF7A"/>
              </w:rPr>
              <w:t>Recomendación de negocio</w:t>
            </w:r>
          </w:p>
          <w:p w14:paraId="4166AC51" w14:textId="77777777" w:rsidR="00260C1F" w:rsidRDefault="00000000">
            <w:pPr>
              <w:spacing w:after="40"/>
            </w:pPr>
            <w:r>
              <w:t>Tratar el Top 100 como cartera de banca personal: revisión anual de cartera, oferta de gestión discrecional y seguimiento mensual de saldos.</w:t>
            </w:r>
          </w:p>
        </w:tc>
      </w:tr>
    </w:tbl>
    <w:p w14:paraId="4166AC53" w14:textId="77777777" w:rsidR="00260C1F" w:rsidRDefault="00260C1F">
      <w:pPr>
        <w:spacing w:after="80"/>
      </w:pPr>
    </w:p>
    <w:p w14:paraId="4166AC54" w14:textId="77777777" w:rsidR="00260C1F" w:rsidRDefault="00000000">
      <w:pPr>
        <w:pStyle w:val="Ttulo2"/>
      </w:pPr>
      <w:proofErr w:type="spellStart"/>
      <w:r>
        <w:t>Insight</w:t>
      </w:r>
      <w:proofErr w:type="spellEnd"/>
      <w:r>
        <w:t xml:space="preserve"> 3. Hipotecados: el segmento más rentable es también el más expuesto</w:t>
      </w:r>
    </w:p>
    <w:p w14:paraId="4166AC55" w14:textId="77777777" w:rsidR="00260C1F" w:rsidRDefault="00000000">
      <w:pPr>
        <w:spacing w:after="120" w:line="276" w:lineRule="auto"/>
      </w:pPr>
      <w:r>
        <w:t xml:space="preserve">El segmento </w:t>
      </w:r>
      <w:r>
        <w:rPr>
          <w:b/>
          <w:bCs/>
        </w:rPr>
        <w:t>Hipotecados</w:t>
      </w:r>
      <w:r>
        <w:t xml:space="preserve"> reúne el 14,3 % de los </w:t>
      </w:r>
      <w:proofErr w:type="gramStart"/>
      <w:r>
        <w:t>clientes</w:t>
      </w:r>
      <w:proofErr w:type="gramEnd"/>
      <w:r>
        <w:t xml:space="preserve"> pero genera el </w:t>
      </w:r>
      <w:r>
        <w:rPr>
          <w:b/>
          <w:bCs/>
        </w:rPr>
        <w:t>42,0 % del margen</w:t>
      </w:r>
      <w:r>
        <w:t xml:space="preserve">. Al mismo tiempo, </w:t>
      </w:r>
      <w:r>
        <w:rPr>
          <w:b/>
          <w:bCs/>
        </w:rPr>
        <w:t>1.215 de sus 1.400 clientes están en riesgo crítico</w:t>
      </w:r>
      <w:r>
        <w:t xml:space="preserve"> de endeudamiento (el 85,3 % de todos los clientes críticos de la cartera) y solo el </w:t>
      </w:r>
      <w:r>
        <w:rPr>
          <w:b/>
          <w:bCs/>
        </w:rPr>
        <w:t>50,6 % tiene seguro de protección</w:t>
      </w:r>
      <w:r>
        <w:t>.</w:t>
      </w:r>
    </w:p>
    <w:p w14:paraId="4166AC56" w14:textId="77777777" w:rsidR="00260C1F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166AD92" wp14:editId="4166AD93">
            <wp:extent cx="5334000" cy="1914525"/>
            <wp:effectExtent l="0" t="0" r="0" b="0"/>
            <wp:docPr id="825582113" name="Figura 2. Peso de cada segmento en número de clientes y en margen" descr="Figura 2. Peso de cada segmento en número de clientes y en margen" title="Figura 2. Peso de cada segmento en número de clientes y en mar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AC57" w14:textId="77777777" w:rsidR="00260C1F" w:rsidRDefault="00000000">
      <w:pPr>
        <w:spacing w:after="160"/>
        <w:jc w:val="center"/>
      </w:pPr>
      <w:r>
        <w:rPr>
          <w:i/>
          <w:iCs/>
          <w:color w:val="5B6575"/>
          <w:sz w:val="18"/>
          <w:szCs w:val="18"/>
        </w:rPr>
        <w:t>Figura 2. Peso de cada segmento en número de clientes y en margen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5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58" w14:textId="77777777" w:rsidR="00260C1F" w:rsidRDefault="00000000">
            <w:pPr>
              <w:spacing w:after="60"/>
            </w:pPr>
            <w:r>
              <w:rPr>
                <w:b/>
                <w:bCs/>
                <w:color w:val="2A78D6"/>
              </w:rPr>
              <w:t>Cómo se encontró en el Power BI</w:t>
            </w:r>
          </w:p>
          <w:p w14:paraId="4166AC59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Página:</w:t>
            </w:r>
            <w:r>
              <w:t xml:space="preserve"> Riesgo.</w:t>
            </w:r>
          </w:p>
          <w:p w14:paraId="4166AC5A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Visual:</w:t>
            </w:r>
            <w:r>
              <w:t xml:space="preserve"> barras 100 % «Nivel de riesgo por segmento» (casi toda la barra de Hipotecados es roja) y barras «% con seguro de protección por segmento».</w:t>
            </w:r>
          </w:p>
          <w:p w14:paraId="4166AC5B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Confirmación:</w:t>
            </w:r>
            <w:r>
              <w:t xml:space="preserve"> página Segmentos y propensión → gráfico combinado de clientes y % del margen por segmento.</w:t>
            </w:r>
          </w:p>
          <w:p w14:paraId="4166AC5C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Lista de acción:</w:t>
            </w:r>
            <w:r>
              <w:t xml:space="preserve"> tabla «Clientes en riesgo crítico» de la página Riesgo, filtrando Segmento ML = Hipotecados.</w:t>
            </w:r>
          </w:p>
        </w:tc>
      </w:tr>
    </w:tbl>
    <w:p w14:paraId="4166AC5E" w14:textId="77777777" w:rsidR="00260C1F" w:rsidRDefault="00260C1F">
      <w:pPr>
        <w:spacing w:after="80"/>
      </w:pPr>
    </w:p>
    <w:p w14:paraId="4166AC5F" w14:textId="77777777" w:rsidR="00260C1F" w:rsidRDefault="00000000">
      <w:pPr>
        <w:spacing w:after="120" w:line="276" w:lineRule="auto"/>
      </w:pPr>
      <w:r>
        <w:rPr>
          <w:b/>
          <w:bCs/>
        </w:rPr>
        <w:t>Evidencia.</w:t>
      </w:r>
      <w:r>
        <w:t xml:space="preserve"> El riesgo crítico se define con </w:t>
      </w:r>
      <w:proofErr w:type="gramStart"/>
      <w:r>
        <w:t>el ratio</w:t>
      </w:r>
      <w:proofErr w:type="gramEnd"/>
      <w:r>
        <w:t xml:space="preserve"> deuda / (renta anual), por lo que es esperable en hipotecados; lo relevante es que la mitad no tiene cobertura ante un impago por desempleo, enfermedad o fallecimiento.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6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BAF7A"/>
              <w:bottom w:val="none" w:sz="0" w:space="0" w:color="FFFFFF"/>
              <w:right w:val="none" w:sz="0" w:space="0" w:color="FFFFFF"/>
            </w:tcBorders>
            <w:shd w:val="clear" w:color="auto" w:fill="EAF7F1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60" w14:textId="77777777" w:rsidR="00260C1F" w:rsidRDefault="00000000">
            <w:pPr>
              <w:spacing w:after="60"/>
            </w:pPr>
            <w:r>
              <w:rPr>
                <w:b/>
                <w:bCs/>
                <w:color w:val="1BAF7A"/>
              </w:rPr>
              <w:t>Recomendación de negocio</w:t>
            </w:r>
          </w:p>
          <w:p w14:paraId="4166AC61" w14:textId="77777777" w:rsidR="00260C1F" w:rsidRDefault="00000000">
            <w:pPr>
              <w:spacing w:after="40"/>
            </w:pPr>
            <w:r>
              <w:t>Campaña de seguros de protección de pagos dirigida a los hipotecados sin seguro (unos 690 clientes): reduce el riesgo de impago y además aumenta el margen por comisiones.</w:t>
            </w:r>
          </w:p>
        </w:tc>
      </w:tr>
    </w:tbl>
    <w:p w14:paraId="4166AC63" w14:textId="77777777" w:rsidR="00260C1F" w:rsidRDefault="00260C1F">
      <w:pPr>
        <w:spacing w:after="80"/>
      </w:pPr>
    </w:p>
    <w:p w14:paraId="4166AC64" w14:textId="77777777" w:rsidR="00260C1F" w:rsidRDefault="00000000">
      <w:pPr>
        <w:pStyle w:val="Ttulo2"/>
      </w:pPr>
      <w:proofErr w:type="spellStart"/>
      <w:r>
        <w:lastRenderedPageBreak/>
        <w:t>Insight</w:t>
      </w:r>
      <w:proofErr w:type="spellEnd"/>
      <w:r>
        <w:t xml:space="preserve"> 4. Domiciliar la nómina no convierte al cliente en inversor</w:t>
      </w:r>
    </w:p>
    <w:p w14:paraId="4166AC65" w14:textId="77777777" w:rsidR="00260C1F" w:rsidRDefault="00000000">
      <w:pPr>
        <w:spacing w:after="120" w:line="276" w:lineRule="auto"/>
      </w:pPr>
      <w:r>
        <w:t xml:space="preserve">Con nómina domiciliada invierte el </w:t>
      </w:r>
      <w:r>
        <w:rPr>
          <w:b/>
          <w:bCs/>
        </w:rPr>
        <w:t>34,8 %</w:t>
      </w:r>
      <w:r>
        <w:t xml:space="preserve">; sin ella, el </w:t>
      </w:r>
      <w:r>
        <w:rPr>
          <w:b/>
          <w:bCs/>
        </w:rPr>
        <w:t>32,7 %</w:t>
      </w:r>
      <w:r>
        <w:t xml:space="preserve">. La diferencia es mínima y la asociación casi nula (V de </w:t>
      </w:r>
      <w:proofErr w:type="spellStart"/>
      <w:r>
        <w:t>Cramér</w:t>
      </w:r>
      <w:proofErr w:type="spellEnd"/>
      <w:r>
        <w:t xml:space="preserve"> = 0,018, p = 0,07). Además, el </w:t>
      </w:r>
      <w:r>
        <w:rPr>
          <w:b/>
          <w:bCs/>
        </w:rPr>
        <w:t xml:space="preserve">62,1 % de los Transaccionales con nómina es </w:t>
      </w:r>
      <w:proofErr w:type="spellStart"/>
      <w:r>
        <w:rPr>
          <w:b/>
          <w:bCs/>
        </w:rPr>
        <w:t>mono-producto</w:t>
      </w:r>
      <w:proofErr w:type="spellEnd"/>
      <w:r>
        <w:t>: usan la cuenta para cobrar y pagar, pero no contratan nada más.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6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66" w14:textId="77777777" w:rsidR="00260C1F" w:rsidRDefault="00000000">
            <w:pPr>
              <w:spacing w:after="60"/>
            </w:pPr>
            <w:r>
              <w:rPr>
                <w:b/>
                <w:bCs/>
                <w:color w:val="2A78D6"/>
              </w:rPr>
              <w:t>Cómo se encontró en el Power BI</w:t>
            </w:r>
          </w:p>
          <w:p w14:paraId="4166AC67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Página:</w:t>
            </w:r>
            <w:r>
              <w:t xml:space="preserve"> Exploración IA → </w:t>
            </w:r>
            <w:r>
              <w:rPr>
                <w:b/>
                <w:bCs/>
              </w:rPr>
              <w:t>influenciadores clave</w:t>
            </w:r>
            <w:r>
              <w:t xml:space="preserve"> sobre «Tiene inversión = Sí»: la nómina no aparece entre los factores principales, mientras que antigüedad, edad y renta sí.</w:t>
            </w:r>
          </w:p>
          <w:p w14:paraId="4166AC68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Comprobación:</w:t>
            </w:r>
            <w:r>
              <w:t xml:space="preserve"> página Productos con el </w:t>
            </w:r>
            <w:proofErr w:type="spellStart"/>
            <w:r>
              <w:t>segmentador</w:t>
            </w:r>
            <w:proofErr w:type="spellEnd"/>
            <w:r>
              <w:t xml:space="preserve"> de segmento en «Transaccionales con nómina» → tarjeta «% </w:t>
            </w:r>
            <w:proofErr w:type="spellStart"/>
            <w:r>
              <w:t>mono-producto</w:t>
            </w:r>
            <w:proofErr w:type="spellEnd"/>
            <w:r>
              <w:t>».</w:t>
            </w:r>
          </w:p>
          <w:p w14:paraId="4166AC69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Validación:</w:t>
            </w:r>
            <w:r>
              <w:t xml:space="preserve"> notebook, sección 3 (V de </w:t>
            </w:r>
            <w:proofErr w:type="spellStart"/>
            <w:r>
              <w:t>Cramér</w:t>
            </w:r>
            <w:proofErr w:type="spellEnd"/>
            <w:r>
              <w:t xml:space="preserve"> por variable).</w:t>
            </w:r>
          </w:p>
        </w:tc>
      </w:tr>
    </w:tbl>
    <w:p w14:paraId="4166AC6B" w14:textId="77777777" w:rsidR="00260C1F" w:rsidRDefault="00260C1F">
      <w:pPr>
        <w:spacing w:after="80"/>
      </w:pPr>
    </w:p>
    <w:p w14:paraId="4166AC6C" w14:textId="77777777" w:rsidR="00260C1F" w:rsidRDefault="00000000">
      <w:pPr>
        <w:spacing w:after="120" w:line="276" w:lineRule="auto"/>
      </w:pPr>
      <w:r>
        <w:rPr>
          <w:b/>
          <w:bCs/>
        </w:rPr>
        <w:t>Evidencia.</w:t>
      </w:r>
      <w:r>
        <w:t xml:space="preserve"> La estrategia clásica de captar la nómina como puerta de entrada funciona para la transaccionalidad, pero no se traduce sola en ahorro o inversión.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6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BAF7A"/>
              <w:bottom w:val="none" w:sz="0" w:space="0" w:color="FFFFFF"/>
              <w:right w:val="none" w:sz="0" w:space="0" w:color="FFFFFF"/>
            </w:tcBorders>
            <w:shd w:val="clear" w:color="auto" w:fill="EAF7F1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6D" w14:textId="77777777" w:rsidR="00260C1F" w:rsidRDefault="00000000">
            <w:pPr>
              <w:spacing w:after="60"/>
            </w:pPr>
            <w:r>
              <w:rPr>
                <w:b/>
                <w:bCs/>
                <w:color w:val="1BAF7A"/>
              </w:rPr>
              <w:t>Recomendación de negocio</w:t>
            </w:r>
          </w:p>
          <w:p w14:paraId="4166AC6E" w14:textId="77777777" w:rsidR="00260C1F" w:rsidRDefault="00000000">
            <w:pPr>
              <w:spacing w:after="40"/>
            </w:pPr>
            <w:r>
              <w:t>Diseñar un paquete «nómina + ahorro automático» (por ejemplo, traspaso periódico a un fondo o plan) para que la nómina sea el punto de partida de la vinculación y no el final.</w:t>
            </w:r>
          </w:p>
        </w:tc>
      </w:tr>
    </w:tbl>
    <w:p w14:paraId="4166AC70" w14:textId="77777777" w:rsidR="00260C1F" w:rsidRDefault="00260C1F">
      <w:pPr>
        <w:spacing w:after="80"/>
      </w:pPr>
    </w:p>
    <w:p w14:paraId="4166AC71" w14:textId="77777777" w:rsidR="00260C1F" w:rsidRDefault="00000000">
      <w:pPr>
        <w:pStyle w:val="Ttulo2"/>
      </w:pPr>
      <w:proofErr w:type="spellStart"/>
      <w:r>
        <w:t>Insight</w:t>
      </w:r>
      <w:proofErr w:type="spellEnd"/>
      <w:r>
        <w:t xml:space="preserve"> 5. Los primeros años del cliente son decisivos</w:t>
      </w:r>
    </w:p>
    <w:p w14:paraId="4166AC72" w14:textId="77777777" w:rsidR="00260C1F" w:rsidRDefault="00000000">
      <w:pPr>
        <w:spacing w:after="120" w:line="276" w:lineRule="auto"/>
      </w:pPr>
      <w:r>
        <w:t xml:space="preserve">Con un año o menos de antigüedad solo invierte el </w:t>
      </w:r>
      <w:r>
        <w:rPr>
          <w:b/>
          <w:bCs/>
        </w:rPr>
        <w:t>16,9 %</w:t>
      </w:r>
      <w:r>
        <w:t xml:space="preserve"> y el </w:t>
      </w:r>
      <w:r>
        <w:rPr>
          <w:b/>
          <w:bCs/>
        </w:rPr>
        <w:t xml:space="preserve">50,6 % es </w:t>
      </w:r>
      <w:proofErr w:type="spellStart"/>
      <w:r>
        <w:rPr>
          <w:b/>
          <w:bCs/>
        </w:rPr>
        <w:t>mono-producto</w:t>
      </w:r>
      <w:proofErr w:type="spellEnd"/>
      <w:r>
        <w:t xml:space="preserve">. A partir de 20 años la inversión sube al </w:t>
      </w:r>
      <w:r>
        <w:rPr>
          <w:b/>
          <w:bCs/>
        </w:rPr>
        <w:t>50,4 %</w:t>
      </w:r>
      <w:r>
        <w:t>. Por década de apertura, los clientes de los años 2020 invierten un 23,9 % frente al 54,7 % de los que abrieron en los 90.</w:t>
      </w:r>
    </w:p>
    <w:p w14:paraId="4166AC73" w14:textId="77777777" w:rsidR="00260C1F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166AD94" wp14:editId="4166AD95">
            <wp:extent cx="5334000" cy="2943225"/>
            <wp:effectExtent l="0" t="0" r="0" b="0"/>
            <wp:docPr id="866022493" name="Figura 3. % con inversión y % mono-producto por antigüedad" descr="Figura 3. % con inversión y % mono-producto por antigüedad" title="Figura 3. % con inversión y % mono-producto por antigüe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AC74" w14:textId="77777777" w:rsidR="00260C1F" w:rsidRDefault="00000000">
      <w:pPr>
        <w:spacing w:after="160"/>
        <w:jc w:val="center"/>
      </w:pPr>
      <w:r>
        <w:rPr>
          <w:i/>
          <w:iCs/>
          <w:color w:val="5B6575"/>
          <w:sz w:val="18"/>
          <w:szCs w:val="18"/>
        </w:rPr>
        <w:t xml:space="preserve">Figura 3. % con inversión y % </w:t>
      </w:r>
      <w:proofErr w:type="spellStart"/>
      <w:r>
        <w:rPr>
          <w:i/>
          <w:iCs/>
          <w:color w:val="5B6575"/>
          <w:sz w:val="18"/>
          <w:szCs w:val="18"/>
        </w:rPr>
        <w:t>mono-producto</w:t>
      </w:r>
      <w:proofErr w:type="spellEnd"/>
      <w:r>
        <w:rPr>
          <w:i/>
          <w:iCs/>
          <w:color w:val="5B6575"/>
          <w:sz w:val="18"/>
          <w:szCs w:val="18"/>
        </w:rPr>
        <w:t xml:space="preserve"> por antigüedad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7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75" w14:textId="77777777" w:rsidR="00260C1F" w:rsidRDefault="00000000">
            <w:pPr>
              <w:spacing w:after="60"/>
            </w:pPr>
            <w:r>
              <w:rPr>
                <w:b/>
                <w:bCs/>
                <w:color w:val="2A78D6"/>
              </w:rPr>
              <w:t>Cómo se encontró en el Power BI</w:t>
            </w:r>
          </w:p>
          <w:p w14:paraId="4166AC76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Página:</w:t>
            </w:r>
            <w:r>
              <w:t xml:space="preserve"> Clientes → gráfico combinado «Clientes e inversión por antigüedad».</w:t>
            </w:r>
          </w:p>
          <w:p w14:paraId="4166AC77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Interacción:</w:t>
            </w:r>
            <w:r>
              <w:t xml:space="preserve"> al hacer clic en la barra «≤1 año» se filtran el resto de </w:t>
            </w:r>
            <w:proofErr w:type="gramStart"/>
            <w:r>
              <w:t>visuales</w:t>
            </w:r>
            <w:proofErr w:type="gramEnd"/>
            <w:r>
              <w:t xml:space="preserve"> y se ve que se trata sobre todo de clientes jóvenes y poco vinculados.</w:t>
            </w:r>
          </w:p>
          <w:p w14:paraId="4166AC78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Validación:</w:t>
            </w:r>
            <w:r>
              <w:t xml:space="preserve"> grupo de antigüedad es la variable categórica más asociada con invertir (V = 0,23).</w:t>
            </w:r>
          </w:p>
        </w:tc>
      </w:tr>
    </w:tbl>
    <w:p w14:paraId="4166AC7A" w14:textId="77777777" w:rsidR="00260C1F" w:rsidRDefault="00260C1F">
      <w:pPr>
        <w:spacing w:after="80"/>
      </w:pPr>
    </w:p>
    <w:p w14:paraId="4166AC7B" w14:textId="77777777" w:rsidR="00260C1F" w:rsidRDefault="00000000">
      <w:pPr>
        <w:spacing w:after="120" w:line="276" w:lineRule="auto"/>
      </w:pPr>
      <w:r>
        <w:rPr>
          <w:b/>
          <w:bCs/>
        </w:rPr>
        <w:lastRenderedPageBreak/>
        <w:t>Evidencia.</w:t>
      </w:r>
      <w:r>
        <w:t xml:space="preserve"> Parte del efecto es edad (los clientes antiguos son mayores), pero el modelo de propensión mantiene la antigüedad como factor positivo incluso controlando por edad y renta.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7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BAF7A"/>
              <w:bottom w:val="none" w:sz="0" w:space="0" w:color="FFFFFF"/>
              <w:right w:val="none" w:sz="0" w:space="0" w:color="FFFFFF"/>
            </w:tcBorders>
            <w:shd w:val="clear" w:color="auto" w:fill="EAF7F1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7C" w14:textId="77777777" w:rsidR="00260C1F" w:rsidRDefault="00000000">
            <w:pPr>
              <w:spacing w:after="60"/>
            </w:pPr>
            <w:r>
              <w:rPr>
                <w:b/>
                <w:bCs/>
                <w:color w:val="1BAF7A"/>
              </w:rPr>
              <w:t>Recomendación de negocio</w:t>
            </w:r>
          </w:p>
          <w:p w14:paraId="4166AC7D" w14:textId="77777777" w:rsidR="00260C1F" w:rsidRDefault="00000000">
            <w:pPr>
              <w:spacing w:after="40"/>
            </w:pPr>
            <w:r>
              <w:t xml:space="preserve">Plan de bienvenida en los primeros 12 meses con un segundo producto ofrecido a los 3 meses y una primera propuesta de ahorro a los 6 meses. KPI de seguimiento: % </w:t>
            </w:r>
            <w:proofErr w:type="spellStart"/>
            <w:r>
              <w:t>mono-producto</w:t>
            </w:r>
            <w:proofErr w:type="spellEnd"/>
            <w:r>
              <w:t xml:space="preserve"> de clientes con menos de un año.</w:t>
            </w:r>
          </w:p>
        </w:tc>
      </w:tr>
    </w:tbl>
    <w:p w14:paraId="4166AC7F" w14:textId="77777777" w:rsidR="00260C1F" w:rsidRDefault="00260C1F">
      <w:pPr>
        <w:spacing w:after="80"/>
      </w:pPr>
    </w:p>
    <w:p w14:paraId="4166AC80" w14:textId="77777777" w:rsidR="00260C1F" w:rsidRDefault="00000000">
      <w:pPr>
        <w:pStyle w:val="Ttulo2"/>
      </w:pPr>
      <w:proofErr w:type="spellStart"/>
      <w:r>
        <w:t>Insight</w:t>
      </w:r>
      <w:proofErr w:type="spellEnd"/>
      <w:r>
        <w:t xml:space="preserve"> 6. La renta multiplica la inversión, pero de forma distinta en cada perfil</w:t>
      </w:r>
    </w:p>
    <w:p w14:paraId="4166AC81" w14:textId="77777777" w:rsidR="00260C1F" w:rsidRDefault="00000000">
      <w:pPr>
        <w:spacing w:after="120" w:line="276" w:lineRule="auto"/>
      </w:pPr>
      <w:r>
        <w:t xml:space="preserve">Un cliente </w:t>
      </w:r>
      <w:r>
        <w:rPr>
          <w:b/>
          <w:bCs/>
        </w:rPr>
        <w:t>Conservador de renta baja invierte en el 12,0 %</w:t>
      </w:r>
      <w:r>
        <w:t xml:space="preserve"> de los casos, mientras que un </w:t>
      </w:r>
      <w:r>
        <w:rPr>
          <w:b/>
          <w:bCs/>
        </w:rPr>
        <w:t>Pensionado de renta medio-alta llega al 63,7 %</w:t>
      </w:r>
      <w:r>
        <w:t>. Dentro de cada perfil la inversión crece con la renta hasta el tramo medio-alto, y en el tramo alto (muy pocos clientes) se estabiliza.</w:t>
      </w:r>
    </w:p>
    <w:p w14:paraId="4166AC82" w14:textId="77777777" w:rsidR="00260C1F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166AD96" wp14:editId="4166AD97">
            <wp:extent cx="5334000" cy="2857500"/>
            <wp:effectExtent l="0" t="0" r="0" b="0"/>
            <wp:docPr id="42596616" name="Figura 4. % de clientes con inversión por nivel de renta y perfil" descr="Figura 4. % de clientes con inversión por nivel de renta y perfil" title="Figura 4. % de clientes con inversión por nivel de renta y per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AC83" w14:textId="77777777" w:rsidR="00260C1F" w:rsidRDefault="00000000">
      <w:pPr>
        <w:spacing w:after="160"/>
        <w:jc w:val="center"/>
      </w:pPr>
      <w:r>
        <w:rPr>
          <w:i/>
          <w:iCs/>
          <w:color w:val="5B6575"/>
          <w:sz w:val="18"/>
          <w:szCs w:val="18"/>
        </w:rPr>
        <w:t>Figura 4. % de clientes con inversión por nivel de renta y perfil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8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84" w14:textId="77777777" w:rsidR="00260C1F" w:rsidRDefault="00000000">
            <w:pPr>
              <w:spacing w:after="60"/>
            </w:pPr>
            <w:r>
              <w:rPr>
                <w:b/>
                <w:bCs/>
                <w:color w:val="2A78D6"/>
              </w:rPr>
              <w:t>Cómo se encontró en el Power BI</w:t>
            </w:r>
          </w:p>
          <w:p w14:paraId="4166AC85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Página:</w:t>
            </w:r>
            <w:r>
              <w:t xml:space="preserve"> Clientes → matriz «% con inversión por nivel de renta y perfil», con formato condicional por medida (mapa de calor).</w:t>
            </w:r>
          </w:p>
          <w:p w14:paraId="4166AC86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Lectura:</w:t>
            </w:r>
            <w:r>
              <w:t xml:space="preserve"> pasar el ratón sobre una celda muestra el número de clientes; las celdas con pocos clientes (renta alta) deben leerse con cautela.</w:t>
            </w:r>
          </w:p>
        </w:tc>
      </w:tr>
    </w:tbl>
    <w:p w14:paraId="4166AC88" w14:textId="77777777" w:rsidR="00260C1F" w:rsidRDefault="00260C1F">
      <w:pPr>
        <w:spacing w:after="80"/>
      </w:pPr>
    </w:p>
    <w:p w14:paraId="4166AC89" w14:textId="77777777" w:rsidR="00260C1F" w:rsidRDefault="00000000">
      <w:pPr>
        <w:spacing w:after="120" w:line="276" w:lineRule="auto"/>
      </w:pPr>
      <w:r>
        <w:rPr>
          <w:b/>
          <w:bCs/>
        </w:rPr>
        <w:t>Evidencia.</w:t>
      </w:r>
      <w:r>
        <w:t xml:space="preserve"> Los Pensionados de renta media-alta ya están muy captados; el margen de crecimiento está en Conservadores de renta media y medio-alta (33–44 %), que están en la etapa de ahorro para la primera vivienda.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8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BAF7A"/>
              <w:bottom w:val="none" w:sz="0" w:space="0" w:color="FFFFFF"/>
              <w:right w:val="none" w:sz="0" w:space="0" w:color="FFFFFF"/>
            </w:tcBorders>
            <w:shd w:val="clear" w:color="auto" w:fill="EAF7F1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8A" w14:textId="77777777" w:rsidR="00260C1F" w:rsidRDefault="00000000">
            <w:pPr>
              <w:spacing w:after="60"/>
            </w:pPr>
            <w:r>
              <w:rPr>
                <w:b/>
                <w:bCs/>
                <w:color w:val="1BAF7A"/>
              </w:rPr>
              <w:t>Recomendación de negocio</w:t>
            </w:r>
          </w:p>
          <w:p w14:paraId="4166AC8B" w14:textId="77777777" w:rsidR="00260C1F" w:rsidRDefault="00000000">
            <w:pPr>
              <w:spacing w:after="40"/>
            </w:pPr>
            <w:r>
              <w:t>Orientar el producto «inversión primera vivienda» a Conservadores de renta media o superior, el grupo con más recorrido.</w:t>
            </w:r>
          </w:p>
        </w:tc>
      </w:tr>
    </w:tbl>
    <w:p w14:paraId="4166AC8D" w14:textId="77777777" w:rsidR="00260C1F" w:rsidRDefault="00260C1F">
      <w:pPr>
        <w:spacing w:after="80"/>
      </w:pPr>
    </w:p>
    <w:p w14:paraId="4166AC8E" w14:textId="77777777" w:rsidR="00260C1F" w:rsidRDefault="00000000">
      <w:pPr>
        <w:pStyle w:val="Ttulo2"/>
      </w:pPr>
      <w:proofErr w:type="spellStart"/>
      <w:r>
        <w:t>Insight</w:t>
      </w:r>
      <w:proofErr w:type="spellEnd"/>
      <w:r>
        <w:t xml:space="preserve"> 7. Diferencias territoriales: el País Vasco invierte cuatro veces más que Canarias</w:t>
      </w:r>
    </w:p>
    <w:p w14:paraId="4166AC8F" w14:textId="77777777" w:rsidR="00260C1F" w:rsidRDefault="00000000">
      <w:pPr>
        <w:spacing w:after="120" w:line="276" w:lineRule="auto"/>
      </w:pPr>
      <w:r>
        <w:t xml:space="preserve">La penetración de inversión va del </w:t>
      </w:r>
      <w:r>
        <w:rPr>
          <w:b/>
          <w:bCs/>
        </w:rPr>
        <w:t>54,0 % en el País Vasco</w:t>
      </w:r>
      <w:r>
        <w:t xml:space="preserve"> al </w:t>
      </w:r>
      <w:r>
        <w:rPr>
          <w:b/>
          <w:bCs/>
        </w:rPr>
        <w:t>12,8 % en Canarias</w:t>
      </w:r>
      <w:r>
        <w:t xml:space="preserve"> (media de la cartera: 33,2 %). Los </w:t>
      </w:r>
      <w:r>
        <w:rPr>
          <w:b/>
          <w:bCs/>
        </w:rPr>
        <w:t>clientes del extranjero</w:t>
      </w:r>
      <w:r>
        <w:t xml:space="preserve"> son el caso más llamativo: solo invierte el 8,6 %, pero su margen medio (147,7 €) está entre los más altos.</w:t>
      </w:r>
    </w:p>
    <w:p w14:paraId="4166AC90" w14:textId="77777777" w:rsidR="00260C1F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4166AD98" wp14:editId="4166AD99">
            <wp:extent cx="5334000" cy="2505075"/>
            <wp:effectExtent l="0" t="0" r="0" b="0"/>
            <wp:docPr id="1857485673" name="Figura 5. % con inversión por comunidad autónoma (solo comunidades con 100 clientes o más)" descr="Figura 5. % con inversión por comunidad autónoma (solo comunidades con 100 clientes o más)" title="Figura 5. % con inversión por comunidad autónoma (solo comunidades con 100 clientes o má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AC91" w14:textId="77777777" w:rsidR="00260C1F" w:rsidRDefault="00000000">
      <w:pPr>
        <w:spacing w:after="160"/>
        <w:jc w:val="center"/>
      </w:pPr>
      <w:r>
        <w:rPr>
          <w:i/>
          <w:iCs/>
          <w:color w:val="5B6575"/>
          <w:sz w:val="18"/>
          <w:szCs w:val="18"/>
        </w:rPr>
        <w:t>Figura 5. % con inversión por comunidad autónoma (solo comunidades con 100 clientes o más)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9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92" w14:textId="77777777" w:rsidR="00260C1F" w:rsidRDefault="00000000">
            <w:pPr>
              <w:spacing w:after="60"/>
            </w:pPr>
            <w:r>
              <w:rPr>
                <w:b/>
                <w:bCs/>
                <w:color w:val="2A78D6"/>
              </w:rPr>
              <w:t>Cómo se encontró en el Power BI</w:t>
            </w:r>
          </w:p>
          <w:p w14:paraId="4166AC93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Página:</w:t>
            </w:r>
            <w:r>
              <w:t xml:space="preserve"> Geografía → barras «% con inversión por comunidad» y gráfico de dispersión margen medio vs. % inversión (tamaño = </w:t>
            </w:r>
            <w:proofErr w:type="spellStart"/>
            <w:r>
              <w:t>nº</w:t>
            </w:r>
            <w:proofErr w:type="spellEnd"/>
            <w:r>
              <w:t xml:space="preserve"> de clientes).</w:t>
            </w:r>
          </w:p>
          <w:p w14:paraId="4166AC94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Detalle:</w:t>
            </w:r>
            <w:r>
              <w:t xml:space="preserve"> tabla de provincias de la misma página; al seleccionar una comunidad en el gráfico de árbol se filtra la tabla.</w:t>
            </w:r>
          </w:p>
          <w:p w14:paraId="4166AC95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Validación:</w:t>
            </w:r>
            <w:r>
              <w:t xml:space="preserve"> comunidad autónoma, V de </w:t>
            </w:r>
            <w:proofErr w:type="spellStart"/>
            <w:r>
              <w:t>Cramér</w:t>
            </w:r>
            <w:proofErr w:type="spellEnd"/>
            <w:r>
              <w:t xml:space="preserve"> = 0,20.</w:t>
            </w:r>
          </w:p>
        </w:tc>
      </w:tr>
    </w:tbl>
    <w:p w14:paraId="4166AC97" w14:textId="77777777" w:rsidR="00260C1F" w:rsidRDefault="00260C1F">
      <w:pPr>
        <w:spacing w:after="80"/>
      </w:pPr>
    </w:p>
    <w:p w14:paraId="4166AC98" w14:textId="77777777" w:rsidR="00260C1F" w:rsidRDefault="00000000">
      <w:pPr>
        <w:spacing w:after="120" w:line="276" w:lineRule="auto"/>
      </w:pPr>
      <w:r>
        <w:rPr>
          <w:b/>
          <w:bCs/>
        </w:rPr>
        <w:t>Evidencia.</w:t>
      </w:r>
      <w:r>
        <w:t xml:space="preserve"> Las comunidades del norte con más inversión tienen una cartera de más edad (51–52 años de media frente a 44–46 en Canarias y Andalucía), lo que explica parte de la diferencia. Los clientes del extranjero generan margen por la operativa transaccional, pero no tienen productos de inversión adaptados.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9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BAF7A"/>
              <w:bottom w:val="none" w:sz="0" w:space="0" w:color="FFFFFF"/>
              <w:right w:val="none" w:sz="0" w:space="0" w:color="FFFFFF"/>
            </w:tcBorders>
            <w:shd w:val="clear" w:color="auto" w:fill="EAF7F1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99" w14:textId="77777777" w:rsidR="00260C1F" w:rsidRDefault="00000000">
            <w:pPr>
              <w:spacing w:after="60"/>
            </w:pPr>
            <w:r>
              <w:rPr>
                <w:b/>
                <w:bCs/>
                <w:color w:val="1BAF7A"/>
              </w:rPr>
              <w:t>Recomendación de negocio</w:t>
            </w:r>
          </w:p>
          <w:p w14:paraId="4166AC9A" w14:textId="77777777" w:rsidR="00260C1F" w:rsidRDefault="00000000">
            <w:pPr>
              <w:spacing w:after="40"/>
            </w:pPr>
            <w:r>
              <w:t>Replicar en Andalucía y Canarias las prácticas comerciales de las oficinas del norte, y diseñar una oferta de inversión específica para no residentes.</w:t>
            </w:r>
          </w:p>
        </w:tc>
      </w:tr>
    </w:tbl>
    <w:p w14:paraId="4166AC9C" w14:textId="77777777" w:rsidR="00260C1F" w:rsidRDefault="00260C1F">
      <w:pPr>
        <w:spacing w:after="80"/>
      </w:pPr>
    </w:p>
    <w:p w14:paraId="4166AC9D" w14:textId="77777777" w:rsidR="00260C1F" w:rsidRDefault="00000000">
      <w:pPr>
        <w:pStyle w:val="Ttulo2"/>
      </w:pPr>
      <w:proofErr w:type="spellStart"/>
      <w:r>
        <w:t>Insight</w:t>
      </w:r>
      <w:proofErr w:type="spellEnd"/>
      <w:r>
        <w:t xml:space="preserve"> 8. Poco vinculados: un tercio de la cartera que apenas aporta</w:t>
      </w:r>
    </w:p>
    <w:p w14:paraId="4166AC9E" w14:textId="77777777" w:rsidR="00260C1F" w:rsidRDefault="00000000">
      <w:pPr>
        <w:spacing w:after="120" w:line="276" w:lineRule="auto"/>
      </w:pPr>
      <w:r>
        <w:t xml:space="preserve">El </w:t>
      </w:r>
      <w:proofErr w:type="gramStart"/>
      <w:r>
        <w:t xml:space="preserve">segmento </w:t>
      </w:r>
      <w:r>
        <w:rPr>
          <w:b/>
          <w:bCs/>
        </w:rPr>
        <w:t>Poco vinculados</w:t>
      </w:r>
      <w:proofErr w:type="gramEnd"/>
      <w:r>
        <w:t xml:space="preserve"> tiene 3.018 clientes (el 30,7 % de la cartera) pero solo el </w:t>
      </w:r>
      <w:r>
        <w:rPr>
          <w:b/>
          <w:bCs/>
        </w:rPr>
        <w:t>10,1 % del margen</w:t>
      </w:r>
      <w:r>
        <w:t xml:space="preserve">; el </w:t>
      </w:r>
      <w:r>
        <w:rPr>
          <w:b/>
          <w:bCs/>
        </w:rPr>
        <w:t>54,9 % no tiene ningún producto activo</w:t>
      </w:r>
      <w:r>
        <w:t xml:space="preserve"> y solo el 14,7 % invierte. Aun así, </w:t>
      </w:r>
      <w:r>
        <w:rPr>
          <w:b/>
          <w:bCs/>
        </w:rPr>
        <w:t>508 de ellos tienen propensión alta</w:t>
      </w:r>
      <w:r>
        <w:t xml:space="preserve"> según el modelo.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A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9F" w14:textId="77777777" w:rsidR="00260C1F" w:rsidRDefault="00000000">
            <w:pPr>
              <w:spacing w:after="60"/>
            </w:pPr>
            <w:r>
              <w:rPr>
                <w:b/>
                <w:bCs/>
                <w:color w:val="2A78D6"/>
              </w:rPr>
              <w:t>Cómo se encontró en el Power BI</w:t>
            </w:r>
          </w:p>
          <w:p w14:paraId="4166ACA0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Página:</w:t>
            </w:r>
            <w:r>
              <w:t xml:space="preserve"> Segmentos y propensión → gráfico combinado por segmento y barras «Mercado potencial por segmento».</w:t>
            </w:r>
          </w:p>
          <w:p w14:paraId="4166ACA1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Filtro:</w:t>
            </w:r>
            <w:r>
              <w:t xml:space="preserve"> </w:t>
            </w:r>
            <w:proofErr w:type="spellStart"/>
            <w:r>
              <w:t>segmentador</w:t>
            </w:r>
            <w:proofErr w:type="spellEnd"/>
            <w:r>
              <w:t xml:space="preserve"> de segmento = Poco vinculados → la tabla de clientes priorizados muestra los 508 con mayor probabilidad.</w:t>
            </w:r>
          </w:p>
        </w:tc>
      </w:tr>
    </w:tbl>
    <w:p w14:paraId="4166ACA3" w14:textId="77777777" w:rsidR="00260C1F" w:rsidRDefault="00260C1F">
      <w:pPr>
        <w:spacing w:after="80"/>
      </w:pPr>
    </w:p>
    <w:p w14:paraId="4166ACA4" w14:textId="77777777" w:rsidR="00260C1F" w:rsidRDefault="00000000">
      <w:pPr>
        <w:spacing w:after="120" w:line="276" w:lineRule="auto"/>
      </w:pPr>
      <w:r>
        <w:rPr>
          <w:b/>
          <w:bCs/>
        </w:rPr>
        <w:t>Evidencia.</w:t>
      </w:r>
      <w:r>
        <w:t xml:space="preserve"> Son clientes adultos (54 años de media) con cuentas abiertas pero inactivas. No es </w:t>
      </w:r>
      <w:proofErr w:type="gramStart"/>
      <w:r>
        <w:t>un segmento a abandonar</w:t>
      </w:r>
      <w:proofErr w:type="gramEnd"/>
      <w:r>
        <w:t>: contiene una bolsa de clientes con perfil inversor que el banco no está trabajando.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A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BAF7A"/>
              <w:bottom w:val="none" w:sz="0" w:space="0" w:color="FFFFFF"/>
              <w:right w:val="none" w:sz="0" w:space="0" w:color="FFFFFF"/>
            </w:tcBorders>
            <w:shd w:val="clear" w:color="auto" w:fill="EAF7F1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A5" w14:textId="77777777" w:rsidR="00260C1F" w:rsidRDefault="00000000">
            <w:pPr>
              <w:spacing w:after="60"/>
            </w:pPr>
            <w:r>
              <w:rPr>
                <w:b/>
                <w:bCs/>
                <w:color w:val="1BAF7A"/>
              </w:rPr>
              <w:t>Recomendación de negocio</w:t>
            </w:r>
          </w:p>
          <w:p w14:paraId="4166ACA6" w14:textId="77777777" w:rsidR="00260C1F" w:rsidRDefault="00000000">
            <w:pPr>
              <w:spacing w:after="40"/>
            </w:pPr>
            <w:r>
              <w:t>Campaña de reactivación sobre los 508 de propensión alta; para el resto, revisar el coste de mantenimiento de cuentas inactivas.</w:t>
            </w:r>
          </w:p>
        </w:tc>
      </w:tr>
    </w:tbl>
    <w:p w14:paraId="4166ACA8" w14:textId="77777777" w:rsidR="00260C1F" w:rsidRDefault="00260C1F">
      <w:pPr>
        <w:spacing w:after="80"/>
      </w:pPr>
    </w:p>
    <w:p w14:paraId="4166ACA9" w14:textId="77777777" w:rsidR="00260C1F" w:rsidRDefault="00000000">
      <w:pPr>
        <w:pStyle w:val="Ttulo2"/>
      </w:pPr>
      <w:proofErr w:type="spellStart"/>
      <w:r>
        <w:t>Insight</w:t>
      </w:r>
      <w:proofErr w:type="spellEnd"/>
      <w:r>
        <w:t xml:space="preserve"> 9. 1.313 clientes con alta propensión a invertir que aún no lo hacen</w:t>
      </w:r>
    </w:p>
    <w:p w14:paraId="4166ACAA" w14:textId="77777777" w:rsidR="00260C1F" w:rsidRDefault="00000000">
      <w:pPr>
        <w:spacing w:after="120" w:line="276" w:lineRule="auto"/>
      </w:pPr>
      <w:r>
        <w:t xml:space="preserve">El modelo de regresión logística asigna a cada cliente una probabilidad de invertir. Con el umbral por defecto (0,60) hay </w:t>
      </w:r>
      <w:r>
        <w:rPr>
          <w:b/>
          <w:bCs/>
        </w:rPr>
        <w:t>1.313 clientes en banda Alta que todavía no tienen inversión</w:t>
      </w:r>
      <w:r>
        <w:t xml:space="preserve">. Si la banda se calcula dentro de cada perfil para ofrecer el producto adecuado, salen </w:t>
      </w:r>
      <w:r>
        <w:rPr>
          <w:b/>
          <w:bCs/>
        </w:rPr>
        <w:t>1.027 Pensionados</w:t>
      </w:r>
      <w:r>
        <w:t xml:space="preserve"> (inversión para la jubilación), </w:t>
      </w:r>
      <w:r>
        <w:rPr>
          <w:b/>
          <w:bCs/>
        </w:rPr>
        <w:t>171 Conservadores</w:t>
      </w:r>
      <w:r>
        <w:t xml:space="preserve"> (primera vivienda) y </w:t>
      </w:r>
      <w:r>
        <w:rPr>
          <w:b/>
          <w:bCs/>
        </w:rPr>
        <w:t>116 Juveniles</w:t>
      </w:r>
      <w:r>
        <w:t xml:space="preserve"> (estudios).</w:t>
      </w:r>
    </w:p>
    <w:p w14:paraId="4166ACAB" w14:textId="77777777" w:rsidR="00260C1F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166AD9A" wp14:editId="4166AD9B">
            <wp:extent cx="5334000" cy="2047875"/>
            <wp:effectExtent l="0" t="0" r="0" b="0"/>
            <wp:docPr id="391126785" name="Figura 6. Distribución de bandas de propensión dentro de cada perfil" descr="Figura 6. Distribución de bandas de propensión dentro de cada perfil" title="Figura 6. Distribución de bandas de propensión dentro de cada per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ACAC" w14:textId="77777777" w:rsidR="00260C1F" w:rsidRDefault="00000000">
      <w:pPr>
        <w:spacing w:after="160"/>
        <w:jc w:val="center"/>
      </w:pPr>
      <w:r>
        <w:rPr>
          <w:i/>
          <w:iCs/>
          <w:color w:val="5B6575"/>
          <w:sz w:val="18"/>
          <w:szCs w:val="18"/>
        </w:rPr>
        <w:t>Figura 6. Distribución de bandas de propensión dentro de cada perfil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B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AD" w14:textId="77777777" w:rsidR="00260C1F" w:rsidRDefault="00000000">
            <w:pPr>
              <w:spacing w:after="60"/>
            </w:pPr>
            <w:r>
              <w:rPr>
                <w:b/>
                <w:bCs/>
                <w:color w:val="2A78D6"/>
              </w:rPr>
              <w:t>Cómo se encontró en el Power BI</w:t>
            </w:r>
          </w:p>
          <w:p w14:paraId="4166ACAE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Página:</w:t>
            </w:r>
            <w:r>
              <w:t xml:space="preserve"> Segmentos y propensión.</w:t>
            </w:r>
          </w:p>
          <w:p w14:paraId="4166ACAF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 xml:space="preserve">Parámetro </w:t>
            </w:r>
            <w:proofErr w:type="spellStart"/>
            <w:r>
              <w:rPr>
                <w:b/>
                <w:bCs/>
              </w:rPr>
              <w:t>what-if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el </w:t>
            </w:r>
            <w:proofErr w:type="spellStart"/>
            <w:r>
              <w:t>segmentador</w:t>
            </w:r>
            <w:proofErr w:type="spellEnd"/>
            <w:r>
              <w:t xml:space="preserve"> «Umbral de propensión» permite subir el corte (campaña más pequeña y precisa) o bajarlo (más alcance); la tarjeta «Clientes sobre umbral» se recalcula al instante.</w:t>
            </w:r>
          </w:p>
          <w:p w14:paraId="4166ACB0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Lista de campaña:</w:t>
            </w:r>
            <w:r>
              <w:t xml:space="preserve"> tabla «Clientes priorizados», ya filtrada a clientes sin inversión y ordenada por probabilidad; se puede exportar a Excel.</w:t>
            </w:r>
          </w:p>
        </w:tc>
      </w:tr>
    </w:tbl>
    <w:p w14:paraId="4166ACB2" w14:textId="77777777" w:rsidR="00260C1F" w:rsidRDefault="00260C1F">
      <w:pPr>
        <w:spacing w:after="80"/>
      </w:pPr>
    </w:p>
    <w:p w14:paraId="4166ACB3" w14:textId="77777777" w:rsidR="00260C1F" w:rsidRDefault="00000000">
      <w:pPr>
        <w:spacing w:after="120" w:line="276" w:lineRule="auto"/>
      </w:pPr>
      <w:r>
        <w:rPr>
          <w:b/>
          <w:bCs/>
        </w:rPr>
        <w:t>Evidencia.</w:t>
      </w:r>
      <w:r>
        <w:t xml:space="preserve"> Con un </w:t>
      </w:r>
      <w:proofErr w:type="spellStart"/>
      <w:r>
        <w:t>recall</w:t>
      </w:r>
      <w:proofErr w:type="spellEnd"/>
      <w:r>
        <w:t xml:space="preserve"> del 70 %, el modelo detecta 7 de cada 10 clientes que acabarían invirtiendo; la precisión (51 %) es aceptable para una campaña de bajo coste como un contacto del gestor.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B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BAF7A"/>
              <w:bottom w:val="none" w:sz="0" w:space="0" w:color="FFFFFF"/>
              <w:right w:val="none" w:sz="0" w:space="0" w:color="FFFFFF"/>
            </w:tcBorders>
            <w:shd w:val="clear" w:color="auto" w:fill="EAF7F1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B4" w14:textId="77777777" w:rsidR="00260C1F" w:rsidRDefault="00000000">
            <w:pPr>
              <w:spacing w:after="60"/>
            </w:pPr>
            <w:r>
              <w:rPr>
                <w:b/>
                <w:bCs/>
                <w:color w:val="1BAF7A"/>
              </w:rPr>
              <w:t>Recomendación de negocio</w:t>
            </w:r>
          </w:p>
          <w:p w14:paraId="4166ACB5" w14:textId="77777777" w:rsidR="00260C1F" w:rsidRDefault="00000000">
            <w:pPr>
              <w:spacing w:after="40"/>
            </w:pPr>
            <w:r>
              <w:t>Lanzar una campaña piloto con los clientes de banda Alta, con un grupo de control, y medir la tasa de conversión frente a la de la banda Media para calibrar el umbral.</w:t>
            </w:r>
          </w:p>
        </w:tc>
      </w:tr>
    </w:tbl>
    <w:p w14:paraId="4166ACB7" w14:textId="77777777" w:rsidR="00260C1F" w:rsidRDefault="00260C1F">
      <w:pPr>
        <w:spacing w:after="80"/>
      </w:pPr>
    </w:p>
    <w:p w14:paraId="4166ACB8" w14:textId="77777777" w:rsidR="00260C1F" w:rsidRDefault="00000000">
      <w:pPr>
        <w:pStyle w:val="Ttulo2"/>
      </w:pPr>
      <w:proofErr w:type="spellStart"/>
      <w:r>
        <w:t>Insight</w:t>
      </w:r>
      <w:proofErr w:type="spellEnd"/>
      <w:r>
        <w:t xml:space="preserve"> 10. La calidad del dato también es un </w:t>
      </w:r>
      <w:proofErr w:type="spellStart"/>
      <w:r>
        <w:t>insight</w:t>
      </w:r>
      <w:proofErr w:type="spellEnd"/>
      <w:r>
        <w:t>: la renta imputada</w:t>
      </w:r>
    </w:p>
    <w:p w14:paraId="4166ACB9" w14:textId="77777777" w:rsidR="00260C1F" w:rsidRDefault="00000000">
      <w:pPr>
        <w:spacing w:after="120" w:line="276" w:lineRule="auto"/>
      </w:pPr>
      <w:r>
        <w:t xml:space="preserve">Los clientes con </w:t>
      </w:r>
      <w:r>
        <w:rPr>
          <w:b/>
          <w:bCs/>
        </w:rPr>
        <w:t>renta imputada</w:t>
      </w:r>
      <w:r>
        <w:t xml:space="preserve"> (sin dato fiscal real) invierten un </w:t>
      </w:r>
      <w:r>
        <w:rPr>
          <w:b/>
          <w:bCs/>
        </w:rPr>
        <w:t>20,7 %</w:t>
      </w:r>
      <w:r>
        <w:t>, frente al 38,0 % de los que tienen la renta informada, y en el modelo es la segunda variable con más peso negativo (−0,34).</w:t>
      </w:r>
    </w:p>
    <w:p w14:paraId="4166ACBA" w14:textId="77777777" w:rsidR="00260C1F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166AD9C" wp14:editId="4166AD9D">
            <wp:extent cx="5334000" cy="1857375"/>
            <wp:effectExtent l="0" t="0" r="0" b="0"/>
            <wp:docPr id="216827713" name="Figura 7. Variables con más peso en el modelo de propensión (verde = aumenta, rojo = reduce la probabilidad)" descr="Figura 7. Variables con más peso en el modelo de propensión (verde = aumenta, rojo = reduce la probabilidad)" title="Figura 7. Variables con más peso en el modelo de propensión (verde = aumenta, rojo = reduce la probabilid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ACBB" w14:textId="77777777" w:rsidR="00260C1F" w:rsidRDefault="00000000">
      <w:pPr>
        <w:spacing w:after="160"/>
        <w:jc w:val="center"/>
      </w:pPr>
      <w:r>
        <w:rPr>
          <w:i/>
          <w:iCs/>
          <w:color w:val="5B6575"/>
          <w:sz w:val="18"/>
          <w:szCs w:val="18"/>
        </w:rPr>
        <w:lastRenderedPageBreak/>
        <w:t>Figura 7. Variables con más peso en el modelo de propensión (verde = aumenta, rojo = reduce la probabilidad)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B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BC" w14:textId="77777777" w:rsidR="00260C1F" w:rsidRDefault="00000000">
            <w:pPr>
              <w:spacing w:after="60"/>
            </w:pPr>
            <w:r>
              <w:rPr>
                <w:b/>
                <w:bCs/>
                <w:color w:val="2A78D6"/>
              </w:rPr>
              <w:t>Cómo se encontró en el Power BI</w:t>
            </w:r>
          </w:p>
          <w:p w14:paraId="4166ACBD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Página:</w:t>
            </w:r>
            <w:r>
              <w:t xml:space="preserve"> Exploración IA → barras «Factores asociados a la inversión» y página Segmentos y propensión → gráfico de coeficientes del modelo.</w:t>
            </w:r>
          </w:p>
          <w:p w14:paraId="4166ACBE" w14:textId="77777777" w:rsidR="00260C1F" w:rsidRDefault="00000000">
            <w:pPr>
              <w:spacing w:after="40"/>
            </w:pPr>
            <w:r>
              <w:rPr>
                <w:b/>
                <w:bCs/>
              </w:rPr>
              <w:t>KPI de control:</w:t>
            </w:r>
            <w:r>
              <w:t xml:space="preserve"> «% renta imputada» en la página Clientes.</w:t>
            </w:r>
          </w:p>
        </w:tc>
      </w:tr>
    </w:tbl>
    <w:p w14:paraId="4166ACC0" w14:textId="77777777" w:rsidR="00260C1F" w:rsidRDefault="00260C1F">
      <w:pPr>
        <w:spacing w:after="80"/>
      </w:pPr>
    </w:p>
    <w:p w14:paraId="4166ACC1" w14:textId="77777777" w:rsidR="00260C1F" w:rsidRDefault="00000000">
      <w:pPr>
        <w:spacing w:after="120" w:line="276" w:lineRule="auto"/>
      </w:pPr>
      <w:r>
        <w:rPr>
          <w:b/>
          <w:bCs/>
        </w:rPr>
        <w:t>Evidencia.</w:t>
      </w:r>
      <w:r>
        <w:t xml:space="preserve"> No tener el dato fiscal suele significar una relación poco profunda con el banco: el cliente no ha aportado documentación porque no ha pedido productos que la requieran.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60C1F" w14:paraId="4166ACC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BAF7A"/>
              <w:bottom w:val="none" w:sz="0" w:space="0" w:color="FFFFFF"/>
              <w:right w:val="none" w:sz="0" w:space="0" w:color="FFFFFF"/>
            </w:tcBorders>
            <w:shd w:val="clear" w:color="auto" w:fill="EAF7F1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166ACC2" w14:textId="77777777" w:rsidR="00260C1F" w:rsidRDefault="00000000">
            <w:pPr>
              <w:spacing w:after="60"/>
            </w:pPr>
            <w:r>
              <w:rPr>
                <w:b/>
                <w:bCs/>
                <w:color w:val="1BAF7A"/>
              </w:rPr>
              <w:t>Recomendación de negocio</w:t>
            </w:r>
          </w:p>
          <w:p w14:paraId="4166ACC3" w14:textId="77777777" w:rsidR="00260C1F" w:rsidRDefault="00000000">
            <w:pPr>
              <w:spacing w:after="40"/>
            </w:pPr>
            <w:r>
              <w:t>Incluir la actualización de datos fiscales en el proceso de revisión de clientes: mejora el modelo y abre la puerta a productos que exigen conocer al cliente.</w:t>
            </w:r>
          </w:p>
        </w:tc>
      </w:tr>
    </w:tbl>
    <w:p w14:paraId="4166ACC5" w14:textId="77777777" w:rsidR="00260C1F" w:rsidRDefault="00260C1F">
      <w:pPr>
        <w:spacing w:after="80"/>
      </w:pPr>
    </w:p>
    <w:p w14:paraId="4166ACC6" w14:textId="77777777" w:rsidR="00260C1F" w:rsidRDefault="00000000">
      <w:pPr>
        <w:pStyle w:val="Ttulo1"/>
        <w:pageBreakBefore/>
      </w:pPr>
      <w:r>
        <w:lastRenderedPageBreak/>
        <w:t xml:space="preserve">5. Analítica avanzada y machine </w:t>
      </w:r>
      <w:proofErr w:type="spellStart"/>
      <w:r>
        <w:t>learning</w:t>
      </w:r>
      <w:proofErr w:type="spellEnd"/>
    </w:p>
    <w:p w14:paraId="4166ACC7" w14:textId="77777777" w:rsidR="00260C1F" w:rsidRDefault="00000000">
      <w:pPr>
        <w:spacing w:after="120" w:line="276" w:lineRule="auto"/>
      </w:pPr>
      <w:r>
        <w:t xml:space="preserve">La parte opcional de analítica avanzada se desarrolla en el notebook </w:t>
      </w:r>
      <w:r>
        <w:rPr>
          <w:b/>
          <w:bCs/>
        </w:rPr>
        <w:t>Entrega3_AnaliticaAvanzada.ipynb</w:t>
      </w:r>
      <w:r>
        <w:t>, que además genera el Excel que alimenta el Power BI. Así, los resultados del modelo no son un añadido aparte: se pueden filtrar y explorar en el informe.</w:t>
      </w:r>
    </w:p>
    <w:p w14:paraId="4166ACC8" w14:textId="77777777" w:rsidR="00260C1F" w:rsidRDefault="00000000">
      <w:pPr>
        <w:pStyle w:val="Ttulo2"/>
      </w:pPr>
      <w:r>
        <w:t>5.1. Correlaciones</w:t>
      </w:r>
    </w:p>
    <w:p w14:paraId="4166ACC9" w14:textId="77777777" w:rsidR="00260C1F" w:rsidRDefault="00000000">
      <w:pPr>
        <w:spacing w:after="120" w:line="276" w:lineRule="auto"/>
      </w:pPr>
      <w:r>
        <w:t xml:space="preserve">Se usa la correlación de </w:t>
      </w:r>
      <w:r>
        <w:rPr>
          <w:b/>
          <w:bCs/>
        </w:rPr>
        <w:t>Spearman</w:t>
      </w:r>
      <w:r>
        <w:t xml:space="preserve">, adecuada para importes muy asimétricos. Las relaciones más fuertes son </w:t>
      </w:r>
      <w:proofErr w:type="spellStart"/>
      <w:r>
        <w:t>Nº</w:t>
      </w:r>
      <w:proofErr w:type="spellEnd"/>
      <w:r>
        <w:t xml:space="preserve"> de productos – </w:t>
      </w:r>
      <w:proofErr w:type="spellStart"/>
      <w:r>
        <w:t>Nº</w:t>
      </w:r>
      <w:proofErr w:type="spellEnd"/>
      <w:r>
        <w:t xml:space="preserve"> de productos de inversión (ρ = 0,81), Patrimonio – Productos de inversión (0,59) y Patrimonio – Margen (0,50). La renta se relaciona débilmente con el resto. Conclusión: el margen depende de la vinculación y del patrimonio, no de los ingresos. La matriz completa se ve como mapa de calor en la página Exploración IA.</w:t>
      </w:r>
    </w:p>
    <w:p w14:paraId="4166ACCA" w14:textId="77777777" w:rsidR="00260C1F" w:rsidRDefault="00000000">
      <w:pPr>
        <w:pStyle w:val="Ttulo2"/>
      </w:pPr>
      <w:r>
        <w:t>5.2. Factores asociados a la inversión</w:t>
      </w:r>
    </w:p>
    <w:p w14:paraId="4166ACCB" w14:textId="77777777" w:rsidR="00260C1F" w:rsidRDefault="00000000">
      <w:pPr>
        <w:spacing w:after="120" w:line="276" w:lineRule="auto"/>
      </w:pPr>
      <w:r>
        <w:t xml:space="preserve">Para cada variable se mide su capacidad de separar inversores de no inversores: </w:t>
      </w:r>
      <w:r>
        <w:rPr>
          <w:b/>
          <w:bCs/>
        </w:rPr>
        <w:t>AUC</w:t>
      </w:r>
      <w:r>
        <w:t xml:space="preserve"> (con prueba de Mann-Whitney) para las numéricas y </w:t>
      </w:r>
      <w:r>
        <w:rPr>
          <w:b/>
          <w:bCs/>
        </w:rPr>
        <w:t xml:space="preserve">V de </w:t>
      </w:r>
      <w:proofErr w:type="spellStart"/>
      <w:r>
        <w:rPr>
          <w:b/>
          <w:bCs/>
        </w:rPr>
        <w:t>Cramér</w:t>
      </w:r>
      <w:proofErr w:type="spellEnd"/>
      <w:r>
        <w:t xml:space="preserve"> (con chi-cuadrado) para las categóricas. Destacan patrimonio (AUC 0,85), margen (0,67), antigüedad (0,64) y edad (0,62); entre las categóricas, grupo de antigüedad (V = 0,23), nivel de renta (0,22) y rango de edad (0,21).</w:t>
      </w:r>
    </w:p>
    <w:p w14:paraId="4166ACCC" w14:textId="77777777" w:rsidR="00260C1F" w:rsidRDefault="00000000">
      <w:pPr>
        <w:pStyle w:val="Ttulo2"/>
      </w:pPr>
      <w:r>
        <w:t>5.3. Segmentación: LOF + K-Means + PCA</w:t>
      </w:r>
    </w:p>
    <w:p w14:paraId="4166ACCD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LOF</w:t>
      </w:r>
      <w:r>
        <w:t xml:space="preserve"> (Local </w:t>
      </w:r>
      <w:proofErr w:type="spellStart"/>
      <w:r>
        <w:t>Outlier</w:t>
      </w:r>
      <w:proofErr w:type="spellEnd"/>
      <w:r>
        <w:t xml:space="preserve"> Factor) aparta 197 clientes atípicos (2 %) para que no deformen los grupos.</w:t>
      </w:r>
    </w:p>
    <w:p w14:paraId="4166ACCE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K-Means con K = 5</w:t>
      </w:r>
      <w:r>
        <w:t xml:space="preserve"> sobre variables estandarizadas. K = 2 tiene mejor </w:t>
      </w:r>
      <w:proofErr w:type="spellStart"/>
      <w:r>
        <w:t>silhouette</w:t>
      </w:r>
      <w:proofErr w:type="spellEnd"/>
      <w:r>
        <w:t xml:space="preserve"> (0,27) pero solo separa jóvenes de adultos; K = 5 mantiene una </w:t>
      </w:r>
      <w:proofErr w:type="spellStart"/>
      <w:r>
        <w:t>silhouette</w:t>
      </w:r>
      <w:proofErr w:type="spellEnd"/>
      <w:r>
        <w:t xml:space="preserve"> similar al resto de opciones (0,20) y da grupos accionables.</w:t>
      </w:r>
    </w:p>
    <w:p w14:paraId="4166ACCF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rPr>
          <w:b/>
          <w:bCs/>
        </w:rPr>
        <w:t>PCA</w:t>
      </w:r>
      <w:r>
        <w:t xml:space="preserve"> a dos componentes para visualizar los segmentos en el notebook.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8"/>
        <w:gridCol w:w="1400"/>
        <w:gridCol w:w="1600"/>
        <w:gridCol w:w="1600"/>
        <w:gridCol w:w="1800"/>
      </w:tblGrid>
      <w:tr w:rsidR="00260C1F" w14:paraId="4166A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D0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Segmento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D1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Clientes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D2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% clientes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D3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% margen</w:t>
            </w:r>
          </w:p>
        </w:tc>
        <w:tc>
          <w:tcPr>
            <w:tcW w:w="1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D4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% con inversión</w:t>
            </w:r>
          </w:p>
        </w:tc>
      </w:tr>
      <w:tr w:rsidR="00260C1F" w14:paraId="4166ACDB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D6" w14:textId="77777777" w:rsidR="00260C1F" w:rsidRDefault="00000000">
            <w:r>
              <w:t>Hipotecados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D7" w14:textId="77777777" w:rsidR="00260C1F" w:rsidRDefault="00000000">
            <w:r>
              <w:t>1.400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D8" w14:textId="77777777" w:rsidR="00260C1F" w:rsidRDefault="00000000">
            <w:r>
              <w:t>14,3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D9" w14:textId="77777777" w:rsidR="00260C1F" w:rsidRDefault="00000000">
            <w:r>
              <w:t>42,0</w:t>
            </w:r>
          </w:p>
        </w:tc>
        <w:tc>
          <w:tcPr>
            <w:tcW w:w="1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DA" w14:textId="77777777" w:rsidR="00260C1F" w:rsidRDefault="00000000">
            <w:r>
              <w:t>26,6</w:t>
            </w:r>
          </w:p>
        </w:tc>
      </w:tr>
      <w:tr w:rsidR="00260C1F" w14:paraId="4166ACE1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DC" w14:textId="77777777" w:rsidR="00260C1F" w:rsidRDefault="00000000">
            <w:r>
              <w:t>Ahorradores senior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DD" w14:textId="77777777" w:rsidR="00260C1F" w:rsidRDefault="00000000">
            <w:r>
              <w:t>2.033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DE" w14:textId="77777777" w:rsidR="00260C1F" w:rsidRDefault="00000000">
            <w:r>
              <w:t>20,7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DF" w14:textId="77777777" w:rsidR="00260C1F" w:rsidRDefault="00000000">
            <w:r>
              <w:t>31,6</w:t>
            </w:r>
          </w:p>
        </w:tc>
        <w:tc>
          <w:tcPr>
            <w:tcW w:w="1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E0" w14:textId="77777777" w:rsidR="00260C1F" w:rsidRDefault="00000000">
            <w:r>
              <w:t>82,5</w:t>
            </w:r>
          </w:p>
        </w:tc>
      </w:tr>
      <w:tr w:rsidR="00260C1F" w14:paraId="4166ACE7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E2" w14:textId="77777777" w:rsidR="00260C1F" w:rsidRDefault="00000000">
            <w:r>
              <w:t>Transaccionales con nómina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E3" w14:textId="77777777" w:rsidR="00260C1F" w:rsidRDefault="00000000">
            <w:r>
              <w:t>2.029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E4" w14:textId="77777777" w:rsidR="00260C1F" w:rsidRDefault="00000000">
            <w:r>
              <w:t>20,7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E5" w14:textId="77777777" w:rsidR="00260C1F" w:rsidRDefault="00000000">
            <w:r>
              <w:t>13,3</w:t>
            </w:r>
          </w:p>
        </w:tc>
        <w:tc>
          <w:tcPr>
            <w:tcW w:w="1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E6" w14:textId="77777777" w:rsidR="00260C1F" w:rsidRDefault="00000000">
            <w:r>
              <w:t>24,5</w:t>
            </w:r>
          </w:p>
        </w:tc>
      </w:tr>
      <w:tr w:rsidR="00260C1F" w14:paraId="4166ACED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E8" w14:textId="77777777" w:rsidR="00260C1F" w:rsidRDefault="00000000">
            <w:r>
              <w:t>Poco vinculados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E9" w14:textId="77777777" w:rsidR="00260C1F" w:rsidRDefault="00000000">
            <w:r>
              <w:t>3.018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EA" w14:textId="77777777" w:rsidR="00260C1F" w:rsidRDefault="00000000">
            <w:r>
              <w:t>30,7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EB" w14:textId="77777777" w:rsidR="00260C1F" w:rsidRDefault="00000000">
            <w:r>
              <w:t>10,1</w:t>
            </w:r>
          </w:p>
        </w:tc>
        <w:tc>
          <w:tcPr>
            <w:tcW w:w="1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EC" w14:textId="77777777" w:rsidR="00260C1F" w:rsidRDefault="00000000">
            <w:r>
              <w:t>14,7</w:t>
            </w:r>
          </w:p>
        </w:tc>
      </w:tr>
      <w:tr w:rsidR="00260C1F" w14:paraId="4166ACF3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EE" w14:textId="77777777" w:rsidR="00260C1F" w:rsidRDefault="00000000">
            <w:r>
              <w:t>Atípico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EF" w14:textId="77777777" w:rsidR="00260C1F" w:rsidRDefault="00000000">
            <w:r>
              <w:t>197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F0" w14:textId="77777777" w:rsidR="00260C1F" w:rsidRDefault="00000000">
            <w:r>
              <w:t>2,0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F1" w14:textId="77777777" w:rsidR="00260C1F" w:rsidRDefault="00000000">
            <w:r>
              <w:t>2,5</w:t>
            </w:r>
          </w:p>
        </w:tc>
        <w:tc>
          <w:tcPr>
            <w:tcW w:w="1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F2" w14:textId="77777777" w:rsidR="00260C1F" w:rsidRDefault="00000000">
            <w:r>
              <w:t>30,5</w:t>
            </w:r>
          </w:p>
        </w:tc>
      </w:tr>
      <w:tr w:rsidR="00260C1F" w14:paraId="4166ACF9" w14:textId="77777777">
        <w:tblPrEx>
          <w:tblCellMar>
            <w:top w:w="0" w:type="dxa"/>
            <w:bottom w:w="0" w:type="dxa"/>
          </w:tblCellMar>
        </w:tblPrEx>
        <w:tc>
          <w:tcPr>
            <w:tcW w:w="3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F4" w14:textId="77777777" w:rsidR="00260C1F" w:rsidRDefault="00000000">
            <w:r>
              <w:t>Jóvenes vinculados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F5" w14:textId="77777777" w:rsidR="00260C1F" w:rsidRDefault="00000000">
            <w:r>
              <w:t>1.145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F6" w14:textId="77777777" w:rsidR="00260C1F" w:rsidRDefault="00000000">
            <w:r>
              <w:t>11,7</w:t>
            </w:r>
          </w:p>
        </w:tc>
        <w:tc>
          <w:tcPr>
            <w:tcW w:w="1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F7" w14:textId="77777777" w:rsidR="00260C1F" w:rsidRDefault="00000000">
            <w:r>
              <w:t>0,5</w:t>
            </w:r>
          </w:p>
        </w:tc>
        <w:tc>
          <w:tcPr>
            <w:tcW w:w="1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CF8" w14:textId="77777777" w:rsidR="00260C1F" w:rsidRDefault="00000000">
            <w:r>
              <w:t>18,4</w:t>
            </w:r>
          </w:p>
        </w:tc>
      </w:tr>
    </w:tbl>
    <w:p w14:paraId="4166ACFA" w14:textId="77777777" w:rsidR="00260C1F" w:rsidRDefault="00260C1F">
      <w:pPr>
        <w:spacing w:after="80"/>
      </w:pPr>
    </w:p>
    <w:p w14:paraId="4166ACFB" w14:textId="77777777" w:rsidR="00260C1F" w:rsidRDefault="00000000">
      <w:pPr>
        <w:pStyle w:val="Ttulo2"/>
      </w:pPr>
      <w:r>
        <w:t>5.4. Modelo de propensión a invertir</w:t>
      </w:r>
    </w:p>
    <w:p w14:paraId="4166ACFC" w14:textId="77777777" w:rsidR="00260C1F" w:rsidRDefault="00000000">
      <w:pPr>
        <w:spacing w:after="120" w:line="276" w:lineRule="auto"/>
      </w:pPr>
      <w:r>
        <w:t xml:space="preserve">Variable objetivo: tener al menos un producto de inversión. Se </w:t>
      </w:r>
      <w:r>
        <w:rPr>
          <w:b/>
          <w:bCs/>
        </w:rPr>
        <w:t>excluyen variables con fuga de información</w:t>
      </w:r>
      <w:r>
        <w:t xml:space="preserve"> (saldo en inversión, AUC 0,999; patrimonio total, que incluye ese saldo; margen e indicadores de productos de inversión). Se comparan cuatro modelos con validación sobre un conjunto </w:t>
      </w:r>
      <w:proofErr w:type="gramStart"/>
      <w:r>
        <w:t>de test</w:t>
      </w:r>
      <w:proofErr w:type="gramEnd"/>
      <w:r>
        <w:t xml:space="preserve"> del 25 %:</w:t>
      </w:r>
    </w:p>
    <w:p w14:paraId="4166ACFD" w14:textId="77777777" w:rsidR="00260C1F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4166AD9E" wp14:editId="4166AD9F">
            <wp:extent cx="4953000" cy="2590800"/>
            <wp:effectExtent l="0" t="0" r="0" b="0"/>
            <wp:docPr id="842858772" name="Figura 8. AUC y recall de los modelos comparados" descr="Figura 8. AUC y recall de los modelos comparados" title="Figura 8. AUC y recall de los modelos compar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ACFE" w14:textId="77777777" w:rsidR="00260C1F" w:rsidRDefault="00000000">
      <w:pPr>
        <w:spacing w:after="160"/>
        <w:jc w:val="center"/>
      </w:pPr>
      <w:r>
        <w:rPr>
          <w:i/>
          <w:iCs/>
          <w:color w:val="5B6575"/>
          <w:sz w:val="18"/>
          <w:szCs w:val="18"/>
        </w:rPr>
        <w:t xml:space="preserve">Figura 8. AUC y </w:t>
      </w:r>
      <w:proofErr w:type="spellStart"/>
      <w:r>
        <w:rPr>
          <w:i/>
          <w:iCs/>
          <w:color w:val="5B6575"/>
          <w:sz w:val="18"/>
          <w:szCs w:val="18"/>
        </w:rPr>
        <w:t>recall</w:t>
      </w:r>
      <w:proofErr w:type="spellEnd"/>
      <w:r>
        <w:rPr>
          <w:i/>
          <w:iCs/>
          <w:color w:val="5B6575"/>
          <w:sz w:val="18"/>
          <w:szCs w:val="18"/>
        </w:rPr>
        <w:t xml:space="preserve"> de los modelos comparados</w:t>
      </w:r>
    </w:p>
    <w:p w14:paraId="4166ACFF" w14:textId="77777777" w:rsidR="00260C1F" w:rsidRDefault="00000000">
      <w:pPr>
        <w:spacing w:after="120" w:line="276" w:lineRule="auto"/>
      </w:pPr>
      <w:r>
        <w:t xml:space="preserve">Se elige la </w:t>
      </w:r>
      <w:r>
        <w:rPr>
          <w:b/>
          <w:bCs/>
        </w:rPr>
        <w:t>regresión logística con pesos balanceados</w:t>
      </w:r>
      <w:r>
        <w:t xml:space="preserve">: su AUC (0,757) está a solo dos puntos de los mejores, tiene el </w:t>
      </w:r>
      <w:r>
        <w:rPr>
          <w:b/>
          <w:bCs/>
        </w:rPr>
        <w:t xml:space="preserve">mayor </w:t>
      </w:r>
      <w:proofErr w:type="spellStart"/>
      <w:r>
        <w:rPr>
          <w:b/>
          <w:bCs/>
        </w:rPr>
        <w:t>recall</w:t>
      </w:r>
      <w:proofErr w:type="spellEnd"/>
      <w:r>
        <w:rPr>
          <w:b/>
          <w:bCs/>
        </w:rPr>
        <w:t xml:space="preserve"> (0,703)</w:t>
      </w:r>
      <w:r>
        <w:t>, que es la métrica que interesa en una campaña, y sus coeficientes se pueden explicar a negocio (figura 7). La probabilidad de cada cliente se exporta a Power BI, donde alimenta las bandas, el parámetro de umbral y la ficha de cliente.</w:t>
      </w:r>
    </w:p>
    <w:p w14:paraId="4166AD00" w14:textId="77777777" w:rsidR="00260C1F" w:rsidRDefault="00000000">
      <w:pPr>
        <w:pStyle w:val="Ttulo2"/>
      </w:pPr>
      <w:r>
        <w:t>5.5. Limitaciones</w:t>
      </w:r>
    </w:p>
    <w:p w14:paraId="4166AD01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>Los datos son una fotografía en una fecha: el modelo identifica clientes «parecidos a los que invierten», no predice la contratación futura. Lo ideal es validarlo con una campaña con grupo de control.</w:t>
      </w:r>
    </w:p>
    <w:p w14:paraId="4166AD02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 xml:space="preserve">La </w:t>
      </w:r>
      <w:proofErr w:type="spellStart"/>
      <w:r>
        <w:t>silhouette</w:t>
      </w:r>
      <w:proofErr w:type="spellEnd"/>
      <w:r>
        <w:t xml:space="preserve"> de 0,20 indica grupos con fronteras difusas; los segmentos son una guía comercial, no categorías cerradas.</w:t>
      </w:r>
    </w:p>
    <w:p w14:paraId="4166AD03" w14:textId="77777777" w:rsidR="00260C1F" w:rsidRDefault="00000000">
      <w:pPr>
        <w:pStyle w:val="Prrafodelista"/>
        <w:numPr>
          <w:ilvl w:val="0"/>
          <w:numId w:val="4"/>
        </w:numPr>
        <w:spacing w:after="60" w:line="264" w:lineRule="auto"/>
      </w:pPr>
      <w:r>
        <w:t>Algunas celdas de los cruces (renta alta, comunidades pequeñas) tienen pocos clientes; el informe muestra siempre el número de clientes junto al porcentaje.</w:t>
      </w:r>
    </w:p>
    <w:p w14:paraId="4166AD04" w14:textId="77777777" w:rsidR="00260C1F" w:rsidRDefault="00000000">
      <w:pPr>
        <w:pStyle w:val="Ttulo1"/>
        <w:pageBreakBefore/>
      </w:pPr>
      <w:r>
        <w:lastRenderedPageBreak/>
        <w:t>6. Conclusiones y próximos pasos</w:t>
      </w:r>
    </w:p>
    <w:p w14:paraId="4166AD05" w14:textId="77777777" w:rsidR="00260C1F" w:rsidRDefault="00000000">
      <w:pPr>
        <w:spacing w:after="120" w:line="276" w:lineRule="auto"/>
      </w:pPr>
      <w:r>
        <w:t>El informe permite pasar de la descripción de la cartera a decisiones concretas. Las acciones propuestas, ordenadas por impacto esperado: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900"/>
        <w:gridCol w:w="2000"/>
        <w:gridCol w:w="2638"/>
      </w:tblGrid>
      <w:tr w:rsidR="00260C1F" w14:paraId="4166AD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06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3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07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2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08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Clientes objetivo</w:t>
            </w:r>
          </w:p>
        </w:tc>
        <w:tc>
          <w:tcPr>
            <w:tcW w:w="2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09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KPI de seguimiento</w:t>
            </w:r>
          </w:p>
        </w:tc>
      </w:tr>
      <w:tr w:rsidR="00260C1F" w14:paraId="4166AD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0B" w14:textId="77777777" w:rsidR="00260C1F" w:rsidRDefault="00000000">
            <w:r>
              <w:t>1</w:t>
            </w:r>
          </w:p>
        </w:tc>
        <w:tc>
          <w:tcPr>
            <w:tcW w:w="3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0C" w14:textId="77777777" w:rsidR="00260C1F" w:rsidRDefault="00000000">
            <w:r>
              <w:t>Campaña de inversión con lista priorizada por el modelo</w:t>
            </w:r>
          </w:p>
        </w:tc>
        <w:tc>
          <w:tcPr>
            <w:tcW w:w="2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0D" w14:textId="77777777" w:rsidR="00260C1F" w:rsidRDefault="00000000">
            <w:r>
              <w:t>1.313 (banda Alta)</w:t>
            </w:r>
          </w:p>
        </w:tc>
        <w:tc>
          <w:tcPr>
            <w:tcW w:w="2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0E" w14:textId="77777777" w:rsidR="00260C1F" w:rsidRDefault="00000000">
            <w:r>
              <w:t>Tasa de conversión vs. grupo de control</w:t>
            </w:r>
          </w:p>
        </w:tc>
      </w:tr>
      <w:tr w:rsidR="00260C1F" w14:paraId="4166AD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10" w14:textId="77777777" w:rsidR="00260C1F" w:rsidRDefault="00000000">
            <w:r>
              <w:t>2</w:t>
            </w:r>
          </w:p>
        </w:tc>
        <w:tc>
          <w:tcPr>
            <w:tcW w:w="3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11" w14:textId="77777777" w:rsidR="00260C1F" w:rsidRDefault="00000000">
            <w:r>
              <w:t>Seguros de protección para hipotecados sin cobertura</w:t>
            </w:r>
          </w:p>
        </w:tc>
        <w:tc>
          <w:tcPr>
            <w:tcW w:w="2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12" w14:textId="77777777" w:rsidR="00260C1F" w:rsidRDefault="00000000">
            <w:r>
              <w:t>≈ 690</w:t>
            </w:r>
          </w:p>
        </w:tc>
        <w:tc>
          <w:tcPr>
            <w:tcW w:w="2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13" w14:textId="77777777" w:rsidR="00260C1F" w:rsidRDefault="00000000">
            <w:r>
              <w:t>% con seguro de protección; % riesgo crítico</w:t>
            </w:r>
          </w:p>
        </w:tc>
      </w:tr>
      <w:tr w:rsidR="00260C1F" w14:paraId="4166AD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15" w14:textId="77777777" w:rsidR="00260C1F" w:rsidRDefault="00000000">
            <w:r>
              <w:t>3</w:t>
            </w:r>
          </w:p>
        </w:tc>
        <w:tc>
          <w:tcPr>
            <w:tcW w:w="3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16" w14:textId="77777777" w:rsidR="00260C1F" w:rsidRDefault="00000000">
            <w:r>
              <w:t>Retención del decil de mayor margen y del Top 100 de patrimonio</w:t>
            </w:r>
          </w:p>
        </w:tc>
        <w:tc>
          <w:tcPr>
            <w:tcW w:w="2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17" w14:textId="77777777" w:rsidR="00260C1F" w:rsidRDefault="00000000">
            <w:r>
              <w:t>≈ 980</w:t>
            </w:r>
          </w:p>
        </w:tc>
        <w:tc>
          <w:tcPr>
            <w:tcW w:w="2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18" w14:textId="77777777" w:rsidR="00260C1F" w:rsidRDefault="00000000">
            <w:r>
              <w:t>Concentración del margen; fuga de saldo</w:t>
            </w:r>
          </w:p>
        </w:tc>
      </w:tr>
      <w:tr w:rsidR="00260C1F" w14:paraId="4166AD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1A" w14:textId="77777777" w:rsidR="00260C1F" w:rsidRDefault="00000000">
            <w:r>
              <w:t>4</w:t>
            </w:r>
          </w:p>
        </w:tc>
        <w:tc>
          <w:tcPr>
            <w:tcW w:w="3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1B" w14:textId="77777777" w:rsidR="00260C1F" w:rsidRDefault="00000000">
            <w:r>
              <w:t>Plan de bienvenida a 12 meses</w:t>
            </w:r>
          </w:p>
        </w:tc>
        <w:tc>
          <w:tcPr>
            <w:tcW w:w="2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1C" w14:textId="77777777" w:rsidR="00260C1F" w:rsidRDefault="00000000">
            <w:r>
              <w:t>Altas nuevas</w:t>
            </w:r>
          </w:p>
        </w:tc>
        <w:tc>
          <w:tcPr>
            <w:tcW w:w="2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1D" w14:textId="77777777" w:rsidR="00260C1F" w:rsidRDefault="00000000">
            <w:r>
              <w:t xml:space="preserve">% </w:t>
            </w:r>
            <w:proofErr w:type="spellStart"/>
            <w:r>
              <w:t>mono-producto</w:t>
            </w:r>
            <w:proofErr w:type="spellEnd"/>
            <w:r>
              <w:t xml:space="preserve"> con antigüedad ≤ 1 año</w:t>
            </w:r>
          </w:p>
        </w:tc>
      </w:tr>
      <w:tr w:rsidR="00260C1F" w14:paraId="4166AD2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1F" w14:textId="77777777" w:rsidR="00260C1F" w:rsidRDefault="00000000">
            <w:r>
              <w:t>5</w:t>
            </w:r>
          </w:p>
        </w:tc>
        <w:tc>
          <w:tcPr>
            <w:tcW w:w="3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20" w14:textId="77777777" w:rsidR="00260C1F" w:rsidRDefault="00000000">
            <w:r>
              <w:t>Paquete nómina + ahorro automático</w:t>
            </w:r>
          </w:p>
        </w:tc>
        <w:tc>
          <w:tcPr>
            <w:tcW w:w="2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21" w14:textId="77777777" w:rsidR="00260C1F" w:rsidRDefault="00000000">
            <w:r>
              <w:t>Transaccionales con nómina</w:t>
            </w:r>
          </w:p>
        </w:tc>
        <w:tc>
          <w:tcPr>
            <w:tcW w:w="2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22" w14:textId="77777777" w:rsidR="00260C1F" w:rsidRDefault="00000000">
            <w:r>
              <w:t xml:space="preserve">% </w:t>
            </w:r>
            <w:proofErr w:type="spellStart"/>
            <w:r>
              <w:t>mono-producto</w:t>
            </w:r>
            <w:proofErr w:type="spellEnd"/>
            <w:r>
              <w:t xml:space="preserve"> del segmento</w:t>
            </w:r>
          </w:p>
        </w:tc>
      </w:tr>
      <w:tr w:rsidR="00260C1F" w14:paraId="4166AD2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24" w14:textId="77777777" w:rsidR="00260C1F" w:rsidRDefault="00000000">
            <w:r>
              <w:t>6</w:t>
            </w:r>
          </w:p>
        </w:tc>
        <w:tc>
          <w:tcPr>
            <w:tcW w:w="3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25" w14:textId="77777777" w:rsidR="00260C1F" w:rsidRDefault="00000000">
            <w:r>
              <w:t>Reactivación de Poco vinculados con alta propensión</w:t>
            </w:r>
          </w:p>
        </w:tc>
        <w:tc>
          <w:tcPr>
            <w:tcW w:w="2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26" w14:textId="77777777" w:rsidR="00260C1F" w:rsidRDefault="00000000">
            <w:r>
              <w:t>508</w:t>
            </w:r>
          </w:p>
        </w:tc>
        <w:tc>
          <w:tcPr>
            <w:tcW w:w="26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27" w14:textId="77777777" w:rsidR="00260C1F" w:rsidRDefault="00000000">
            <w:r>
              <w:t>% sin productos del segmento</w:t>
            </w:r>
          </w:p>
        </w:tc>
      </w:tr>
    </w:tbl>
    <w:p w14:paraId="4166AD29" w14:textId="77777777" w:rsidR="00260C1F" w:rsidRDefault="00260C1F">
      <w:pPr>
        <w:spacing w:after="80"/>
      </w:pPr>
    </w:p>
    <w:p w14:paraId="4166AD2A" w14:textId="77777777" w:rsidR="00260C1F" w:rsidRDefault="00000000">
      <w:pPr>
        <w:spacing w:after="120" w:line="276" w:lineRule="auto"/>
      </w:pPr>
      <w:r>
        <w:t>Como siguiente paso se propone publicar el informe en el servicio de Power BI con actualización programada y seguridad por oficina (RLS), y reentrenar el modelo de propensión con los resultados de la primera campaña.</w:t>
      </w:r>
    </w:p>
    <w:p w14:paraId="4166AD2B" w14:textId="77777777" w:rsidR="00260C1F" w:rsidRDefault="00000000">
      <w:pPr>
        <w:pStyle w:val="Ttulo1"/>
        <w:pageBreakBefore/>
      </w:pPr>
      <w:r>
        <w:lastRenderedPageBreak/>
        <w:t>Anexo A. Medidas DAX</w:t>
      </w:r>
    </w:p>
    <w:p w14:paraId="4166AD2C" w14:textId="77777777" w:rsidR="00260C1F" w:rsidRDefault="00000000">
      <w:pPr>
        <w:spacing w:after="120" w:line="276" w:lineRule="auto"/>
      </w:pPr>
      <w:r>
        <w:t>El modelo contiene 55 medidas en la tabla Medidas, agrupadas en carpetas: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260C1F" w14:paraId="4166AD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2D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Carpeta</w:t>
            </w:r>
          </w:p>
        </w:tc>
        <w:tc>
          <w:tcPr>
            <w:tcW w:w="7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2E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Medidas</w:t>
            </w:r>
          </w:p>
        </w:tc>
      </w:tr>
      <w:tr w:rsidR="00260C1F" w14:paraId="4166AD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30" w14:textId="77777777" w:rsidR="00260C1F" w:rsidRDefault="00000000">
            <w:r>
              <w:t>1. Clientes</w:t>
            </w:r>
          </w:p>
        </w:tc>
        <w:tc>
          <w:tcPr>
            <w:tcW w:w="7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31" w14:textId="77777777" w:rsidR="00260C1F" w:rsidRDefault="00000000">
            <w:proofErr w:type="spellStart"/>
            <w:r>
              <w:t>Nº</w:t>
            </w:r>
            <w:proofErr w:type="spellEnd"/>
            <w:r>
              <w:t xml:space="preserve"> clientes · % del total de clientes · Clientes con inversión · Clientes sin inversión · % con inversión · Edad media · Antigüedad media (años) · % renta imputada · % no residentes · Provincias con clientes</w:t>
            </w:r>
          </w:p>
        </w:tc>
      </w:tr>
      <w:tr w:rsidR="00260C1F" w14:paraId="4166AD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33" w14:textId="77777777" w:rsidR="00260C1F" w:rsidRDefault="00000000">
            <w:r>
              <w:t>2. Patrimonio y margen</w:t>
            </w:r>
          </w:p>
        </w:tc>
        <w:tc>
          <w:tcPr>
            <w:tcW w:w="7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34" w14:textId="77777777" w:rsidR="00260C1F" w:rsidRDefault="00000000">
            <w:r>
              <w:t>Patrimonio total · Patrimonio medio · Patrimonio mediano · Margen total · Margen medio · % del margen total · Índice de margen · Concentración margen Top 10 % · Concentración patrimonio Top 100 · Clientes con margen negativo</w:t>
            </w:r>
          </w:p>
        </w:tc>
      </w:tr>
      <w:tr w:rsidR="00260C1F" w14:paraId="4166AD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36" w14:textId="77777777" w:rsidR="00260C1F" w:rsidRDefault="00000000">
            <w:r>
              <w:t>3. Productos</w:t>
            </w:r>
          </w:p>
        </w:tc>
        <w:tc>
          <w:tcPr>
            <w:tcW w:w="7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37" w14:textId="77777777" w:rsidR="00260C1F" w:rsidRDefault="00000000">
            <w:r>
              <w:t xml:space="preserve">Productos medios · Clientes </w:t>
            </w:r>
            <w:proofErr w:type="spellStart"/>
            <w:r>
              <w:t>mono-producto</w:t>
            </w:r>
            <w:proofErr w:type="spellEnd"/>
            <w:r>
              <w:t xml:space="preserve"> · % </w:t>
            </w:r>
            <w:proofErr w:type="spellStart"/>
            <w:r>
              <w:t>mono-producto</w:t>
            </w:r>
            <w:proofErr w:type="spellEnd"/>
            <w:r>
              <w:t xml:space="preserve"> · % sin productos · Clientes con producto · Contrataciones · % penetración</w:t>
            </w:r>
          </w:p>
        </w:tc>
      </w:tr>
      <w:tr w:rsidR="00260C1F" w14:paraId="4166A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39" w14:textId="77777777" w:rsidR="00260C1F" w:rsidRDefault="00000000">
            <w:r>
              <w:t>4. Riesgo</w:t>
            </w:r>
          </w:p>
        </w:tc>
        <w:tc>
          <w:tcPr>
            <w:tcW w:w="7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3A" w14:textId="77777777" w:rsidR="00260C1F" w:rsidRDefault="00000000">
            <w:r>
              <w:t>Deuda total · Clientes con deuda · Clientes riesgo crítico · % riesgo crítico · Ratio endeudamiento mediano · % con seguro de protección</w:t>
            </w:r>
          </w:p>
        </w:tc>
      </w:tr>
      <w:tr w:rsidR="00260C1F" w14:paraId="4166AD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3C" w14:textId="77777777" w:rsidR="00260C1F" w:rsidRDefault="00000000">
            <w:r>
              <w:t>5. Propensión (ML)</w:t>
            </w:r>
          </w:p>
        </w:tc>
        <w:tc>
          <w:tcPr>
            <w:tcW w:w="7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3D" w14:textId="77777777" w:rsidR="00260C1F" w:rsidRDefault="00000000">
            <w:r>
              <w:t xml:space="preserve">Probabilidad media de inversión · Clientes propensión alta · Clientes prioritarios (perfil) · Umbral seleccionado · Clientes sobre umbral · AUC modelo elegido · </w:t>
            </w:r>
            <w:proofErr w:type="spellStart"/>
            <w:r>
              <w:t>Recall</w:t>
            </w:r>
            <w:proofErr w:type="spellEnd"/>
            <w:r>
              <w:t xml:space="preserve"> modelo elegido · Coeficiente · Valor correlación · Fuerza del factor</w:t>
            </w:r>
          </w:p>
        </w:tc>
      </w:tr>
      <w:tr w:rsidR="00260C1F" w14:paraId="4166AD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3F" w14:textId="77777777" w:rsidR="00260C1F" w:rsidRDefault="00000000">
            <w:r>
              <w:t>6. Textos dinámicos</w:t>
            </w:r>
          </w:p>
        </w:tc>
        <w:tc>
          <w:tcPr>
            <w:tcW w:w="7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40" w14:textId="77777777" w:rsidR="00260C1F" w:rsidRDefault="00000000">
            <w:r>
              <w:t xml:space="preserve">Texto selección · </w:t>
            </w:r>
            <w:proofErr w:type="spellStart"/>
            <w:r>
              <w:t>Insight</w:t>
            </w:r>
            <w:proofErr w:type="spellEnd"/>
            <w:r>
              <w:t xml:space="preserve"> inversión · </w:t>
            </w:r>
            <w:proofErr w:type="spellStart"/>
            <w:r>
              <w:t>Insight</w:t>
            </w:r>
            <w:proofErr w:type="spellEnd"/>
            <w:r>
              <w:t xml:space="preserve"> margen · Cliente seleccionado · Acción recomendada</w:t>
            </w:r>
          </w:p>
        </w:tc>
      </w:tr>
      <w:tr w:rsidR="00260C1F" w14:paraId="4166AD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42" w14:textId="77777777" w:rsidR="00260C1F" w:rsidRDefault="00000000">
            <w:r>
              <w:t>7. Colores</w:t>
            </w:r>
          </w:p>
        </w:tc>
        <w:tc>
          <w:tcPr>
            <w:tcW w:w="72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43" w14:textId="77777777" w:rsidR="00260C1F" w:rsidRDefault="00000000">
            <w:r>
              <w:t>Color % inversión · Color fondo % inversión · Color texto % inversión · Color fondo penetración · Color correlación · Color coeficiente · Color riesgo crítico</w:t>
            </w:r>
          </w:p>
        </w:tc>
      </w:tr>
    </w:tbl>
    <w:p w14:paraId="4166AD45" w14:textId="77777777" w:rsidR="00260C1F" w:rsidRDefault="00260C1F">
      <w:pPr>
        <w:spacing w:after="80"/>
      </w:pPr>
    </w:p>
    <w:p w14:paraId="4166AD46" w14:textId="77777777" w:rsidR="00260C1F" w:rsidRDefault="00000000">
      <w:pPr>
        <w:pStyle w:val="Ttulo2"/>
      </w:pPr>
      <w:r>
        <w:t>Medidas destacadas</w:t>
      </w:r>
    </w:p>
    <w:p w14:paraId="4166AD47" w14:textId="77777777" w:rsidR="00260C1F" w:rsidRDefault="00000000">
      <w:pPr>
        <w:pStyle w:val="Ttulo3"/>
      </w:pPr>
      <w:r>
        <w:t>% con inversión</w:t>
      </w:r>
    </w:p>
    <w:p w14:paraId="4166AD48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DIVIDE </w:t>
      </w:r>
      <w:proofErr w:type="gramStart"/>
      <w:r>
        <w:rPr>
          <w:rFonts w:ascii="Consolas" w:eastAsia="Consolas" w:hAnsi="Consolas" w:cs="Consolas"/>
          <w:sz w:val="16"/>
          <w:szCs w:val="16"/>
        </w:rPr>
        <w:t>( [</w:t>
      </w:r>
      <w:proofErr w:type="gramEnd"/>
      <w:r>
        <w:rPr>
          <w:rFonts w:ascii="Consolas" w:eastAsia="Consolas" w:hAnsi="Consolas" w:cs="Consolas"/>
          <w:sz w:val="16"/>
          <w:szCs w:val="16"/>
        </w:rPr>
        <w:t>Clientes con inversión], [</w:t>
      </w:r>
      <w:proofErr w:type="spellStart"/>
      <w:r>
        <w:rPr>
          <w:rFonts w:ascii="Consolas" w:eastAsia="Consolas" w:hAnsi="Consolas" w:cs="Consolas"/>
          <w:sz w:val="16"/>
          <w:szCs w:val="16"/>
        </w:rPr>
        <w:t>Nº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clientes</w:t>
      </w:r>
      <w:proofErr w:type="gramStart"/>
      <w:r>
        <w:rPr>
          <w:rFonts w:ascii="Consolas" w:eastAsia="Consolas" w:hAnsi="Consolas" w:cs="Consolas"/>
          <w:sz w:val="16"/>
          <w:szCs w:val="16"/>
        </w:rPr>
        <w:t>] )</w:t>
      </w:r>
      <w:proofErr w:type="gramEnd"/>
    </w:p>
    <w:p w14:paraId="4166AD49" w14:textId="77777777" w:rsidR="00260C1F" w:rsidRDefault="00260C1F">
      <w:pPr>
        <w:spacing w:after="80"/>
      </w:pPr>
    </w:p>
    <w:p w14:paraId="4166AD4A" w14:textId="77777777" w:rsidR="00260C1F" w:rsidRDefault="00000000">
      <w:pPr>
        <w:pStyle w:val="Ttulo3"/>
      </w:pPr>
      <w:r>
        <w:t>Concentración margen Top 10 %</w:t>
      </w:r>
    </w:p>
    <w:p w14:paraId="4166AD4B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NumTop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ROUNDUP </w:t>
      </w:r>
      <w:proofErr w:type="gramStart"/>
      <w:r>
        <w:rPr>
          <w:rFonts w:ascii="Consolas" w:eastAsia="Consolas" w:hAnsi="Consolas" w:cs="Consolas"/>
          <w:sz w:val="16"/>
          <w:szCs w:val="16"/>
        </w:rPr>
        <w:t>( 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clientes] * 0.1, </w:t>
      </w:r>
      <w:proofErr w:type="gramStart"/>
      <w:r>
        <w:rPr>
          <w:rFonts w:ascii="Consolas" w:eastAsia="Consolas" w:hAnsi="Consolas" w:cs="Consolas"/>
          <w:sz w:val="16"/>
          <w:szCs w:val="16"/>
        </w:rPr>
        <w:t>0 )</w:t>
      </w:r>
      <w:proofErr w:type="gramEnd"/>
    </w:p>
    <w:p w14:paraId="4166AD4C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VAR Top10 = TOPN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( </w:t>
      </w:r>
      <w:proofErr w:type="spellStart"/>
      <w:r>
        <w:rPr>
          <w:rFonts w:ascii="Consolas" w:eastAsia="Consolas" w:hAnsi="Consolas" w:cs="Consolas"/>
          <w:sz w:val="16"/>
          <w:szCs w:val="16"/>
        </w:rPr>
        <w:t>NumTop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Clientes, </w:t>
      </w:r>
      <w:proofErr w:type="gramStart"/>
      <w:r>
        <w:rPr>
          <w:rFonts w:ascii="Consolas" w:eastAsia="Consolas" w:hAnsi="Consolas" w:cs="Consolas"/>
          <w:sz w:val="16"/>
          <w:szCs w:val="16"/>
        </w:rPr>
        <w:t>Clientes[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Margen comercial], </w:t>
      </w:r>
      <w:proofErr w:type="gramStart"/>
      <w:r>
        <w:rPr>
          <w:rFonts w:ascii="Consolas" w:eastAsia="Consolas" w:hAnsi="Consolas" w:cs="Consolas"/>
          <w:sz w:val="16"/>
          <w:szCs w:val="16"/>
        </w:rPr>
        <w:t>DESC )</w:t>
      </w:r>
      <w:proofErr w:type="gramEnd"/>
    </w:p>
    <w:p w14:paraId="4166AD4D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RETURN DIVIDE </w:t>
      </w:r>
      <w:proofErr w:type="gramStart"/>
      <w:r>
        <w:rPr>
          <w:rFonts w:ascii="Consolas" w:eastAsia="Consolas" w:hAnsi="Consolas" w:cs="Consolas"/>
          <w:sz w:val="16"/>
          <w:szCs w:val="16"/>
        </w:rPr>
        <w:t>( SUMX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( Top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10, </w:t>
      </w:r>
      <w:proofErr w:type="gramStart"/>
      <w:r>
        <w:rPr>
          <w:rFonts w:ascii="Consolas" w:eastAsia="Consolas" w:hAnsi="Consolas" w:cs="Consolas"/>
          <w:sz w:val="16"/>
          <w:szCs w:val="16"/>
        </w:rPr>
        <w:t>Clientes[</w:t>
      </w:r>
      <w:proofErr w:type="gramEnd"/>
      <w:r>
        <w:rPr>
          <w:rFonts w:ascii="Consolas" w:eastAsia="Consolas" w:hAnsi="Consolas" w:cs="Consolas"/>
          <w:sz w:val="16"/>
          <w:szCs w:val="16"/>
        </w:rPr>
        <w:t>Margen comercial</w:t>
      </w:r>
      <w:proofErr w:type="gramStart"/>
      <w:r>
        <w:rPr>
          <w:rFonts w:ascii="Consolas" w:eastAsia="Consolas" w:hAnsi="Consolas" w:cs="Consolas"/>
          <w:sz w:val="16"/>
          <w:szCs w:val="16"/>
        </w:rPr>
        <w:t>] )</w:t>
      </w:r>
      <w:proofErr w:type="gramEnd"/>
      <w:r>
        <w:rPr>
          <w:rFonts w:ascii="Consolas" w:eastAsia="Consolas" w:hAnsi="Consolas" w:cs="Consolas"/>
          <w:sz w:val="16"/>
          <w:szCs w:val="16"/>
        </w:rPr>
        <w:t>, [Margen total</w:t>
      </w:r>
      <w:proofErr w:type="gramStart"/>
      <w:r>
        <w:rPr>
          <w:rFonts w:ascii="Consolas" w:eastAsia="Consolas" w:hAnsi="Consolas" w:cs="Consolas"/>
          <w:sz w:val="16"/>
          <w:szCs w:val="16"/>
        </w:rPr>
        <w:t>] )</w:t>
      </w:r>
      <w:proofErr w:type="gramEnd"/>
    </w:p>
    <w:p w14:paraId="4166AD4E" w14:textId="77777777" w:rsidR="00260C1F" w:rsidRDefault="00260C1F">
      <w:pPr>
        <w:spacing w:after="80"/>
      </w:pPr>
    </w:p>
    <w:p w14:paraId="4166AD4F" w14:textId="77777777" w:rsidR="00260C1F" w:rsidRDefault="00000000">
      <w:pPr>
        <w:pStyle w:val="Ttulo3"/>
      </w:pPr>
      <w:r>
        <w:t>Concentración patrimonio Top 100</w:t>
      </w:r>
    </w:p>
    <w:p w14:paraId="4166AD50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VAR Top100 = TOPN </w:t>
      </w:r>
      <w:proofErr w:type="gramStart"/>
      <w:r>
        <w:rPr>
          <w:rFonts w:ascii="Consolas" w:eastAsia="Consolas" w:hAnsi="Consolas" w:cs="Consolas"/>
          <w:sz w:val="16"/>
          <w:szCs w:val="16"/>
        </w:rPr>
        <w:t>( 100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Clientes, </w:t>
      </w:r>
      <w:proofErr w:type="gramStart"/>
      <w:r>
        <w:rPr>
          <w:rFonts w:ascii="Consolas" w:eastAsia="Consolas" w:hAnsi="Consolas" w:cs="Consolas"/>
          <w:sz w:val="16"/>
          <w:szCs w:val="16"/>
        </w:rPr>
        <w:t>Clientes[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Patrimonio], </w:t>
      </w:r>
      <w:proofErr w:type="gramStart"/>
      <w:r>
        <w:rPr>
          <w:rFonts w:ascii="Consolas" w:eastAsia="Consolas" w:hAnsi="Consolas" w:cs="Consolas"/>
          <w:sz w:val="16"/>
          <w:szCs w:val="16"/>
        </w:rPr>
        <w:t>DESC )</w:t>
      </w:r>
      <w:proofErr w:type="gramEnd"/>
    </w:p>
    <w:p w14:paraId="4166AD51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RETURN DIVIDE </w:t>
      </w:r>
      <w:proofErr w:type="gramStart"/>
      <w:r>
        <w:rPr>
          <w:rFonts w:ascii="Consolas" w:eastAsia="Consolas" w:hAnsi="Consolas" w:cs="Consolas"/>
          <w:sz w:val="16"/>
          <w:szCs w:val="16"/>
        </w:rPr>
        <w:t>( SUMX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( Top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100, </w:t>
      </w:r>
      <w:proofErr w:type="gramStart"/>
      <w:r>
        <w:rPr>
          <w:rFonts w:ascii="Consolas" w:eastAsia="Consolas" w:hAnsi="Consolas" w:cs="Consolas"/>
          <w:sz w:val="16"/>
          <w:szCs w:val="16"/>
        </w:rPr>
        <w:t>Clientes[</w:t>
      </w:r>
      <w:proofErr w:type="gramEnd"/>
      <w:r>
        <w:rPr>
          <w:rFonts w:ascii="Consolas" w:eastAsia="Consolas" w:hAnsi="Consolas" w:cs="Consolas"/>
          <w:sz w:val="16"/>
          <w:szCs w:val="16"/>
        </w:rPr>
        <w:t>Patrimonio</w:t>
      </w:r>
      <w:proofErr w:type="gramStart"/>
      <w:r>
        <w:rPr>
          <w:rFonts w:ascii="Consolas" w:eastAsia="Consolas" w:hAnsi="Consolas" w:cs="Consolas"/>
          <w:sz w:val="16"/>
          <w:szCs w:val="16"/>
        </w:rPr>
        <w:t>] )</w:t>
      </w:r>
      <w:proofErr w:type="gramEnd"/>
      <w:r>
        <w:rPr>
          <w:rFonts w:ascii="Consolas" w:eastAsia="Consolas" w:hAnsi="Consolas" w:cs="Consolas"/>
          <w:sz w:val="16"/>
          <w:szCs w:val="16"/>
        </w:rPr>
        <w:t>, [Patrimonio total</w:t>
      </w:r>
      <w:proofErr w:type="gramStart"/>
      <w:r>
        <w:rPr>
          <w:rFonts w:ascii="Consolas" w:eastAsia="Consolas" w:hAnsi="Consolas" w:cs="Consolas"/>
          <w:sz w:val="16"/>
          <w:szCs w:val="16"/>
        </w:rPr>
        <w:t>] )</w:t>
      </w:r>
      <w:proofErr w:type="gramEnd"/>
    </w:p>
    <w:p w14:paraId="4166AD52" w14:textId="77777777" w:rsidR="00260C1F" w:rsidRDefault="00260C1F">
      <w:pPr>
        <w:spacing w:after="80"/>
      </w:pPr>
    </w:p>
    <w:p w14:paraId="4166AD53" w14:textId="77777777" w:rsidR="00260C1F" w:rsidRDefault="00000000">
      <w:pPr>
        <w:pStyle w:val="Ttulo3"/>
      </w:pPr>
      <w:r>
        <w:t>% penetración</w:t>
      </w:r>
    </w:p>
    <w:p w14:paraId="4166AD54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DIVIDE </w:t>
      </w:r>
      <w:proofErr w:type="gramStart"/>
      <w:r>
        <w:rPr>
          <w:rFonts w:ascii="Consolas" w:eastAsia="Consolas" w:hAnsi="Consolas" w:cs="Consolas"/>
          <w:sz w:val="16"/>
          <w:szCs w:val="16"/>
        </w:rPr>
        <w:t>( 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Clientes con producto], CALCULATE </w:t>
      </w:r>
      <w:proofErr w:type="gramStart"/>
      <w:r>
        <w:rPr>
          <w:rFonts w:ascii="Consolas" w:eastAsia="Consolas" w:hAnsi="Consolas" w:cs="Consolas"/>
          <w:sz w:val="16"/>
          <w:szCs w:val="16"/>
        </w:rPr>
        <w:t>( 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clientes], REMOVEFILTERS </w:t>
      </w:r>
      <w:proofErr w:type="gramStart"/>
      <w:r>
        <w:rPr>
          <w:rFonts w:ascii="Consolas" w:eastAsia="Consolas" w:hAnsi="Consolas" w:cs="Consolas"/>
          <w:sz w:val="16"/>
          <w:szCs w:val="16"/>
        </w:rPr>
        <w:t>( Productos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) )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)</w:t>
      </w:r>
    </w:p>
    <w:p w14:paraId="4166AD55" w14:textId="77777777" w:rsidR="00260C1F" w:rsidRDefault="00260C1F">
      <w:pPr>
        <w:spacing w:after="80"/>
      </w:pPr>
    </w:p>
    <w:p w14:paraId="4166AD56" w14:textId="77777777" w:rsidR="00260C1F" w:rsidRDefault="00000000">
      <w:pPr>
        <w:pStyle w:val="Ttulo3"/>
      </w:pPr>
      <w:r>
        <w:t>% riesgo crítico</w:t>
      </w:r>
    </w:p>
    <w:p w14:paraId="4166AD57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DIVIDE </w:t>
      </w:r>
      <w:proofErr w:type="gramStart"/>
      <w:r>
        <w:rPr>
          <w:rFonts w:ascii="Consolas" w:eastAsia="Consolas" w:hAnsi="Consolas" w:cs="Consolas"/>
          <w:sz w:val="16"/>
          <w:szCs w:val="16"/>
        </w:rPr>
        <w:t>( [</w:t>
      </w:r>
      <w:proofErr w:type="gramEnd"/>
      <w:r>
        <w:rPr>
          <w:rFonts w:ascii="Consolas" w:eastAsia="Consolas" w:hAnsi="Consolas" w:cs="Consolas"/>
          <w:sz w:val="16"/>
          <w:szCs w:val="16"/>
        </w:rPr>
        <w:t>Clientes riesgo crítico], [</w:t>
      </w:r>
      <w:proofErr w:type="spellStart"/>
      <w:r>
        <w:rPr>
          <w:rFonts w:ascii="Consolas" w:eastAsia="Consolas" w:hAnsi="Consolas" w:cs="Consolas"/>
          <w:sz w:val="16"/>
          <w:szCs w:val="16"/>
        </w:rPr>
        <w:t>Nº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clientes</w:t>
      </w:r>
      <w:proofErr w:type="gramStart"/>
      <w:r>
        <w:rPr>
          <w:rFonts w:ascii="Consolas" w:eastAsia="Consolas" w:hAnsi="Consolas" w:cs="Consolas"/>
          <w:sz w:val="16"/>
          <w:szCs w:val="16"/>
        </w:rPr>
        <w:t>] )</w:t>
      </w:r>
      <w:proofErr w:type="gramEnd"/>
    </w:p>
    <w:p w14:paraId="4166AD58" w14:textId="77777777" w:rsidR="00260C1F" w:rsidRDefault="00260C1F">
      <w:pPr>
        <w:spacing w:after="80"/>
      </w:pPr>
    </w:p>
    <w:p w14:paraId="4166AD59" w14:textId="77777777" w:rsidR="00260C1F" w:rsidRDefault="00000000">
      <w:pPr>
        <w:pStyle w:val="Ttulo3"/>
      </w:pPr>
      <w:r>
        <w:t>Clientes sobre umbral</w:t>
      </w:r>
    </w:p>
    <w:p w14:paraId="4166AD5A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UmbralElegido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[Umbral seleccionado]</w:t>
      </w:r>
    </w:p>
    <w:p w14:paraId="4166AD5B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RETURN CALCULATE </w:t>
      </w:r>
      <w:proofErr w:type="gramStart"/>
      <w:r>
        <w:rPr>
          <w:rFonts w:ascii="Consolas" w:eastAsia="Consolas" w:hAnsi="Consolas" w:cs="Consolas"/>
          <w:sz w:val="16"/>
          <w:szCs w:val="16"/>
        </w:rPr>
        <w:t>( 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clientes], </w:t>
      </w:r>
      <w:proofErr w:type="gramStart"/>
      <w:r>
        <w:rPr>
          <w:rFonts w:ascii="Consolas" w:eastAsia="Consolas" w:hAnsi="Consolas" w:cs="Consolas"/>
          <w:sz w:val="16"/>
          <w:szCs w:val="16"/>
        </w:rPr>
        <w:t>Clientes[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Tiene inversión] = "No", </w:t>
      </w:r>
      <w:proofErr w:type="gramStart"/>
      <w:r>
        <w:rPr>
          <w:rFonts w:ascii="Consolas" w:eastAsia="Consolas" w:hAnsi="Consolas" w:cs="Consolas"/>
          <w:sz w:val="16"/>
          <w:szCs w:val="16"/>
        </w:rPr>
        <w:t>Clientes[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Probabilidad inversión] &gt;=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UmbralElegido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)</w:t>
      </w:r>
      <w:proofErr w:type="gramEnd"/>
    </w:p>
    <w:p w14:paraId="4166AD5C" w14:textId="77777777" w:rsidR="00260C1F" w:rsidRDefault="00260C1F">
      <w:pPr>
        <w:spacing w:after="80"/>
      </w:pPr>
    </w:p>
    <w:p w14:paraId="4166AD5D" w14:textId="77777777" w:rsidR="00260C1F" w:rsidRDefault="00000000">
      <w:pPr>
        <w:pStyle w:val="Ttulo3"/>
      </w:pPr>
      <w:r>
        <w:lastRenderedPageBreak/>
        <w:t>Clientes prioritarios (perfil)</w:t>
      </w:r>
    </w:p>
    <w:p w14:paraId="4166AD5E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CALCULATE </w:t>
      </w:r>
      <w:proofErr w:type="gramStart"/>
      <w:r>
        <w:rPr>
          <w:rFonts w:ascii="Consolas" w:eastAsia="Consolas" w:hAnsi="Consolas" w:cs="Consolas"/>
          <w:sz w:val="16"/>
          <w:szCs w:val="16"/>
        </w:rPr>
        <w:t>( 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clientes], </w:t>
      </w:r>
      <w:proofErr w:type="gramStart"/>
      <w:r>
        <w:rPr>
          <w:rFonts w:ascii="Consolas" w:eastAsia="Consolas" w:hAnsi="Consolas" w:cs="Consolas"/>
          <w:sz w:val="16"/>
          <w:szCs w:val="16"/>
        </w:rPr>
        <w:t>Clientes[</w:t>
      </w:r>
      <w:proofErr w:type="gramEnd"/>
      <w:r>
        <w:rPr>
          <w:rFonts w:ascii="Consolas" w:eastAsia="Consolas" w:hAnsi="Consolas" w:cs="Consolas"/>
          <w:sz w:val="16"/>
          <w:szCs w:val="16"/>
        </w:rPr>
        <w:t>Banda en perfil] = "Alta</w:t>
      </w:r>
      <w:proofErr w:type="gramStart"/>
      <w:r>
        <w:rPr>
          <w:rFonts w:ascii="Consolas" w:eastAsia="Consolas" w:hAnsi="Consolas" w:cs="Consolas"/>
          <w:sz w:val="16"/>
          <w:szCs w:val="16"/>
        </w:rPr>
        <w:t>" )</w:t>
      </w:r>
      <w:proofErr w:type="gramEnd"/>
    </w:p>
    <w:p w14:paraId="4166AD5F" w14:textId="77777777" w:rsidR="00260C1F" w:rsidRDefault="00260C1F">
      <w:pPr>
        <w:spacing w:after="80"/>
      </w:pPr>
    </w:p>
    <w:p w14:paraId="4166AD60" w14:textId="77777777" w:rsidR="00260C1F" w:rsidRDefault="00000000">
      <w:pPr>
        <w:pStyle w:val="Ttulo3"/>
      </w:pPr>
      <w:r>
        <w:t>Texto selección</w:t>
      </w:r>
    </w:p>
    <w:p w14:paraId="4166AD61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ListaPerfiles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IF </w:t>
      </w:r>
      <w:proofErr w:type="gramStart"/>
      <w:r>
        <w:rPr>
          <w:rFonts w:ascii="Consolas" w:eastAsia="Consolas" w:hAnsi="Consolas" w:cs="Consolas"/>
          <w:sz w:val="16"/>
          <w:szCs w:val="16"/>
        </w:rPr>
        <w:t>( ISFILTERED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( Perfiles</w:t>
      </w:r>
      <w:proofErr w:type="gramEnd"/>
      <w:r>
        <w:rPr>
          <w:rFonts w:ascii="Consolas" w:eastAsia="Consolas" w:hAnsi="Consolas" w:cs="Consolas"/>
          <w:sz w:val="16"/>
          <w:szCs w:val="16"/>
        </w:rPr>
        <w:t>[Perfil inversión</w:t>
      </w:r>
      <w:proofErr w:type="gramStart"/>
      <w:r>
        <w:rPr>
          <w:rFonts w:ascii="Consolas" w:eastAsia="Consolas" w:hAnsi="Consolas" w:cs="Consolas"/>
          <w:sz w:val="16"/>
          <w:szCs w:val="16"/>
        </w:rPr>
        <w:t>] )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CONCATENATEX </w:t>
      </w:r>
      <w:proofErr w:type="gramStart"/>
      <w:r>
        <w:rPr>
          <w:rFonts w:ascii="Consolas" w:eastAsia="Consolas" w:hAnsi="Consolas" w:cs="Consolas"/>
          <w:sz w:val="16"/>
          <w:szCs w:val="16"/>
        </w:rPr>
        <w:t>( VALUES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( Perfiles</w:t>
      </w:r>
      <w:proofErr w:type="gramEnd"/>
      <w:r>
        <w:rPr>
          <w:rFonts w:ascii="Consolas" w:eastAsia="Consolas" w:hAnsi="Consolas" w:cs="Consolas"/>
          <w:sz w:val="16"/>
          <w:szCs w:val="16"/>
        </w:rPr>
        <w:t>[Perfil inversión</w:t>
      </w:r>
      <w:proofErr w:type="gramStart"/>
      <w:r>
        <w:rPr>
          <w:rFonts w:ascii="Consolas" w:eastAsia="Consolas" w:hAnsi="Consolas" w:cs="Consolas"/>
          <w:sz w:val="16"/>
          <w:szCs w:val="16"/>
        </w:rPr>
        <w:t>] )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Perfiles[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Perfil inversión], ", </w:t>
      </w:r>
      <w:proofErr w:type="gramStart"/>
      <w:r>
        <w:rPr>
          <w:rFonts w:ascii="Consolas" w:eastAsia="Consolas" w:hAnsi="Consolas" w:cs="Consolas"/>
          <w:sz w:val="16"/>
          <w:szCs w:val="16"/>
        </w:rPr>
        <w:t>" )</w:t>
      </w:r>
      <w:proofErr w:type="gramEnd"/>
      <w:r>
        <w:rPr>
          <w:rFonts w:ascii="Consolas" w:eastAsia="Consolas" w:hAnsi="Consolas" w:cs="Consolas"/>
          <w:sz w:val="16"/>
          <w:szCs w:val="16"/>
        </w:rPr>
        <w:t>, "todos los perfiles</w:t>
      </w:r>
      <w:proofErr w:type="gramStart"/>
      <w:r>
        <w:rPr>
          <w:rFonts w:ascii="Consolas" w:eastAsia="Consolas" w:hAnsi="Consolas" w:cs="Consolas"/>
          <w:sz w:val="16"/>
          <w:szCs w:val="16"/>
        </w:rPr>
        <w:t>" )</w:t>
      </w:r>
      <w:proofErr w:type="gramEnd"/>
    </w:p>
    <w:p w14:paraId="4166AD62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RETURN "Selección actual: " 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ListaPerfiles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&amp; " · " &amp; FORMAT </w:t>
      </w:r>
      <w:proofErr w:type="gramStart"/>
      <w:r>
        <w:rPr>
          <w:rFonts w:ascii="Consolas" w:eastAsia="Consolas" w:hAnsi="Consolas" w:cs="Consolas"/>
          <w:sz w:val="16"/>
          <w:szCs w:val="16"/>
        </w:rPr>
        <w:t>( 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Nº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clientes], "#,0</w:t>
      </w:r>
      <w:proofErr w:type="gramStart"/>
      <w:r>
        <w:rPr>
          <w:rFonts w:ascii="Consolas" w:eastAsia="Consolas" w:hAnsi="Consolas" w:cs="Consolas"/>
          <w:sz w:val="16"/>
          <w:szCs w:val="16"/>
        </w:rPr>
        <w:t>" )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&amp; " clientes"</w:t>
      </w:r>
    </w:p>
    <w:p w14:paraId="4166AD63" w14:textId="77777777" w:rsidR="00260C1F" w:rsidRDefault="00260C1F">
      <w:pPr>
        <w:spacing w:after="80"/>
      </w:pPr>
    </w:p>
    <w:p w14:paraId="4166AD64" w14:textId="77777777" w:rsidR="00260C1F" w:rsidRDefault="00000000">
      <w:pPr>
        <w:pStyle w:val="Ttulo3"/>
      </w:pPr>
      <w:r>
        <w:t>Acción recomendada</w:t>
      </w:r>
    </w:p>
    <w:p w14:paraId="4166AD65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VAR Banda = SELECTEDVALUE </w:t>
      </w:r>
      <w:proofErr w:type="gramStart"/>
      <w:r>
        <w:rPr>
          <w:rFonts w:ascii="Consolas" w:eastAsia="Consolas" w:hAnsi="Consolas" w:cs="Consolas"/>
          <w:sz w:val="16"/>
          <w:szCs w:val="16"/>
        </w:rPr>
        <w:t>( Clientes</w:t>
      </w:r>
      <w:proofErr w:type="gramEnd"/>
      <w:r>
        <w:rPr>
          <w:rFonts w:ascii="Consolas" w:eastAsia="Consolas" w:hAnsi="Consolas" w:cs="Consolas"/>
          <w:sz w:val="16"/>
          <w:szCs w:val="16"/>
        </w:rPr>
        <w:t>[Banda en perfil</w:t>
      </w:r>
      <w:proofErr w:type="gramStart"/>
      <w:r>
        <w:rPr>
          <w:rFonts w:ascii="Consolas" w:eastAsia="Consolas" w:hAnsi="Consolas" w:cs="Consolas"/>
          <w:sz w:val="16"/>
          <w:szCs w:val="16"/>
        </w:rPr>
        <w:t>] )</w:t>
      </w:r>
      <w:proofErr w:type="gramEnd"/>
    </w:p>
    <w:p w14:paraId="4166AD66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VAR Producto = SELECTEDVALUE </w:t>
      </w:r>
      <w:proofErr w:type="gramStart"/>
      <w:r>
        <w:rPr>
          <w:rFonts w:ascii="Consolas" w:eastAsia="Consolas" w:hAnsi="Consolas" w:cs="Consolas"/>
          <w:sz w:val="16"/>
          <w:szCs w:val="16"/>
        </w:rPr>
        <w:t>( Perfiles</w:t>
      </w:r>
      <w:proofErr w:type="gramEnd"/>
      <w:r>
        <w:rPr>
          <w:rFonts w:ascii="Consolas" w:eastAsia="Consolas" w:hAnsi="Consolas" w:cs="Consolas"/>
          <w:sz w:val="16"/>
          <w:szCs w:val="16"/>
        </w:rPr>
        <w:t>[Producto objetivo</w:t>
      </w:r>
      <w:proofErr w:type="gramStart"/>
      <w:r>
        <w:rPr>
          <w:rFonts w:ascii="Consolas" w:eastAsia="Consolas" w:hAnsi="Consolas" w:cs="Consolas"/>
          <w:sz w:val="16"/>
          <w:szCs w:val="16"/>
        </w:rPr>
        <w:t>] )</w:t>
      </w:r>
      <w:proofErr w:type="gramEnd"/>
    </w:p>
    <w:p w14:paraId="4166AD67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VAR Riesgo = SELECTEDVALUE </w:t>
      </w:r>
      <w:proofErr w:type="gramStart"/>
      <w:r>
        <w:rPr>
          <w:rFonts w:ascii="Consolas" w:eastAsia="Consolas" w:hAnsi="Consolas" w:cs="Consolas"/>
          <w:sz w:val="16"/>
          <w:szCs w:val="16"/>
        </w:rPr>
        <w:t>( Clientes</w:t>
      </w:r>
      <w:proofErr w:type="gramEnd"/>
      <w:r>
        <w:rPr>
          <w:rFonts w:ascii="Consolas" w:eastAsia="Consolas" w:hAnsi="Consolas" w:cs="Consolas"/>
          <w:sz w:val="16"/>
          <w:szCs w:val="16"/>
        </w:rPr>
        <w:t>[Nivel riesgo</w:t>
      </w:r>
      <w:proofErr w:type="gramStart"/>
      <w:r>
        <w:rPr>
          <w:rFonts w:ascii="Consolas" w:eastAsia="Consolas" w:hAnsi="Consolas" w:cs="Consolas"/>
          <w:sz w:val="16"/>
          <w:szCs w:val="16"/>
        </w:rPr>
        <w:t>] )</w:t>
      </w:r>
      <w:proofErr w:type="gramEnd"/>
    </w:p>
    <w:p w14:paraId="4166AD68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RETURN SWITCH </w:t>
      </w:r>
      <w:proofErr w:type="gramStart"/>
      <w:r>
        <w:rPr>
          <w:rFonts w:ascii="Consolas" w:eastAsia="Consolas" w:hAnsi="Consolas" w:cs="Consolas"/>
          <w:sz w:val="16"/>
          <w:szCs w:val="16"/>
        </w:rPr>
        <w:t>( TRUE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(),</w:t>
      </w:r>
    </w:p>
    <w:p w14:paraId="4166AD69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    NOT HASONEVALUE </w:t>
      </w:r>
      <w:proofErr w:type="gramStart"/>
      <w:r>
        <w:rPr>
          <w:rFonts w:ascii="Consolas" w:eastAsia="Consolas" w:hAnsi="Consolas" w:cs="Consolas"/>
          <w:sz w:val="16"/>
          <w:szCs w:val="16"/>
        </w:rPr>
        <w:t>( Clientes</w:t>
      </w:r>
      <w:proofErr w:type="gramEnd"/>
      <w:r>
        <w:rPr>
          <w:rFonts w:ascii="Consolas" w:eastAsia="Consolas" w:hAnsi="Consolas" w:cs="Consolas"/>
          <w:sz w:val="16"/>
          <w:szCs w:val="16"/>
        </w:rPr>
        <w:t>[ID cliente</w:t>
      </w:r>
      <w:proofErr w:type="gramStart"/>
      <w:r>
        <w:rPr>
          <w:rFonts w:ascii="Consolas" w:eastAsia="Consolas" w:hAnsi="Consolas" w:cs="Consolas"/>
          <w:sz w:val="16"/>
          <w:szCs w:val="16"/>
        </w:rPr>
        <w:t>] )</w:t>
      </w:r>
      <w:proofErr w:type="gramEnd"/>
      <w:r>
        <w:rPr>
          <w:rFonts w:ascii="Consolas" w:eastAsia="Consolas" w:hAnsi="Consolas" w:cs="Consolas"/>
          <w:sz w:val="16"/>
          <w:szCs w:val="16"/>
        </w:rPr>
        <w:t>, "Selecciona un único cliente",</w:t>
      </w:r>
    </w:p>
    <w:p w14:paraId="4166AD6A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    Banda = "Ya invierte", "Fidelizar: ya tiene inversión. Revisar ampliación de cartera",</w:t>
      </w:r>
    </w:p>
    <w:p w14:paraId="4166AD6B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    Banda = "Alta" &amp;&amp; Riesgo = "Crítico", "Ofrecer " &amp; Producto &amp; " con cautela: endeudamiento crítico",</w:t>
      </w:r>
    </w:p>
    <w:p w14:paraId="4166AD6C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    Banda = "Alta", "Prioritario: ofrecer " &amp; Producto,</w:t>
      </w:r>
    </w:p>
    <w:p w14:paraId="4166AD6D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    Banda = "Media", "Campaña de activación: " &amp; Producto,</w:t>
      </w:r>
    </w:p>
    <w:p w14:paraId="4166AD6E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    "Seguimiento estándar: baja propensión"</w:t>
      </w:r>
    </w:p>
    <w:p w14:paraId="4166AD6F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>)</w:t>
      </w:r>
    </w:p>
    <w:p w14:paraId="4166AD70" w14:textId="77777777" w:rsidR="00260C1F" w:rsidRDefault="00260C1F">
      <w:pPr>
        <w:spacing w:after="80"/>
      </w:pPr>
    </w:p>
    <w:p w14:paraId="4166AD71" w14:textId="77777777" w:rsidR="00260C1F" w:rsidRDefault="00000000">
      <w:pPr>
        <w:pStyle w:val="Ttulo3"/>
      </w:pPr>
      <w:r>
        <w:t>Color fondo % inversión</w:t>
      </w:r>
    </w:p>
    <w:p w14:paraId="4166AD72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>VAR Tasa = [% con inversión]</w:t>
      </w:r>
    </w:p>
    <w:p w14:paraId="4166AD73" w14:textId="77777777" w:rsidR="00260C1F" w:rsidRDefault="00000000">
      <w:r>
        <w:rPr>
          <w:rFonts w:ascii="Consolas" w:eastAsia="Consolas" w:hAnsi="Consolas" w:cs="Consolas"/>
          <w:sz w:val="16"/>
          <w:szCs w:val="16"/>
        </w:rPr>
        <w:t xml:space="preserve">RETURN SWITCH </w:t>
      </w:r>
      <w:proofErr w:type="gramStart"/>
      <w:r>
        <w:rPr>
          <w:rFonts w:ascii="Consolas" w:eastAsia="Consolas" w:hAnsi="Consolas" w:cs="Consolas"/>
          <w:sz w:val="16"/>
          <w:szCs w:val="16"/>
        </w:rPr>
        <w:t>( TRUE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(), ISBLANK </w:t>
      </w:r>
      <w:proofErr w:type="gramStart"/>
      <w:r>
        <w:rPr>
          <w:rFonts w:ascii="Consolas" w:eastAsia="Consolas" w:hAnsi="Consolas" w:cs="Consolas"/>
          <w:sz w:val="16"/>
          <w:szCs w:val="16"/>
        </w:rPr>
        <w:t>( Tasa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), "#FFFFFF", Tasa &gt;= 0.55, "#1c5cab", Tasa &gt;= 0.40, "#5598e7", Tasa &gt;= 0.30, "#9ec5f4", Tasa &gt;= 0.20, "#cde2fb", "#f3f7fd</w:t>
      </w:r>
      <w:proofErr w:type="gramStart"/>
      <w:r>
        <w:rPr>
          <w:rFonts w:ascii="Consolas" w:eastAsia="Consolas" w:hAnsi="Consolas" w:cs="Consolas"/>
          <w:sz w:val="16"/>
          <w:szCs w:val="16"/>
        </w:rPr>
        <w:t>" )</w:t>
      </w:r>
      <w:proofErr w:type="gramEnd"/>
    </w:p>
    <w:p w14:paraId="4166AD74" w14:textId="77777777" w:rsidR="00260C1F" w:rsidRDefault="00260C1F">
      <w:pPr>
        <w:spacing w:after="80"/>
      </w:pPr>
    </w:p>
    <w:p w14:paraId="4166AD75" w14:textId="77777777" w:rsidR="00260C1F" w:rsidRDefault="00000000">
      <w:pPr>
        <w:pStyle w:val="Ttulo1"/>
        <w:pageBreakBefore/>
      </w:pPr>
      <w:r>
        <w:lastRenderedPageBreak/>
        <w:t>Anexo B. Contenido de la entrega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260C1F" w14:paraId="4166AD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76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Carpeta / fichero</w:t>
            </w:r>
          </w:p>
        </w:tc>
        <w:tc>
          <w:tcPr>
            <w:tcW w:w="54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77" w14:textId="77777777" w:rsidR="00260C1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260C1F" w14:paraId="4166AD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79" w14:textId="77777777" w:rsidR="00260C1F" w:rsidRPr="00305E28" w:rsidRDefault="00000000">
            <w:pPr>
              <w:rPr>
                <w:lang w:val="en-US"/>
              </w:rPr>
            </w:pPr>
            <w:r w:rsidRPr="00305E28">
              <w:rPr>
                <w:lang w:val="en-US"/>
              </w:rPr>
              <w:t>PowerBI\TFM_Ethos_Cartera.pbip</w:t>
            </w:r>
          </w:p>
        </w:tc>
        <w:tc>
          <w:tcPr>
            <w:tcW w:w="54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7A" w14:textId="77777777" w:rsidR="00260C1F" w:rsidRDefault="00000000">
            <w:r>
              <w:t>Proyecto de Power BI: abrir con Power BI Desktop</w:t>
            </w:r>
          </w:p>
        </w:tc>
      </w:tr>
      <w:tr w:rsidR="00260C1F" w14:paraId="4166AD7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7C" w14:textId="77777777" w:rsidR="00260C1F" w:rsidRPr="00305E28" w:rsidRDefault="00000000">
            <w:pPr>
              <w:rPr>
                <w:lang w:val="en-US"/>
              </w:rPr>
            </w:pPr>
            <w:r w:rsidRPr="00305E28">
              <w:rPr>
                <w:lang w:val="en-US"/>
              </w:rPr>
              <w:t>PowerBI\TFM_Ethos_Cartera.Report\</w:t>
            </w:r>
          </w:p>
        </w:tc>
        <w:tc>
          <w:tcPr>
            <w:tcW w:w="54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7D" w14:textId="77777777" w:rsidR="00260C1F" w:rsidRDefault="00000000">
            <w:r>
              <w:t>Definición del informe (páginas, visuales, tema y fondos)</w:t>
            </w:r>
          </w:p>
        </w:tc>
      </w:tr>
      <w:tr w:rsidR="00260C1F" w14:paraId="4166AD8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7F" w14:textId="77777777" w:rsidR="00260C1F" w:rsidRDefault="00000000">
            <w:proofErr w:type="spellStart"/>
            <w:r>
              <w:t>PowerBI</w:t>
            </w:r>
            <w:proofErr w:type="spellEnd"/>
            <w:r>
              <w:t>\</w:t>
            </w:r>
            <w:proofErr w:type="spellStart"/>
            <w:r>
              <w:t>TFM_Ethos_Cartera.SemanticModel</w:t>
            </w:r>
            <w:proofErr w:type="spellEnd"/>
            <w:r>
              <w:t>\</w:t>
            </w:r>
          </w:p>
        </w:tc>
        <w:tc>
          <w:tcPr>
            <w:tcW w:w="54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80" w14:textId="77777777" w:rsidR="00260C1F" w:rsidRDefault="00000000">
            <w:r>
              <w:t>Modelo semántico: tablas, relaciones y medidas DAX</w:t>
            </w:r>
          </w:p>
        </w:tc>
      </w:tr>
      <w:tr w:rsidR="00260C1F" w14:paraId="4166AD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82" w14:textId="77777777" w:rsidR="00260C1F" w:rsidRPr="00305E28" w:rsidRDefault="00000000">
            <w:pPr>
              <w:rPr>
                <w:lang w:val="en-US"/>
              </w:rPr>
            </w:pPr>
            <w:r w:rsidRPr="00305E28">
              <w:rPr>
                <w:lang w:val="en-US"/>
              </w:rPr>
              <w:t>PowerBI\TFM_Ethos_datos.xlsx</w:t>
            </w:r>
          </w:p>
        </w:tc>
        <w:tc>
          <w:tcPr>
            <w:tcW w:w="54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83" w14:textId="77777777" w:rsidR="00260C1F" w:rsidRDefault="00000000">
            <w:r>
              <w:t>Datos del modelo (12 hojas) generados por el notebook</w:t>
            </w:r>
          </w:p>
        </w:tc>
      </w:tr>
      <w:tr w:rsidR="00260C1F" w14:paraId="4166AD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85" w14:textId="77777777" w:rsidR="00260C1F" w:rsidRDefault="00000000">
            <w:r>
              <w:t>Notebook\Entrega3_AnaliticaAvanzada.ipynb</w:t>
            </w:r>
          </w:p>
        </w:tc>
        <w:tc>
          <w:tcPr>
            <w:tcW w:w="54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86" w14:textId="77777777" w:rsidR="00260C1F" w:rsidRDefault="00000000">
            <w:r>
              <w:t>Correlaciones, factores, segmentación, modelo de propensión y exportación</w:t>
            </w:r>
          </w:p>
        </w:tc>
      </w:tr>
      <w:tr w:rsidR="00260C1F" w14:paraId="4166AD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88" w14:textId="77777777" w:rsidR="00260C1F" w:rsidRPr="00305E28" w:rsidRDefault="00000000">
            <w:pPr>
              <w:rPr>
                <w:lang w:val="en-US"/>
              </w:rPr>
            </w:pPr>
            <w:r w:rsidRPr="00305E28">
              <w:rPr>
                <w:lang w:val="en-US"/>
              </w:rPr>
              <w:t>Word\Entrega3_Insights_PowerBI.docx</w:t>
            </w:r>
          </w:p>
        </w:tc>
        <w:tc>
          <w:tcPr>
            <w:tcW w:w="54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6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89" w14:textId="77777777" w:rsidR="00260C1F" w:rsidRDefault="00000000">
            <w:r>
              <w:t>Este documento</w:t>
            </w:r>
          </w:p>
        </w:tc>
      </w:tr>
      <w:tr w:rsidR="00260C1F" w14:paraId="4166AD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8B" w14:textId="77777777" w:rsidR="00260C1F" w:rsidRDefault="00000000">
            <w:r>
              <w:t>LEEME.txt</w:t>
            </w:r>
          </w:p>
        </w:tc>
        <w:tc>
          <w:tcPr>
            <w:tcW w:w="5438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AD8C" w14:textId="77777777" w:rsidR="00260C1F" w:rsidRDefault="00000000">
            <w:r>
              <w:t>Instrucciones rápidas de apertura</w:t>
            </w:r>
          </w:p>
        </w:tc>
      </w:tr>
    </w:tbl>
    <w:p w14:paraId="4166AD8E" w14:textId="77777777" w:rsidR="003556E7" w:rsidRDefault="003556E7"/>
    <w:sectPr w:rsidR="003556E7">
      <w:headerReference w:type="default" r:id="rId16"/>
      <w:footerReference w:type="default" r:id="rId17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46AEE" w14:textId="77777777" w:rsidR="003556E7" w:rsidRDefault="003556E7">
      <w:r>
        <w:separator/>
      </w:r>
    </w:p>
  </w:endnote>
  <w:endnote w:type="continuationSeparator" w:id="0">
    <w:p w14:paraId="3E3058D9" w14:textId="77777777" w:rsidR="003556E7" w:rsidRDefault="00355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6ADA1" w14:textId="7C28628A" w:rsidR="00260C1F" w:rsidRDefault="00000000">
    <w:r>
      <w:rPr>
        <w:color w:val="5B6575"/>
        <w:sz w:val="16"/>
        <w:szCs w:val="16"/>
      </w:rPr>
      <w:t xml:space="preserve">Máster en Business </w:t>
    </w:r>
    <w:proofErr w:type="spellStart"/>
    <w:r>
      <w:rPr>
        <w:color w:val="5B6575"/>
        <w:sz w:val="16"/>
        <w:szCs w:val="16"/>
      </w:rPr>
      <w:t>Analytics</w:t>
    </w:r>
    <w:proofErr w:type="spellEnd"/>
    <w:r>
      <w:rPr>
        <w:color w:val="5B6575"/>
        <w:sz w:val="16"/>
        <w:szCs w:val="16"/>
      </w:rPr>
      <w:t xml:space="preserve"> e IA · INESDI</w:t>
    </w:r>
    <w:r>
      <w:ptab w:relativeTo="margin" w:alignment="right" w:leader="none"/>
    </w:r>
    <w:r>
      <w:rPr>
        <w:color w:val="5B6575"/>
        <w:sz w:val="16"/>
        <w:szCs w:val="16"/>
      </w:rPr>
      <w:t xml:space="preserve">Página </w:t>
    </w:r>
    <w:r>
      <w:rPr>
        <w:color w:val="5B6575"/>
        <w:sz w:val="16"/>
        <w:szCs w:val="16"/>
      </w:rPr>
      <w:fldChar w:fldCharType="begin"/>
    </w:r>
    <w:r>
      <w:rPr>
        <w:color w:val="5B6575"/>
        <w:sz w:val="16"/>
        <w:szCs w:val="16"/>
      </w:rPr>
      <w:instrText>PAGE</w:instrText>
    </w:r>
    <w:r>
      <w:rPr>
        <w:color w:val="5B6575"/>
        <w:sz w:val="16"/>
        <w:szCs w:val="16"/>
      </w:rPr>
      <w:fldChar w:fldCharType="separate"/>
    </w:r>
    <w:r w:rsidR="00305E28">
      <w:rPr>
        <w:noProof/>
        <w:color w:val="5B6575"/>
        <w:sz w:val="16"/>
        <w:szCs w:val="16"/>
      </w:rPr>
      <w:t>2</w:t>
    </w:r>
    <w:r>
      <w:rPr>
        <w:color w:val="5B65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9E7C0" w14:textId="77777777" w:rsidR="003556E7" w:rsidRDefault="003556E7">
      <w:r>
        <w:separator/>
      </w:r>
    </w:p>
  </w:footnote>
  <w:footnote w:type="continuationSeparator" w:id="0">
    <w:p w14:paraId="5256D1A0" w14:textId="77777777" w:rsidR="003556E7" w:rsidRDefault="00355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6ADA0" w14:textId="77777777" w:rsidR="00260C1F" w:rsidRDefault="00000000">
    <w:pPr>
      <w:jc w:val="right"/>
    </w:pPr>
    <w:r>
      <w:rPr>
        <w:color w:val="5B6575"/>
        <w:sz w:val="16"/>
        <w:szCs w:val="16"/>
      </w:rPr>
      <w:t>TFM · Equipo Ethos · Entrega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6E23"/>
    <w:multiLevelType w:val="hybridMultilevel"/>
    <w:tmpl w:val="02F0F0D2"/>
    <w:lvl w:ilvl="0" w:tplc="3B242220">
      <w:start w:val="1"/>
      <w:numFmt w:val="bullet"/>
      <w:lvlText w:val="●"/>
      <w:lvlJc w:val="left"/>
      <w:pPr>
        <w:ind w:left="720" w:hanging="360"/>
      </w:pPr>
    </w:lvl>
    <w:lvl w:ilvl="1" w:tplc="6D34EA14">
      <w:start w:val="1"/>
      <w:numFmt w:val="bullet"/>
      <w:lvlText w:val="○"/>
      <w:lvlJc w:val="left"/>
      <w:pPr>
        <w:ind w:left="1440" w:hanging="360"/>
      </w:pPr>
    </w:lvl>
    <w:lvl w:ilvl="2" w:tplc="A198B752">
      <w:start w:val="1"/>
      <w:numFmt w:val="bullet"/>
      <w:lvlText w:val="■"/>
      <w:lvlJc w:val="left"/>
      <w:pPr>
        <w:ind w:left="2160" w:hanging="360"/>
      </w:pPr>
    </w:lvl>
    <w:lvl w:ilvl="3" w:tplc="5B589194">
      <w:start w:val="1"/>
      <w:numFmt w:val="bullet"/>
      <w:lvlText w:val="●"/>
      <w:lvlJc w:val="left"/>
      <w:pPr>
        <w:ind w:left="2880" w:hanging="360"/>
      </w:pPr>
    </w:lvl>
    <w:lvl w:ilvl="4" w:tplc="5A62E86A">
      <w:start w:val="1"/>
      <w:numFmt w:val="bullet"/>
      <w:lvlText w:val="○"/>
      <w:lvlJc w:val="left"/>
      <w:pPr>
        <w:ind w:left="3600" w:hanging="360"/>
      </w:pPr>
    </w:lvl>
    <w:lvl w:ilvl="5" w:tplc="B1A23F86">
      <w:start w:val="1"/>
      <w:numFmt w:val="bullet"/>
      <w:lvlText w:val="■"/>
      <w:lvlJc w:val="left"/>
      <w:pPr>
        <w:ind w:left="4320" w:hanging="360"/>
      </w:pPr>
    </w:lvl>
    <w:lvl w:ilvl="6" w:tplc="44806CDA">
      <w:start w:val="1"/>
      <w:numFmt w:val="bullet"/>
      <w:lvlText w:val="●"/>
      <w:lvlJc w:val="left"/>
      <w:pPr>
        <w:ind w:left="5040" w:hanging="360"/>
      </w:pPr>
    </w:lvl>
    <w:lvl w:ilvl="7" w:tplc="4F06FE20">
      <w:start w:val="1"/>
      <w:numFmt w:val="bullet"/>
      <w:lvlText w:val="●"/>
      <w:lvlJc w:val="left"/>
      <w:pPr>
        <w:ind w:left="5760" w:hanging="360"/>
      </w:pPr>
    </w:lvl>
    <w:lvl w:ilvl="8" w:tplc="B8CAA0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F25170"/>
    <w:multiLevelType w:val="hybridMultilevel"/>
    <w:tmpl w:val="07ACB1CE"/>
    <w:lvl w:ilvl="0" w:tplc="D854B19E">
      <w:start w:val="1"/>
      <w:numFmt w:val="decimal"/>
      <w:lvlText w:val="%1."/>
      <w:lvlJc w:val="left"/>
      <w:pPr>
        <w:ind w:left="400" w:hanging="300"/>
      </w:pPr>
    </w:lvl>
    <w:lvl w:ilvl="1" w:tplc="6E16A944">
      <w:numFmt w:val="decimal"/>
      <w:lvlText w:val=""/>
      <w:lvlJc w:val="left"/>
    </w:lvl>
    <w:lvl w:ilvl="2" w:tplc="3DC61EF0">
      <w:numFmt w:val="decimal"/>
      <w:lvlText w:val=""/>
      <w:lvlJc w:val="left"/>
    </w:lvl>
    <w:lvl w:ilvl="3" w:tplc="6750FEF0">
      <w:numFmt w:val="decimal"/>
      <w:lvlText w:val=""/>
      <w:lvlJc w:val="left"/>
    </w:lvl>
    <w:lvl w:ilvl="4" w:tplc="01B02368">
      <w:numFmt w:val="decimal"/>
      <w:lvlText w:val=""/>
      <w:lvlJc w:val="left"/>
    </w:lvl>
    <w:lvl w:ilvl="5" w:tplc="D4147E5A">
      <w:numFmt w:val="decimal"/>
      <w:lvlText w:val=""/>
      <w:lvlJc w:val="left"/>
    </w:lvl>
    <w:lvl w:ilvl="6" w:tplc="D5BC4D30">
      <w:numFmt w:val="decimal"/>
      <w:lvlText w:val=""/>
      <w:lvlJc w:val="left"/>
    </w:lvl>
    <w:lvl w:ilvl="7" w:tplc="9614EF26">
      <w:numFmt w:val="decimal"/>
      <w:lvlText w:val=""/>
      <w:lvlJc w:val="left"/>
    </w:lvl>
    <w:lvl w:ilvl="8" w:tplc="1C7E8EC6">
      <w:numFmt w:val="decimal"/>
      <w:lvlText w:val=""/>
      <w:lvlJc w:val="left"/>
    </w:lvl>
  </w:abstractNum>
  <w:abstractNum w:abstractNumId="2" w15:restartNumberingAfterBreak="0">
    <w:nsid w:val="27CC7493"/>
    <w:multiLevelType w:val="hybridMultilevel"/>
    <w:tmpl w:val="E6A040FE"/>
    <w:lvl w:ilvl="0" w:tplc="D0841334">
      <w:start w:val="1"/>
      <w:numFmt w:val="bullet"/>
      <w:lvlText w:val="•"/>
      <w:lvlJc w:val="left"/>
      <w:pPr>
        <w:ind w:left="400" w:hanging="260"/>
      </w:pPr>
    </w:lvl>
    <w:lvl w:ilvl="1" w:tplc="2EBAF2AC">
      <w:numFmt w:val="decimal"/>
      <w:lvlText w:val=""/>
      <w:lvlJc w:val="left"/>
    </w:lvl>
    <w:lvl w:ilvl="2" w:tplc="4C26ACE8">
      <w:numFmt w:val="decimal"/>
      <w:lvlText w:val=""/>
      <w:lvlJc w:val="left"/>
    </w:lvl>
    <w:lvl w:ilvl="3" w:tplc="D666AAD0">
      <w:numFmt w:val="decimal"/>
      <w:lvlText w:val=""/>
      <w:lvlJc w:val="left"/>
    </w:lvl>
    <w:lvl w:ilvl="4" w:tplc="8684FE12">
      <w:numFmt w:val="decimal"/>
      <w:lvlText w:val=""/>
      <w:lvlJc w:val="left"/>
    </w:lvl>
    <w:lvl w:ilvl="5" w:tplc="7B48104C">
      <w:numFmt w:val="decimal"/>
      <w:lvlText w:val=""/>
      <w:lvlJc w:val="left"/>
    </w:lvl>
    <w:lvl w:ilvl="6" w:tplc="89A27FDA">
      <w:numFmt w:val="decimal"/>
      <w:lvlText w:val=""/>
      <w:lvlJc w:val="left"/>
    </w:lvl>
    <w:lvl w:ilvl="7" w:tplc="4B86E5CE">
      <w:numFmt w:val="decimal"/>
      <w:lvlText w:val=""/>
      <w:lvlJc w:val="left"/>
    </w:lvl>
    <w:lvl w:ilvl="8" w:tplc="BA6A1D34">
      <w:numFmt w:val="decimal"/>
      <w:lvlText w:val=""/>
      <w:lvlJc w:val="left"/>
    </w:lvl>
  </w:abstractNum>
  <w:num w:numId="1" w16cid:durableId="2100561927">
    <w:abstractNumId w:val="0"/>
    <w:lvlOverride w:ilvl="0">
      <w:startOverride w:val="1"/>
    </w:lvlOverride>
  </w:num>
  <w:num w:numId="2" w16cid:durableId="1200896843">
    <w:abstractNumId w:val="1"/>
    <w:lvlOverride w:ilvl="0">
      <w:startOverride w:val="1"/>
    </w:lvlOverride>
  </w:num>
  <w:num w:numId="3" w16cid:durableId="998268838">
    <w:abstractNumId w:val="1"/>
    <w:lvlOverride w:ilvl="0">
      <w:startOverride w:val="1"/>
    </w:lvlOverride>
  </w:num>
  <w:num w:numId="4" w16cid:durableId="1899590040">
    <w:abstractNumId w:val="2"/>
    <w:lvlOverride w:ilvl="0">
      <w:startOverride w:val="1"/>
    </w:lvlOverride>
  </w:num>
  <w:num w:numId="5" w16cid:durableId="10331133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C1F"/>
    <w:rsid w:val="00260C1F"/>
    <w:rsid w:val="00305E28"/>
    <w:rsid w:val="003556E7"/>
    <w:rsid w:val="0040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6ABAC"/>
  <w15:docId w15:val="{F574F545-8FDD-4CBB-ACA9-F7AF19C7D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2" w:space="4" w:color="1BAF7A"/>
      </w:pBdr>
      <w:spacing w:before="120" w:after="200"/>
      <w:outlineLvl w:val="0"/>
    </w:pPr>
    <w:rPr>
      <w:b/>
      <w:bCs/>
      <w:color w:val="0F2A4A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A78D6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180" w:after="80"/>
      <w:outlineLvl w:val="2"/>
    </w:pPr>
    <w:rPr>
      <w:b/>
      <w:bCs/>
      <w:color w:val="0F2A4A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305E2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05E28"/>
  </w:style>
  <w:style w:type="paragraph" w:styleId="Piedepgina">
    <w:name w:val="footer"/>
    <w:basedOn w:val="Normal"/>
    <w:link w:val="PiedepginaCar"/>
    <w:uiPriority w:val="99"/>
    <w:semiHidden/>
    <w:unhideWhenUsed/>
    <w:rsid w:val="00305E2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05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40b5de6-6e2e-46f2-bca1-507eb809bbf7}" enabled="1" method="Privileged" siteId="{56d7daaa-b378-45b3-aa11-af9402b401b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4391</Words>
  <Characters>24155</Characters>
  <Application>Microsoft Office Word</Application>
  <DocSecurity>0</DocSecurity>
  <Lines>201</Lines>
  <Paragraphs>56</Paragraphs>
  <ScaleCrop>false</ScaleCrop>
  <Company/>
  <LinksUpToDate>false</LinksUpToDate>
  <CharactersWithSpaces>28490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TFM Entrega 3 - Visualización en Power BI e insights</dc:title>
  <dc:creator>Equipo Ethos</dc:creator>
  <cp:lastModifiedBy>Mendoza Rojas, Jannyn</cp:lastModifiedBy>
  <cp:revision>2</cp:revision>
  <dcterms:created xsi:type="dcterms:W3CDTF">2026-10-20T09:58:00Z</dcterms:created>
  <dcterms:modified xsi:type="dcterms:W3CDTF">2026-10-20T11:09:00Z</dcterms:modified>
</cp:coreProperties>
</file>