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fogorvosoknak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betegekkel szerzett tapasztalatára vagyunk kíváncsiak, akkor is, ha az eltér a tanultaktól. Ha valamiben bizonytalan, jelölje azt, ne találgasson: a bizonytalanság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három hónappal az átadás után a beteg a régi fogsorához képest együttesen, klinikailag érzékelhetően javult a rágástesztben és a két életminőség-kérdőívben (OHIP, GOHAI), és egyik mérésben sem romlott érdemben. A három mérés javulását együtt számítjuk: átlagosan legalább egy klinikailag érzékelhető lépés, romlás nélkül; a fogsor rendszeres hordása és a beteg elégedettsége ebben tükröződik.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beteget látna az egyik, és 100-at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szerzett fogorvosi diplomát?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Milyen szakvizsgája van?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fogpótlástant?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 klinikán     ☐ magánpraxisban     ☐ mindkettőben     ☐ máshol  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átlagos, teljes fogsorra szoruló betegből hánynak lesz sikeres a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 javasolna, hanem implantátumon elhorgonyzott fedőlemezes fogpótlást?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A „száz beteg” számok és a hozzájuk tartozó határok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mérjük: a tuber – locus caninus – papilla incisiva pontok által bezárt szög, mindkét oldalon, a két oldal átlaga. A nagyobb szög szögletesebb, széles,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