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dentists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with patients, even where it differs from what you were taught. If you are unsure about something, mark that rather than guessing: uncertainty is valuable information too. Completing it takes about 35–45 minutes.</w:t>
      </w:r>
    </w:p>
    <w:p>
      <w:pPr>
        <w:pStyle w:val="Heading2"/>
      </w:pPr>
      <w:r>
        <w:t>What do we call a successful denture?</w:t>
      </w:r>
    </w:p>
    <w:p>
      <w:r>
        <w:rPr>
          <w:b/>
          <w:i w:val="0"/>
        </w:rPr>
        <w:t>A denture is successful if, three months after delivery, the patient has improved compared with the old denture jointly and clinically noticeably in the chewing test and the two quality-of-life questionnaires (OHIP, GOHAI), and has not meaningfully worsened in any of them. The three improvements are counted together: on average at least one clinically noticeable step, without deterioration; regular wear and the patient's satisfaction are reflected in it.</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saw 100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What you get for taking part</w:t>
      </w:r>
    </w:p>
    <w:p>
      <w:r>
        <w:rPr>
          <w:b w:val="0"/>
          <w:i w:val="0"/>
        </w:rPr>
        <w:t>Participation is voluntary and unpaid. What we can offer in return:</w:t>
      </w:r>
    </w:p>
    <w:p>
      <w:pPr>
        <w:pStyle w:val="ListNumber"/>
        <w:spacing w:after="40"/>
      </w:pPr>
      <w:r>
        <w:rPr>
          <w:b/>
        </w:rPr>
        <w:t>A comparison with your colleagues.</w:t>
      </w:r>
      <w:r>
        <w:t xml:space="preserve"> After you submit, and once at least 5 colleagues have answered, your answers page shows, feature by feature, how the other participants judged it: how many found one or the other variant worse, how sure they were, and how many patients in a hundred they expected to succeed. Colleagues' answers appear only pooled, without names.</w:t>
      </w:r>
    </w:p>
    <w:p>
      <w:pPr>
        <w:pStyle w:val="ListNumber"/>
        <w:spacing w:after="40"/>
      </w:pPr>
      <w:r>
        <w:rPr>
          <w:b/>
        </w:rPr>
        <w:t>The results.</w:t>
      </w:r>
      <w:r>
        <w:t xml:space="preserve"> After the survey closes we send every participant the summary of the pooled expert opinion and, when the patient data have been analysed, where the measurements confirmed experience and where they contradicted it. You will receive the publication when it appears.</w:t>
      </w:r>
    </w:p>
    <w:p>
      <w:pPr>
        <w:pStyle w:val="ListNumber"/>
        <w:spacing w:after="40"/>
      </w:pPr>
      <w:r>
        <w:rPr>
          <w:b/>
        </w:rPr>
        <w:t>Recognition.</w:t>
      </w:r>
      <w:r>
        <w:t xml:space="preserve"> If you wish, you are named among the participating experts in the acknowledgements of the publication; your answers remain anonymous regardless.</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graduate in dentistry?</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What is your specialty qualification?</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prosthodontics?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clinic     ☐ private practice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patients needing a complete denture, how many will have a successful denture?</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any feature for which you would not recommend a conventional complete denture at all, but an implant-retained overdenture?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Measured on the cast: the angle formed by the tuberosity, the canine point and the incisive papilla, on both sides, averaged over the two sides. A larger angle means a squarer, wider arch, a smaller one a tapering,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not covered by firm gingiva, fold-like, mobile tuberculum</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(not covered by firm gingiva, fold-like, mobile tuberculum):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Upper jaw</w:t>
            </w:r>
          </w:p>
        </w:tc>
        <w:tc>
          <w:tcPr>
            <w:tcW w:type="dxa" w:w="7030"/>
          </w:tcPr>
          <w:p>
            <w:pPr>
              <w:spacing w:after="20"/>
            </w:pPr>
            <w:r/>
            <w:r>
              <w:rPr>
                <w:b w:val="0"/>
                <w:i w:val="0"/>
                <w:sz w:val="21"/>
              </w:rPr>
              <w:t>Upper jaw: which three features matter most? Start with the most important.</w:t>
            </w:r>
          </w:p>
          <w:p>
            <w:pPr>
              <w:spacing w:after="20"/>
            </w:pPr>
            <w:r>
              <w:rPr>
                <w:b w:val="0"/>
                <w:i w:val="0"/>
                <w:sz w:val="21"/>
              </w:rPr>
            </w:r>
          </w:p>
          <w:p>
            <w:pPr>
              <w:spacing w:after="20"/>
            </w:pPr>
            <w:r>
              <w:rPr>
                <w:b w:val="0"/>
                <w:i w:val="0"/>
                <w:sz w:val="21"/>
              </w:rPr>
              <w:t>1. ________   2. ________   3.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w:t>
            </w:r>
          </w:p>
        </w:tc>
      </w:tr>
      <w:tr>
        <w:tc>
          <w:tcPr>
            <w:tcW w:type="dxa" w:w="2835"/>
            <w:shd w:val="clear" w:color="auto" w:fill="F2F2F0"/>
          </w:tcPr>
          <w:p>
            <w:pPr>
              <w:spacing w:after="20"/>
            </w:pPr>
            <w:r/>
            <w:r>
              <w:rPr>
                <w:b/>
                <w:i w:val="0"/>
                <w:sz w:val="20"/>
              </w:rPr>
              <w:t>Lower jaw</w:t>
            </w:r>
          </w:p>
        </w:tc>
        <w:tc>
          <w:tcPr>
            <w:tcW w:type="dxa" w:w="7030"/>
          </w:tcPr>
          <w:p>
            <w:pPr>
              <w:spacing w:after="20"/>
            </w:pPr>
            <w:r/>
            <w:r>
              <w:rPr>
                <w:b w:val="0"/>
                <w:i w:val="0"/>
                <w:sz w:val="21"/>
              </w:rPr>
              <w:t>Lower jaw: which three features matter most? Start with the most important.</w:t>
            </w:r>
          </w:p>
          <w:p>
            <w:pPr>
              <w:spacing w:after="20"/>
            </w:pPr>
            <w:r>
              <w:rPr>
                <w:b w:val="0"/>
                <w:i w:val="0"/>
                <w:sz w:val="21"/>
              </w:rPr>
            </w:r>
          </w:p>
          <w:p>
            <w:pPr>
              <w:spacing w:after="20"/>
            </w:pPr>
            <w:r>
              <w:rPr>
                <w:b w:val="0"/>
                <w:i w:val="0"/>
                <w:sz w:val="21"/>
              </w:rPr>
              <w:t>1. ________   2. ________   3. ________</w:t>
            </w:r>
          </w:p>
          <w:p>
            <w:pPr>
              <w:spacing w:after="20"/>
            </w:pPr>
            <w:r>
              <w:rPr>
                <w:b w:val="0"/>
                <w:i w:val="0"/>
                <w:sz w:val="21"/>
              </w:rPr>
            </w:r>
          </w:p>
          <w:p>
            <w:pPr>
              <w:spacing w:after="20"/>
            </w:pPr>
            <w:r>
              <w:rPr>
                <w:b w:val="0"/>
                <w:i w:val="0"/>
                <w:sz w:val="21"/>
              </w:rPr>
              <w:t>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Acknowledgement</w:t>
            </w:r>
          </w:p>
        </w:tc>
        <w:tc>
          <w:tcPr>
            <w:tcW w:type="dxa" w:w="7030"/>
          </w:tcPr>
          <w:p>
            <w:pPr>
              <w:spacing w:after="20"/>
            </w:pPr>
            <w:r/>
            <w:r>
              <w:rPr>
                <w:b w:val="0"/>
                <w:i w:val="0"/>
                <w:sz w:val="21"/>
              </w:rPr>
              <w:t>☐ I may be named among the participating experts in the acknowledgements of the publication (my answers remain anonymous).</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