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fogorvosoknak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betegekkel szerzett tapasztalatára vagyunk kíváncsiak, akkor is, ha az eltér a tanultaktól. Ha valamiben bizonytalan, jelölje azt, ne találgasson: a bizonytalanság is fontos információ. A kitöltés körülbelül 35–45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három hónappal az átadás után a beteg a régi fogsorához képest együttesen, klinikailag érzékelhetően javult a rágástesztben és a két életminőség-kérdőívben (OHIP, GOHAI), és egyik mérésben sem romlott érdemben. A három mérés javulását együtt számítjuk: átlagosan legalább egy klinikailag érzékelhető lépés, romlás nélkül; a fogsor rendszeres hordása és a beteg elégedettsége ebben tükröződik.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beteget látna az egyik, és 100-at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Mit kap a részvételért?</w:t>
      </w:r>
    </w:p>
    <w:p>
      <w:r>
        <w:rPr>
          <w:b w:val="0"/>
          <w:i w:val="0"/>
        </w:rPr>
        <w:t>A részvétel önkéntes, díjazás nem jár érte. Amit cserébe adni tudunk:</w:t>
      </w:r>
    </w:p>
    <w:p>
      <w:pPr>
        <w:pStyle w:val="ListNumber"/>
        <w:spacing w:after="40"/>
      </w:pPr>
      <w:r>
        <w:rPr>
          <w:b/>
        </w:rPr>
        <w:t>Összevetés a kollégákkal.</w:t>
      </w:r>
      <w:r>
        <w:t xml:space="preserve"> Beküldés után, amint legalább 5 kolléga válasza beérkezett, a saját válaszai oldalán adottságonként látja, hogyan vélekedett a többi résztvevő: hányan tartották az egyik vagy a másik változatot rosszabbnak, mennyire voltak biztosak, és hány beteget tartottak sikeresnek a százból. A kollégák válaszai csak összesítve, név nélkül jelennek meg.</w:t>
      </w:r>
    </w:p>
    <w:p>
      <w:pPr>
        <w:pStyle w:val="ListNumber"/>
        <w:spacing w:after="40"/>
      </w:pPr>
      <w:r>
        <w:rPr>
          <w:b/>
        </w:rPr>
        <w:t>Az eredmények.</w:t>
      </w:r>
      <w:r>
        <w:t xml:space="preserve"> A felmérés lezárása után minden résztvevőnek elküldjük a szakértői vélemények összesítését, és amikor a betegadatok elemzése elkészül, azt is, hol erősítette meg a mérés a tapasztalatot, és hol mondott ellent neki. A közleményt megjelenésekor megkapja.</w:t>
      </w:r>
    </w:p>
    <w:p>
      <w:pPr>
        <w:pStyle w:val="ListNumber"/>
        <w:spacing w:after="40"/>
      </w:pPr>
      <w:r>
        <w:rPr>
          <w:b/>
        </w:rPr>
        <w:t>Elismerés.</w:t>
      </w:r>
      <w:r>
        <w:t xml:space="preserve"> Ha kéri, a közleményben a köszönetnyilvánításban név szerint szerepel a részt vevő szakértők között; a válaszai ettől függetlenül név nélkül maradnak.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szerzett fogorvosi diplomát?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Milyen szakvizsgája van?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fogpótlástant?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 klinikán     ☐ magánpraxisban     ☐ mindkettőben     ☐ máshol  ____________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átlagos, teljes fogsorra szoruló betegből hánynak lesz sikeres a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 javasolna, hanem implantátumon elhorgonyzott fedőlemezes fogpótlást?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A „száz beteg” számok és a hozzájuk tartozó határok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mérjük: a tuber – locus caninus – papilla incisiva pontok által bezárt szög, mindkét oldalon, a két oldal átlaga. A nagyobb szög szögletesebb, széles,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feszes ínnyel nem fedett,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(feszes ínnyel nem fedett,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állcsont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Felső állcsont: melyik három adottság számít a legtöbbet?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Alsó állcsont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Alsó állcsont: melyik három adottság számít a legtöbbet?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Köszönetnyilvánítás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közleményben a köszönetnyilvánításban név szerint szerepelhetek a részt vevő szakértők között (a válaszaim név nélkül maradnak).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