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53D68"/>
          <w:sz w:val="44"/>
          <w:szCs w:val="44"/>
        </w:rPr>
        <w:t xml:space="preserve">Janota Fin Automations</w:t>
      </w:r>
    </w:p>
    <w:p>
      <w:pPr>
        <w:pBdr>
          <w:bottom w:val="single" w:color="2F70A8" w:sz="8" w:space="4"/>
        </w:pBdr>
        <w:spacing w:after="160"/>
      </w:pPr>
      <w:r>
        <w:rPr>
          <w:color w:val="2F70A8"/>
          <w:sz w:val="26"/>
          <w:szCs w:val="26"/>
        </w:rPr>
        <w:t xml:space="preserve">Code Review: Architecture, Languages and Engineering Decisions</w:t>
      </w:r>
    </w:p>
    <w:p>
      <w:pPr>
        <w:spacing w:after="110" w:line="288"/>
      </w:pPr>
      <w:r>
        <w:t xml:space="preserve">Prepared by Dylan Janota as technical evidence for a coding interview. Figures are from the repository at the time of writing.</w:t>
      </w:r>
    </w:p>
    <w:p>
      <w:pPr>
        <w:pStyle w:val="Heading1"/>
        <w:spacing w:after="100" w:before="200"/>
      </w:pPr>
      <w:r>
        <w:t xml:space="preserve">1. Project overview</w:t>
      </w:r>
    </w:p>
    <w:p>
      <w:pPr>
        <w:spacing w:after="110" w:line="288"/>
      </w:pPr>
      <w:r>
        <w:t xml:space="preserve">Janota Fin Automations is one Streamlit application that hosts four accounting tools for a bottling and packaging operation behind a shared navigation bar. The audience is an accountant or inventory controller, not a developer, so the governing rule throughout is that the software must never silently change the books. Where a cleanup would alter a number, a match or a workbook cell, the code keeps the original behavior and records the issue in a known-issues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60"/>
      </w:tblGrid>
      <w:tr>
        <w:trPr>
          <w:tblHeader/>
        </w:trPr>
        <w:tc>
          <w:tcPr>
            <w:tcW w:type="dxa" w:w="230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Page</w:t>
            </w:r>
          </w:p>
        </w:tc>
        <w:tc>
          <w:tcPr>
            <w:tcW w:type="dxa" w:w="450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Purpose</w:t>
            </w:r>
          </w:p>
        </w:tc>
        <w:tc>
          <w:tcPr>
            <w:tcW w:type="dxa" w:w="256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Core technique</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FIFO Inventory</w:t>
            </w:r>
          </w:p>
        </w:tc>
        <w:tc>
          <w:tcPr>
            <w:tcW w:type="dxa" w:w="4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13-period strict first-in-first-out costing of raw materials, with controls and period close</w:t>
            </w:r>
          </w:p>
        </w:tc>
        <w:tc>
          <w:tcPr>
            <w:tcW w:type="dxa" w:w="2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Layered cost engine, versioned snapshots</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Sales Reconciliation</w:t>
            </w:r>
          </w:p>
        </w:tc>
        <w:tc>
          <w:tcPr>
            <w:tcW w:type="dxa" w:w="4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Matches QuickBooks sales to Infinium and builds the reconciliation workpaper</w:t>
            </w:r>
          </w:p>
        </w:tc>
        <w:tc>
          <w:tcPr>
            <w:tcW w:type="dxa" w:w="2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Deterministic matching to the signed cent</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Sales Tax Review</w:t>
            </w:r>
          </w:p>
        </w:tc>
        <w:tc>
          <w:tcPr>
            <w:tcW w:type="dxa" w:w="4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Port of a VBA macro: transaction cleanup and vendor-list reconciliation</w:t>
            </w:r>
          </w:p>
        </w:tc>
        <w:tc>
          <w:tcPr>
            <w:tcW w:type="dxa" w:w="2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Positional file reading, control total</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Invoice Lifecycle Hub</w:t>
            </w:r>
          </w:p>
        </w:tc>
        <w:tc>
          <w:tcPr>
            <w:tcW w:type="dxa" w:w="4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Outlook invoice tracker prototype, embedded as a component</w:t>
            </w:r>
          </w:p>
        </w:tc>
        <w:tc>
          <w:tcPr>
            <w:tcW w:type="dxa" w:w="2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Static HTML/JS, layered modules</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Dashboard, Plans, Reviews</w:t>
            </w:r>
          </w:p>
        </w:tc>
        <w:tc>
          <w:tcPr>
            <w:tcW w:type="dxa" w:w="4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Landing cards, a three-tier pricing page, a feedback form</w:t>
            </w:r>
          </w:p>
        </w:tc>
        <w:tc>
          <w:tcPr>
            <w:tcW w:type="dxa" w:w="2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DOM events, JSON data attributes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Language</w:t>
            </w:r>
          </w:p>
        </w:tc>
        <w:tc>
          <w:tcPr>
            <w:tcW w:type="dxa" w:w="150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Lines (approx.)</w:t>
            </w:r>
          </w:p>
        </w:tc>
        <w:tc>
          <w:tcPr>
            <w:tcW w:type="dxa" w:w="5560"/>
            <w:tcBorders>
              <w:top w:val="single" w:color="B9CADB" w:sz="4"/>
              <w:left w:val="single" w:color="B9CADB" w:sz="4"/>
              <w:bottom w:val="single" w:color="B9CADB" w:sz="4"/>
              <w:right w:val="single" w:color="B9CADB" w:sz="4"/>
            </w:tcBorders>
            <w:shd w:fill="153D68" w:color="auto" w:val="clear"/>
            <w:tcMar>
              <w:top w:type="dxa" w:w="50"/>
              <w:left w:type="dxa" w:w="90"/>
              <w:bottom w:type="dxa" w:w="50"/>
              <w:right w:type="dxa" w:w="90"/>
            </w:tcMar>
          </w:tcPr>
          <w:p>
            <w:r>
              <w:rPr>
                <w:b/>
                <w:bCs/>
                <w:color w:val="FFFFFF"/>
                <w:sz w:val="19"/>
                <w:szCs w:val="19"/>
              </w:rPr>
              <w:t xml:space="preserve">Where it lives</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Python</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27,300</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Apps, shared template, Excel workpaper builders, 355-test pytest suite, MongoDB sample checks</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JavaScript</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4,500</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Invoice Hub (13 modules), Dashboard behavior, Plans hover script, account strip</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CSS</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2,500</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Theme tokens, per-app stylesheets, Dashboard and Plans styling</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HTML</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700</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Invoice Hub pages, plus HTML built in Python and injected via st.html</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JSON / MongoDB</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350 + shell</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Schemas, sample collections, mongosh seed script</w:t>
            </w:r>
          </w:p>
        </w:tc>
      </w:tr>
      <w:tr>
        <w:trPr>
          <w:tblHeader w:val="off"/>
        </w:trPr>
        <w:tc>
          <w:tcPr>
            <w:tcW w:type="dxa" w:w="23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Markdown</w:t>
            </w:r>
          </w:p>
        </w:tc>
        <w:tc>
          <w:tcPr>
            <w:tcW w:type="dxa" w:w="150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1,400</w:t>
            </w:r>
          </w:p>
        </w:tc>
        <w:tc>
          <w:tcPr>
            <w:tcW w:type="dxa" w:w="5560"/>
            <w:tcBorders>
              <w:top w:val="single" w:color="B9CADB" w:sz="4"/>
              <w:left w:val="single" w:color="B9CADB" w:sz="4"/>
              <w:bottom w:val="single" w:color="B9CADB" w:sz="4"/>
              <w:right w:val="single" w:color="B9CADB" w:sz="4"/>
            </w:tcBorders>
            <w:tcMar>
              <w:top w:type="dxa" w:w="50"/>
              <w:left w:type="dxa" w:w="90"/>
              <w:bottom w:type="dxa" w:w="50"/>
              <w:right w:type="dxa" w:w="90"/>
            </w:tcMar>
          </w:tcPr>
          <w:p>
            <w:r>
              <w:rPr>
                <w:b w:val="false"/>
                <w:bCs w:val="false"/>
                <w:color w:val="000000"/>
                <w:sz w:val="19"/>
                <w:szCs w:val="19"/>
              </w:rPr>
              <w:t xml:space="preserve">Architecture docs, known-issues lists, project instructions</w:t>
            </w:r>
          </w:p>
        </w:tc>
      </w:tr>
    </w:tbl>
    <w:p>
      <w:pPr>
        <w:pStyle w:val="Heading1"/>
        <w:spacing w:after="100" w:before="200"/>
      </w:pPr>
      <w:r>
        <w:t xml:space="preserve">2. How the project is organized</w:t>
      </w:r>
    </w:p>
    <w:p>
      <w:pPr>
        <w:spacing w:after="110" w:line="288"/>
      </w:pPr>
      <w:r>
        <w:t xml:space="preserve">The structure is a thin shell around independent packages. A root app.py registers every page, draws the shared chrome once, and then runs the selected page script. Everything else is a package that can be understood without reading the others.</w:t>
      </w:r>
    </w:p>
    <w:p>
      <w:pPr>
        <w:pStyle w:val="ListParagraph"/>
        <w:numPr>
          <w:ilvl w:val="0"/>
          <w:numId w:val="2"/>
        </w:numPr>
        <w:spacing w:after="70" w:line="280"/>
      </w:pPr>
      <w:r>
        <w:rPr>
          <w:b/>
          <w:bCs/>
        </w:rPr>
        <w:t xml:space="preserve">Shell (app.py, shared/): </w:t>
      </w:r>
      <w:r>
        <w:t xml:space="preserve">a registry of applications (APPS in shared/layout.py) drives both the top navigation and the Dashboard cards, so adding an app is one registry entry plus a package. Shared theme CSS is injected before each app's own CSS, which gives consistent chrome with per-app overrides.</w:t>
      </w:r>
    </w:p>
    <w:p>
      <w:pPr>
        <w:pStyle w:val="ListParagraph"/>
        <w:numPr>
          <w:ilvl w:val="0"/>
          <w:numId w:val="2"/>
        </w:numPr>
        <w:spacing w:after="70" w:line="280"/>
      </w:pPr>
      <w:r>
        <w:rPr>
          <w:b/>
          <w:bCs/>
        </w:rPr>
        <w:t xml:space="preserve">One package per application (apps/&lt;pkg&gt;/): </w:t>
      </w:r>
      <w:r>
        <w:t xml:space="preserve">each has a page script, domain modules, its own stylesheet and a docs folder with a known-issues list. Page scripts import absolutely and every other module imports relatively, a rule written down because three packages each contain an ingestion.py and a bare import would silently load the wrong one.</w:t>
      </w:r>
    </w:p>
    <w:p>
      <w:pPr>
        <w:pStyle w:val="ListParagraph"/>
        <w:numPr>
          <w:ilvl w:val="0"/>
          <w:numId w:val="2"/>
        </w:numPr>
        <w:spacing w:after="70" w:line="280"/>
      </w:pPr>
      <w:r>
        <w:rPr>
          <w:b/>
          <w:bCs/>
        </w:rPr>
        <w:t xml:space="preserve">Separation of calculation from presentation: </w:t>
      </w:r>
      <w:r>
        <w:t xml:space="preserve">FIFO keeps its math in fifo_calculations.py and storage in fifo_layer_store.py, with the Streamlit UI only calling them. Recon splits matching/ (12 modules) from workpapers/ (10 modules). This is what makes the engines testable without launching a browser.</w:t>
      </w:r>
    </w:p>
    <w:p>
      <w:pPr>
        <w:pStyle w:val="ListParagraph"/>
        <w:numPr>
          <w:ilvl w:val="0"/>
          <w:numId w:val="2"/>
        </w:numPr>
        <w:spacing w:after="70" w:line="280"/>
      </w:pPr>
      <w:r>
        <w:rPr>
          <w:b/>
          <w:bCs/>
        </w:rPr>
        <w:t xml:space="preserve">Progressive-disclosure documentation: </w:t>
      </w:r>
      <w:r>
        <w:t xml:space="preserve">a short CLAUDE.md holds the rules that always apply and a table pointing to the one doc needed for each area. Module docstrings carry the detailed reasoning, and the docs summarize them. Project skills (/handoff, /reup) keep the docs aligned with the code.</w:t>
      </w:r>
    </w:p>
    <w:p>
      <w:pPr>
        <w:pStyle w:val="ListParagraph"/>
        <w:numPr>
          <w:ilvl w:val="0"/>
          <w:numId w:val="2"/>
        </w:numPr>
        <w:spacing w:after="70" w:line="280"/>
      </w:pPr>
      <w:r>
        <w:rPr>
          <w:b/>
          <w:bCs/>
        </w:rPr>
        <w:t xml:space="preserve">Paths and state: </w:t>
      </w:r>
      <w:r>
        <w:t xml:space="preserve">no page calls set_page_config, and all paths derive from Path(__file__), never the working directory, so the app runs identically from any launch location.</w:t>
      </w:r>
    </w:p>
    <w:p>
      <w:pPr>
        <w:pStyle w:val="Heading1"/>
        <w:spacing w:after="100" w:before="200"/>
      </w:pPr>
      <w:r>
        <w:t xml:space="preserve">3. Python: the accounting engines</w:t>
      </w:r>
    </w:p>
    <w:p>
      <w:pPr>
        <w:pStyle w:val="Heading2"/>
        <w:spacing w:after="70" w:before="140"/>
      </w:pPr>
      <w:r>
        <w:t xml:space="preserve">FIFO Inventory</w:t>
      </w:r>
    </w:p>
    <w:p>
      <w:pPr>
        <w:spacing w:after="110" w:line="288"/>
      </w:pPr>
      <w:r>
        <w:t xml:space="preserve">The engine consumes receipt layers strictly oldest-first and never allows a negative layer. A preview calculates without mutating anything; only commit_period changes the official layers, and periods must close in sequence. Receipt PRICE is treated as the total extended value rather than a unit price, a domain decision documented in the vocabulary doc to prevent a classic costing error.</w:t>
      </w:r>
    </w:p>
    <w:p>
      <w:pPr>
        <w:spacing w:after="110" w:line="288"/>
      </w:pPr>
      <w:r>
        <w:t xml:space="preserve">Two constants make change auditable: SNAPSHOT_SCHEMA_VERSION (bumped whenever the saved snapshot shape changes) and ENGINE_VERSION (bumped on any calculation change, currently 2.1.0). A saved period can therefore always be traced to the logic that produced it. Controls grade each period PASS, REVIEW or FAIL against stated tolerances, and the Excel report is generated from the same results the screen shows. Sample data is built from the session's own layers so it reconciles, and Close &amp; Commit is disabled while a sample is loaded, so demo numbers can never become the official books.</w:t>
      </w:r>
    </w:p>
    <w:p>
      <w:pPr>
        <w:pStyle w:val="Heading2"/>
        <w:spacing w:after="70" w:before="140"/>
      </w:pPr>
      <w:r>
        <w:t xml:space="preserve">Sales Reconciliation</w:t>
      </w:r>
    </w:p>
    <w:p>
      <w:pPr>
        <w:spacing w:after="110" w:line="288"/>
      </w:pPr>
      <w:r>
        <w:t xml:space="preserve">This is the largest package (about 14,000 lines plus about 5,900 lines of tests). Amounts must agree exactly to the signed cent, money is held as Decimal or integer cents, and any ambiguity is left unresolved for human review. A deliberate rule is that there is no closest-match logic. Matching runs in a documented order of exact, alias and fuzzy PO rules, and MATCHING_RULE_VERSION is bumped whenever results could change. The current value, 2026.09-PACKAGING-WORDS-IGNORED, names the rule change it represents.</w:t>
      </w:r>
    </w:p>
    <w:p>
      <w:pPr>
        <w:spacing w:after="110" w:line="288"/>
      </w:pPr>
      <w:r>
        <w:t xml:space="preserve">Duplicates, historical rows and held items each have their own module, and the workpaper builders in workpapers/ write the Excel output cell by cell. One unusual dependency note is recorded in requirements.txt: Recon's style helper copies openpyxl's internal cell._style, so openpyxl is pinned below 3.2 until re-tested, and pandas is held below 3 because its string and copy semantics change.</w:t>
      </w:r>
    </w:p>
    <w:p>
      <w:pPr>
        <w:pStyle w:val="Heading2"/>
        <w:spacing w:after="70" w:before="140"/>
      </w:pPr>
      <w:r>
        <w:t xml:space="preserve">Sales Tax Review</w:t>
      </w:r>
    </w:p>
    <w:p>
      <w:pPr>
        <w:spacing w:after="110" w:line="288"/>
      </w:pPr>
      <w:r>
        <w:t xml:space="preserve">A port of a VBA macro. The source and mapping files are read by position, not by header name, because the originals were positional and a name-based reader could silently pick a different column. Blank is treated as distinct from conflict. The download button stays disabled until a dollar control check reaches $0.00, so an out-of-balance file cannot be exported.</w:t>
      </w:r>
    </w:p>
    <w:p>
      <w:pPr>
        <w:pStyle w:val="Heading1"/>
        <w:spacing w:after="100" w:before="200"/>
      </w:pPr>
      <w:r>
        <w:t xml:space="preserve">4. JavaScript, HTML and CSS</w:t>
      </w:r>
    </w:p>
    <w:p>
      <w:pPr>
        <w:pStyle w:val="Heading2"/>
        <w:spacing w:after="70" w:before="140"/>
      </w:pPr>
      <w:r>
        <w:t xml:space="preserve">Invoice Lifecycle Hub (static front end)</w:t>
      </w:r>
    </w:p>
    <w:p>
      <w:pPr>
        <w:spacing w:after="110" w:line="288"/>
      </w:pPr>
      <w:r>
        <w:t xml:space="preserve">About 4,000 lines of plain JavaScript, with no framework or build step, split into layers: data (hub-data), mail and Graph access (hub-mail, hub-mail-graph), workflow and settings logic (hub-workflow, hub-settings), and UI modules (inbox-ui, settings-ui, dashboard). The logic layers contain no DOM code, which is why a Node script can test them headlessly and print ALL TESTS PASSED. The simulated sign-in is stored in sessionStorage and is explicitly documented as personalization, never access control.</w:t>
      </w:r>
    </w:p>
    <w:p>
      <w:pPr>
        <w:pStyle w:val="Heading2"/>
        <w:spacing w:after="70" w:before="140"/>
      </w:pPr>
      <w:r>
        <w:t xml:space="preserve">Embedding and cross-page communication</w:t>
      </w:r>
    </w:p>
    <w:p>
      <w:pPr>
        <w:spacing w:after="110" w:line="288"/>
      </w:pPr>
      <w:r>
        <w:t xml:space="preserve">The Hub is embedded as a Streamlit component. streamlit-bridge.js copies the signed-in name and role into a second storage key and posts a message, and shared/suite_banner.js reads those keys to draw a greeting and avatar menu in the navigation bar of every page. Because sessionStorage survives page switches, the same person follows the user across all applications. A hidden constraint is documented in the architecture notes: scripts injected through st.html must not contain a less-than sign followed by a letter, or Streamlit's sanitizer discards the whole script.</w:t>
      </w:r>
    </w:p>
    <w:p>
      <w:pPr>
        <w:pStyle w:val="Heading2"/>
        <w:spacing w:after="70" w:before="140"/>
      </w:pPr>
      <w:r>
        <w:t xml:space="preserve">Dashboard, Plans and Reviews: event-driven interactions</w:t>
      </w:r>
    </w:p>
    <w:p>
      <w:pPr>
        <w:pStyle w:val="ListParagraph"/>
        <w:numPr>
          <w:ilvl w:val="0"/>
          <w:numId w:val="2"/>
        </w:numPr>
        <w:spacing w:after="70" w:line="280"/>
      </w:pPr>
      <w:r>
        <w:rPr>
          <w:b/>
          <w:bCs/>
        </w:rPr>
        <w:t xml:space="preserve">Mouse and keyboard events: </w:t>
      </w:r>
      <w:r>
        <w:t xml:space="preserve">mouseenter and mouseleave, plus focus and blur for keyboard users, fill a preview bar with a tool's inputs and outputs (Dashboard) or a plan's price, saving and included tools (Plans). The Plans script uses capture-phase listeners on the document because mouseenter does not bubble, and a window flag guards against Streamlit re-binding it on every rerun.</w:t>
      </w:r>
    </w:p>
    <w:p>
      <w:pPr>
        <w:pStyle w:val="ListParagraph"/>
        <w:numPr>
          <w:ilvl w:val="0"/>
          <w:numId w:val="2"/>
        </w:numPr>
        <w:spacing w:after="70" w:line="280"/>
      </w:pPr>
      <w:r>
        <w:rPr>
          <w:b/>
          <w:bCs/>
        </w:rPr>
        <w:t xml:space="preserve">Pointer spotlight and client-side navigation: </w:t>
      </w:r>
      <w:r>
        <w:t xml:space="preserve">pointermove sets CSS custom properties for a light that follows the cursor, and a card click is routed through Streamlit's own navigation link so the session is kept without a page reload, falling back to a normal href.</w:t>
      </w:r>
    </w:p>
    <w:p>
      <w:pPr>
        <w:pStyle w:val="ListParagraph"/>
        <w:numPr>
          <w:ilvl w:val="0"/>
          <w:numId w:val="2"/>
        </w:numPr>
        <w:spacing w:after="70" w:line="280"/>
      </w:pPr>
      <w:r>
        <w:rPr>
          <w:b/>
          <w:bCs/>
        </w:rPr>
        <w:t xml:space="preserve">Form handling: </w:t>
      </w:r>
      <w:r>
        <w:t xml:space="preserve">the feedback form validates on input and change events, checks length limits and a 1 to 5 rating, converts the yes/no radio to a Boolean, and offers a clear button. Dynamic text is written with textContent rather than innerHTML.</w:t>
      </w:r>
    </w:p>
    <w:p>
      <w:pPr>
        <w:pStyle w:val="ListParagraph"/>
        <w:numPr>
          <w:ilvl w:val="0"/>
          <w:numId w:val="2"/>
        </w:numPr>
        <w:spacing w:after="70" w:line="280"/>
      </w:pPr>
      <w:r>
        <w:rPr>
          <w:b/>
          <w:bCs/>
        </w:rPr>
        <w:t xml:space="preserve">Data as JSON attributes: </w:t>
      </w:r>
      <w:r>
        <w:t xml:space="preserve">card facts and plan data travel as JSON in data attributes generated in Python (html.escape with quote=True), so the page script holds no copy of the facts.</w:t>
      </w:r>
    </w:p>
    <w:p>
      <w:pPr>
        <w:pStyle w:val="Heading2"/>
        <w:spacing w:after="70" w:before="140"/>
      </w:pPr>
      <w:r>
        <w:t xml:space="preserve">CSS</w:t>
      </w:r>
    </w:p>
    <w:p>
      <w:pPr>
        <w:spacing w:after="110" w:line="288"/>
      </w:pPr>
      <w:r>
        <w:t xml:space="preserve">About 2,500 lines organized around theme tokens (navy and blue custom properties) defined once in shared/theme.css, with per-app stylesheets layered on top. Notable techniques: CSS custom properties driven from JavaScript for the spotlight, an animated SVG logo whose loop speeds up on hover, :has() selectors to equalize Streamlit column heights, entrance animations gated behind a pp-js class so the page remains usable without scripts, and a responsive breakpoint at 720px. The hover bars were recently restructured to a column layout so each labeled field (Utility Name, Takes In, Produces) sits on its own line.</w:t>
      </w:r>
    </w:p>
    <w:p>
      <w:pPr>
        <w:pStyle w:val="Heading1"/>
        <w:spacing w:after="100" w:before="200"/>
      </w:pPr>
      <w:r>
        <w:t xml:space="preserve">5. Data layer: MongoDB preparation</w:t>
      </w:r>
    </w:p>
    <w:p>
      <w:pPr>
        <w:spacing w:after="110" w:line="288"/>
      </w:pPr>
      <w:r>
        <w:t xml:space="preserve">The site is intentionally not connected to a database. Instead the mongodb/ folder defines the structure the site already uses, so a later connection is a straight mapping: three collections in a janota_fin database (reviews, plans, tools) with 5, 3 and 4 sample documents.</w:t>
      </w:r>
    </w:p>
    <w:p>
      <w:pPr>
        <w:pStyle w:val="ListParagraph"/>
        <w:numPr>
          <w:ilvl w:val="0"/>
          <w:numId w:val="2"/>
        </w:numPr>
        <w:spacing w:after="70" w:line="280"/>
      </w:pPr>
      <w:r>
        <w:rPr>
          <w:b/>
          <w:bCs/>
        </w:rPr>
        <w:t xml:space="preserve">Type fidelity: </w:t>
      </w:r>
      <w:r>
        <w:t xml:space="preserve">strings for names and text, numbers for prices, ratings and sort order, Booleans for flags such as featured, active and recommend, and null for genuinely absent values (an Enterprise price is a custom quote, so it is null rather than 0).</w:t>
      </w:r>
    </w:p>
    <w:p>
      <w:pPr>
        <w:pStyle w:val="ListParagraph"/>
        <w:numPr>
          <w:ilvl w:val="0"/>
          <w:numId w:val="2"/>
        </w:numPr>
        <w:spacing w:after="70" w:line="280"/>
      </w:pPr>
      <w:r>
        <w:rPr>
          <w:b/>
          <w:bCs/>
        </w:rPr>
        <w:t xml:space="preserve">Server-side validation: </w:t>
      </w:r>
      <w:r>
        <w:t xml:space="preserve">each collection has a $jsonSchema validator that rejects wrong types, missing or extra fields and out-of-range values, such as a rating outside 1 to 5 or a review under 10 characters.</w:t>
      </w:r>
    </w:p>
    <w:p>
      <w:pPr>
        <w:pStyle w:val="ListParagraph"/>
        <w:numPr>
          <w:ilvl w:val="0"/>
          <w:numId w:val="2"/>
        </w:numPr>
        <w:spacing w:after="70" w:line="280"/>
      </w:pPr>
      <w:r>
        <w:rPr>
          <w:b/>
          <w:bCs/>
        </w:rPr>
        <w:t xml:space="preserve">A seed script: </w:t>
      </w:r>
      <w:r>
        <w:t xml:space="preserve">seed.mongodb.js recreates the collections and runs sample queries on numeric, Boolean and null fields.</w:t>
      </w:r>
    </w:p>
    <w:p>
      <w:pPr>
        <w:pStyle w:val="ListParagraph"/>
        <w:numPr>
          <w:ilvl w:val="0"/>
          <w:numId w:val="2"/>
        </w:numPr>
        <w:spacing w:after="70" w:line="280"/>
      </w:pPr>
      <w:r>
        <w:rPr>
          <w:b/>
          <w:bCs/>
        </w:rPr>
        <w:t xml:space="preserve">Drift protection: </w:t>
      </w:r>
      <w:r>
        <w:t xml:space="preserve">test_samples.py compares plans.json and tools.json to TIERS and APPS field by field, so changing a price in code without updating the sample fails a test. The README lists the two conversions needed later (recommend yes/no to true/false, and ISO string to Date).</w:t>
      </w:r>
    </w:p>
    <w:p>
      <w:pPr>
        <w:pStyle w:val="Heading1"/>
        <w:spacing w:after="100" w:before="200"/>
      </w:pPr>
      <w:r>
        <w:t xml:space="preserve">6. Engineering nuances worth discussing</w:t>
      </w:r>
    </w:p>
    <w:p>
      <w:pPr>
        <w:pStyle w:val="ListParagraph"/>
        <w:numPr>
          <w:ilvl w:val="0"/>
          <w:numId w:val="2"/>
        </w:numPr>
        <w:spacing w:after="70" w:line="280"/>
      </w:pPr>
      <w:r>
        <w:rPr>
          <w:b/>
          <w:bCs/>
        </w:rPr>
        <w:t xml:space="preserve">Versioned logic as an audit trail. </w:t>
      </w:r>
      <w:r>
        <w:t xml:space="preserve">ENGINE_VERSION, SNAPSHOT_SCHEMA_VERSION and MATCHING_RULE_VERSION mean outputs can be tied to the exact rules that produced them, a pattern borrowed from regulated systems.</w:t>
      </w:r>
    </w:p>
    <w:p>
      <w:pPr>
        <w:pStyle w:val="ListParagraph"/>
        <w:numPr>
          <w:ilvl w:val="0"/>
          <w:numId w:val="2"/>
        </w:numPr>
        <w:spacing w:after="70" w:line="280"/>
      </w:pPr>
      <w:r>
        <w:rPr>
          <w:b/>
          <w:bCs/>
        </w:rPr>
        <w:t xml:space="preserve">Money correctness. </w:t>
      </w:r>
      <w:r>
        <w:t xml:space="preserve">Decimal and integer cents throughout, never float equality, with half-up rounding made explicit (the tax calculation on the Plans page uses ROUND_HALF_UP on integer cents).</w:t>
      </w:r>
    </w:p>
    <w:p>
      <w:pPr>
        <w:pStyle w:val="ListParagraph"/>
        <w:numPr>
          <w:ilvl w:val="0"/>
          <w:numId w:val="2"/>
        </w:numPr>
        <w:spacing w:after="70" w:line="280"/>
      </w:pPr>
      <w:r>
        <w:rPr>
          <w:b/>
          <w:bCs/>
        </w:rPr>
        <w:t xml:space="preserve">Fail closed. </w:t>
      </w:r>
      <w:r>
        <w:t xml:space="preserve">Unresolved ambiguity stays unresolved, downloads stay disabled until controls pass, and sample data cannot be committed. Each is a guard that prefers a visible stop over a quiet wrong answer.</w:t>
      </w:r>
    </w:p>
    <w:p>
      <w:pPr>
        <w:pStyle w:val="ListParagraph"/>
        <w:numPr>
          <w:ilvl w:val="0"/>
          <w:numId w:val="2"/>
        </w:numPr>
        <w:spacing w:after="70" w:line="280"/>
      </w:pPr>
      <w:r>
        <w:rPr>
          <w:b/>
          <w:bCs/>
        </w:rPr>
        <w:t xml:space="preserve">Honest scoping. </w:t>
      </w:r>
      <w:r>
        <w:t xml:space="preserve">Sign-in is labelled simulated, the pricing page has placeholder prices and no payment processing, and MongoDB is documented as not connected. The documentation says what the software does not do.</w:t>
      </w:r>
    </w:p>
    <w:p>
      <w:pPr>
        <w:pStyle w:val="ListParagraph"/>
        <w:numPr>
          <w:ilvl w:val="0"/>
          <w:numId w:val="2"/>
        </w:numPr>
        <w:spacing w:after="70" w:line="280"/>
      </w:pPr>
      <w:r>
        <w:rPr>
          <w:b/>
          <w:bCs/>
        </w:rPr>
        <w:t xml:space="preserve">Verifiable refactoring. </w:t>
      </w:r>
      <w:r>
        <w:t xml:space="preserve">The architecture doc describes how to prove a refactor changed nothing by comparing outputs, and the 355-test Recon suite is kept free of FutureWarnings.</w:t>
      </w:r>
    </w:p>
    <w:p>
      <w:pPr>
        <w:pStyle w:val="ListParagraph"/>
        <w:numPr>
          <w:ilvl w:val="0"/>
          <w:numId w:val="2"/>
        </w:numPr>
        <w:spacing w:after="70" w:line="280"/>
      </w:pPr>
      <w:r>
        <w:rPr>
          <w:b/>
          <w:bCs/>
        </w:rPr>
        <w:t xml:space="preserve">Defensive dependency pinning. </w:t>
      </w:r>
      <w:r>
        <w:t xml:space="preserve">Version ceilings in requirements.txt carry a comment explaining which internal behavior each one protects.</w:t>
      </w:r>
    </w:p>
    <w:p>
      <w:pPr>
        <w:pStyle w:val="Heading1"/>
        <w:spacing w:after="100" w:before="200"/>
      </w:pPr>
      <w:r>
        <w:t xml:space="preserve">7. Honest limitations</w:t>
      </w:r>
    </w:p>
    <w:p>
      <w:pPr>
        <w:spacing w:after="110" w:line="288"/>
      </w:pPr>
      <w:r>
        <w:t xml:space="preserve">FIFO and Sales Tax have no unit tests and rely on headless page checks. The Invoice Hub is a prototype with simulated authentication. The MongoDB collections are defined and tested but not wired to the site. Each package's known-issues list records open items, a practice I would defend in an interview as preferable to hiding them.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7"/>
        <w:szCs w:val="17"/>
      </w:rPr>
      <w:t xml:space="preserve">Janota Fin Automations: Code Review  |  Page </w:t>
    </w:r>
    <w:r>
      <w:rPr>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53D68"/>
      <w:sz w:val="28"/>
      <w:szCs w:val="28"/>
    </w:rPr>
  </w:style>
  <w:style w:type="paragraph" w:styleId="Heading2">
    <w:name w:val="Heading 2"/>
    <w:basedOn w:val="Normal"/>
    <w:next w:val="Normal"/>
    <w:qFormat/>
    <w:pPr>
      <w:outlineLvl w:val="1"/>
    </w:pPr>
    <w:rPr>
      <w:rFonts w:ascii="Calibri" w:cs="Calibri" w:eastAsia="Calibri" w:hAnsi="Calibri"/>
      <w:b/>
      <w:bCs/>
      <w:color w:val="2F70A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2026-10-04T00:08:22.753Z</dcterms:created>
  <dcterms:modified xsi:type="dcterms:W3CDTF">2026-10-04T00:08:22.754Z</dcterms:modified>
</cp:coreProperties>
</file>

<file path=docProps/custom.xml><?xml version="1.0" encoding="utf-8"?>
<Properties xmlns="http://schemas.openxmlformats.org/officeDocument/2006/custom-properties" xmlns:vt="http://schemas.openxmlformats.org/officeDocument/2006/docPropsVTypes"/>
</file>