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 / Gu OS</w:t>
        <w:br/>
        <w:t>Product Requirements Document</w:t>
      </w:r>
    </w:p>
    <w:p>
      <w:r>
        <w:rPr>
          <w:b/>
        </w:rPr>
        <w:t>v0.1.1 · Draft for founder/product review</w:t>
      </w:r>
    </w:p>
    <w:p>
      <w:r>
        <w:rPr>
          <w:i/>
        </w:rPr>
        <w:t>The AI Operating System for Real Estate</w:t>
      </w:r>
    </w:p>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sz w:val="18"/>
              </w:rPr>
              <w:t xml:space="preserve">Purpose.  </w:t>
            </w:r>
            <w:r>
              <w:rPr>
                <w:sz w:val="18"/>
              </w:rPr>
              <w:t>Canonical owner of product intent. This document does not replace architecture manuals, ADRs, technical plans, Feature / Business Specs, roadmaps or verification evidence.</w:t>
            </w:r>
          </w:p>
        </w:tc>
      </w:tr>
    </w:tbl>
    <w:p/>
    <w:p>
      <w:pPr>
        <w:pStyle w:val="Heading1"/>
      </w:pPr>
      <w:r>
        <w:t>1. Product thesis</w:t>
      </w:r>
    </w:p>
    <w:p>
      <w:r>
        <w:t>Ungga is building The AI Operating System for Real Estate, with Gu as the AI coworker real-estate professionals work with.</w:t>
      </w:r>
    </w:p>
    <w:p>
      <w:r>
        <w:t>The objective is not to build more software for users to operate. It is to make an increasing share of real-estate work delegable to Gu with control, context, continuity and verifiable outcomes.</w:t>
      </w:r>
    </w:p>
    <w:p>
      <w:r>
        <w:t>The intended end-state is an operating environment in which an increasing share of economically meaningful real-estate work can be understood, coordinated and executed by Gu, while humans remain responsible for strategy, judgment, relationships, negotiation, physical-world interactions and accountable decisions.</w:t>
      </w:r>
    </w:p>
    <w:p>
      <w:r>
        <w:t>Product philosophy: Humans lead. Gu gets work done.</w:t>
      </w:r>
    </w:p>
    <w:p>
      <w:r>
        <w:t>Commercial architecture: Ungga → Gu → Gu OS. Gu is who the user works with; Gu OS is what enables Gu to understand, coordinate and execute increasingly complex business work; the external world is the people, inventory, systems, channels and specialized services Gu OS can mobilize.</w:t>
      </w:r>
    </w:p>
    <w:p>
      <w:r>
        <w:t>This is not a branding pivot from a lead product to an “OS.” Doing real work with Gu exposed the operating infrastructure required for Gu to assume more responsibility.</w:t>
      </w:r>
    </w:p>
    <w:p/>
    <w:tbl>
      <w:tblPr>
        <w:tblStyle w:val="TableGrid"/>
        <w:tblW w:type="auto" w:w="0"/>
        <w:tblLook w:firstColumn="1" w:firstRow="1" w:lastColumn="0" w:lastRow="0" w:noHBand="0" w:noVBand="1" w:val="04A0"/>
      </w:tblPr>
      <w:tblGrid>
        <w:gridCol w:w="10368"/>
      </w:tblGrid>
      <w:tr>
        <w:tc>
          <w:tcPr>
            <w:tcW w:type="dxa" w:w="10368"/>
            <w:shd w:fill="FFF2CC"/>
          </w:tcPr>
          <w:p>
            <w:r>
              <w:rPr>
                <w:b/>
                <w:color w:val="1F4E79"/>
                <w:sz w:val="18"/>
              </w:rPr>
              <w:t xml:space="preserve">Direction in one sentence.  </w:t>
            </w:r>
            <w:r>
              <w:rPr>
                <w:sz w:val="18"/>
              </w:rPr>
              <w:t>One Gu. One operating system. An increasing share of real-estate operations delegable to AI — without losing human control, relationship or accountability.</w:t>
            </w:r>
          </w:p>
        </w:tc>
      </w:tr>
    </w:tbl>
    <w:p/>
    <w:p>
      <w:pPr>
        <w:pStyle w:val="Heading1"/>
      </w:pPr>
      <w:r>
        <w:t>2. Problem</w:t>
      </w:r>
    </w:p>
    <w:p>
      <w:pPr>
        <w:pStyle w:val="Heading2"/>
      </w:pPr>
      <w:r>
        <w:t>2.1 Core business problem</w:t>
      </w:r>
    </w:p>
    <w:p>
      <w:r>
        <w:t>Brokerages struggle to generate enough qualified opportunities predictably and consistently convert enough of them into visits and transactions.</w:t>
      </w:r>
    </w:p>
    <w:p>
      <w:r>
        <w:t>A useful operating description is: the person is still the operating system.</w:t>
      </w:r>
    </w:p>
    <w:p>
      <w:r>
        <w:t>The problem is not primarily lack of software. Real-estate companies already use CRMs, portals, WhatsApp, calendars, spreadsheets, documents and specialized providers. People still have to connect those pieces, remember what must happen, decide what comes next and ensure that work actually happens.</w:t>
      </w:r>
    </w:p>
    <w:p>
      <w:r>
        <w:t>For many small and medium brokerages, qualified demand can be difficult and expensive to generate. Once opportunities arrive, value leaks because response, matching, follow-up, coordination and progression remain highly dependent on human availability, memory and discipline.</w:t>
      </w:r>
    </w:p>
    <w:p>
      <w:pPr>
        <w:pStyle w:val="Heading2"/>
      </w:pPr>
      <w:r>
        <w:t>2.2 Structural factors and impact</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Structural factors</w:t>
            </w:r>
          </w:p>
        </w:tc>
        <w:tc>
          <w:tcPr>
            <w:tcW w:type="dxa" w:w="5184"/>
            <w:shd w:fill="1F4E79"/>
          </w:tcPr>
          <w:p>
            <w:r>
              <w:rPr>
                <w:b/>
                <w:color w:val="FFFFFF"/>
                <w:sz w:val="15"/>
              </w:rPr>
              <w:t>Business / human impact</w:t>
            </w:r>
          </w:p>
        </w:tc>
      </w:tr>
      <w:tr>
        <w:trPr>
          <w:cantSplit/>
        </w:trPr>
        <w:tc>
          <w:tcPr>
            <w:tcW w:type="dxa" w:w="5184"/>
            <w:vAlign w:val="top"/>
          </w:tcPr>
          <w:p>
            <w:pPr>
              <w:spacing w:after="0"/>
            </w:pPr>
            <w:r>
              <w:rPr>
                <w:sz w:val="14"/>
              </w:rPr>
              <w:t>Fragmented demand sources and weak downstream attribution.</w:t>
            </w:r>
          </w:p>
        </w:tc>
        <w:tc>
          <w:tcPr>
            <w:tcW w:type="dxa" w:w="5184"/>
            <w:vAlign w:val="top"/>
          </w:tcPr>
          <w:p>
            <w:pPr>
              <w:spacing w:after="0"/>
            </w:pPr>
            <w:r>
              <w:rPr>
                <w:sz w:val="14"/>
              </w:rPr>
              <w:t>Lost commissions, wasted acquisition spend and poor visibility into what works.</w:t>
            </w:r>
          </w:p>
        </w:tc>
      </w:tr>
      <w:tr>
        <w:trPr>
          <w:cantSplit/>
        </w:trPr>
        <w:tc>
          <w:tcPr>
            <w:tcW w:type="dxa" w:w="5184"/>
            <w:vAlign w:val="top"/>
          </w:tcPr>
          <w:p>
            <w:pPr>
              <w:spacing w:after="0"/>
            </w:pPr>
            <w:r>
              <w:rPr>
                <w:sz w:val="14"/>
              </w:rPr>
              <w:t>Work/data spread across conversations, CRM, inventory, calendars, documents, portals and providers.</w:t>
            </w:r>
          </w:p>
        </w:tc>
        <w:tc>
          <w:tcPr>
            <w:tcW w:type="dxa" w:w="5184"/>
            <w:vAlign w:val="top"/>
          </w:tcPr>
          <w:p>
            <w:pPr>
              <w:spacing w:after="0"/>
            </w:pPr>
            <w:r>
              <w:rPr>
                <w:sz w:val="14"/>
              </w:rPr>
              <w:t>Manual coordination burden and management overhead.</w:t>
            </w:r>
          </w:p>
        </w:tc>
      </w:tr>
      <w:tr>
        <w:trPr>
          <w:cantSplit/>
        </w:trPr>
        <w:tc>
          <w:tcPr>
            <w:tcW w:type="dxa" w:w="5184"/>
            <w:vAlign w:val="top"/>
          </w:tcPr>
          <w:p>
            <w:pPr>
              <w:spacing w:after="0"/>
            </w:pPr>
            <w:r>
              <w:rPr>
                <w:sz w:val="14"/>
              </w:rPr>
              <w:t>Asynchronous digital demand + finite human availability.</w:t>
            </w:r>
          </w:p>
        </w:tc>
        <w:tc>
          <w:tcPr>
            <w:tcW w:type="dxa" w:w="5184"/>
            <w:vAlign w:val="top"/>
          </w:tcPr>
          <w:p>
            <w:pPr>
              <w:spacing w:after="0"/>
            </w:pPr>
            <w:r>
              <w:rPr>
                <w:sz w:val="14"/>
              </w:rPr>
              <w:t>Slow response, inconsistent follow-up and opportunities cooling or disappearing.</w:t>
            </w:r>
          </w:p>
        </w:tc>
      </w:tr>
      <w:tr>
        <w:trPr>
          <w:cantSplit/>
        </w:trPr>
        <w:tc>
          <w:tcPr>
            <w:tcW w:type="dxa" w:w="5184"/>
            <w:vAlign w:val="top"/>
          </w:tcPr>
          <w:p>
            <w:pPr>
              <w:spacing w:after="0"/>
            </w:pPr>
            <w:r>
              <w:rPr>
                <w:sz w:val="14"/>
              </w:rPr>
              <w:t>Execution dependent on individual memory and discipline.</w:t>
            </w:r>
          </w:p>
        </w:tc>
        <w:tc>
          <w:tcPr>
            <w:tcW w:type="dxa" w:w="5184"/>
            <w:vAlign w:val="top"/>
          </w:tcPr>
          <w:p>
            <w:pPr>
              <w:spacing w:after="0"/>
            </w:pPr>
            <w:r>
              <w:rPr>
                <w:sz w:val="14"/>
              </w:rPr>
              <w:t>Growth constrained by human attention; inconsistent customer experience.</w:t>
            </w:r>
          </w:p>
        </w:tc>
      </w:tr>
    </w:tbl>
    <w:p>
      <w:pPr>
        <w:pStyle w:val="Heading1"/>
      </w:pPr>
      <w:r>
        <w:t>3. Target users and ICP</w:t>
      </w:r>
    </w:p>
    <w:p>
      <w:r>
        <w:t>Primary users are real-estate brokerages and developers whose work includes enough operational volume, opportunity value or workflow complexity for delegated AI work to create measurable economic value.</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Primary roles</w:t>
            </w:r>
          </w:p>
        </w:tc>
        <w:tc>
          <w:tcPr>
            <w:tcW w:type="dxa" w:w="5184"/>
            <w:shd w:fill="1F4E79"/>
          </w:tcPr>
          <w:p>
            <w:r>
              <w:rPr>
                <w:b/>
                <w:color w:val="FFFFFF"/>
                <w:sz w:val="15"/>
              </w:rPr>
              <w:t>ICP dimensions</w:t>
            </w:r>
          </w:p>
        </w:tc>
      </w:tr>
      <w:tr>
        <w:trPr>
          <w:cantSplit/>
        </w:trPr>
        <w:tc>
          <w:tcPr>
            <w:tcW w:type="dxa" w:w="5184"/>
            <w:vAlign w:val="top"/>
          </w:tcPr>
          <w:p>
            <w:pPr>
              <w:spacing w:after="0"/>
            </w:pPr>
            <w:r>
              <w:rPr>
                <w:sz w:val="14"/>
              </w:rPr>
              <w:t>Brokerage owner/principal; advisor/broker; sales/operations coordinator; property/transaction operations; acquisition/conversion teams.</w:t>
            </w:r>
          </w:p>
        </w:tc>
        <w:tc>
          <w:tcPr>
            <w:tcW w:type="dxa" w:w="5184"/>
            <w:vAlign w:val="top"/>
          </w:tcPr>
          <w:p>
            <w:pPr>
              <w:spacing w:after="0"/>
            </w:pPr>
            <w:r>
              <w:rPr>
                <w:sz w:val="14"/>
              </w:rPr>
              <w:t>operational intensity × economic value per opportunity × repeatability of the work × willingness to delegate</w:t>
            </w:r>
          </w:p>
        </w:tc>
      </w:tr>
    </w:tbl>
    <w:p>
      <w:r>
        <w:t>Lead volume matters because it creates workload and measurable opportunity preservation. Transaction economics matter because rent and sale commissions can support different spend. Productization also matters: Gu OS should be repeatedly deployable without turning each customer into bespoke consulting.</w:t>
      </w:r>
    </w:p>
    <w:p>
      <w:pPr>
        <w:pStyle w:val="Heading1"/>
      </w:pPr>
      <w:r>
        <w:t>4. Current wedge and earned insight</w:t>
      </w:r>
    </w:p>
    <w:p>
      <w:pPr>
        <w:pStyle w:val="Heading2"/>
      </w:pPr>
      <w:r>
        <w:t>4.1 Gu today</w:t>
      </w:r>
    </w:p>
    <w:p>
      <w:r>
        <w:t>Gu entered through a workflow close to revenue: moving a buyer or renter from initial inquiry toward a property visit. Gu already engages prospects, understands requirements, profiles constraints, matches brokerage and permitted Shared Inventory, follows up and coordinates visits.</w:t>
      </w:r>
    </w:p>
    <w:p>
      <w:r>
        <w:t>This wedge is primarily conversion-centric: it begins after demand arrives. Current follow-up remains limited and partly pre-programmed. The next product leap is situational operation: understand opportunity state, detect events, decide when to act, choose the appropriate work and involve the professional when needed.</w:t>
      </w:r>
    </w:p>
    <w:p>
      <w:pPr>
        <w:pStyle w:val="Heading2"/>
      </w:pPr>
      <w:r>
        <w:t>4.2 Earned insight</w:t>
      </w:r>
    </w:p>
    <w:p>
      <w:r>
        <w:t>A bounded interaction can work with chat + tools + data. Durable responsibility is different. When the user asks Gu to care for an opportunity until the visit or capture a property and leave it published, the work can span days/weeks, systems, humans, waits, approvals, retries, changed facts and evidence.</w:t>
      </w:r>
    </w:p>
    <w:p/>
    <w:tbl>
      <w:tblPr>
        <w:tblStyle w:val="TableGrid"/>
        <w:tblW w:type="auto" w:w="0"/>
        <w:tblLook w:firstColumn="1" w:firstRow="1" w:lastColumn="0" w:lastRow="0" w:noHBand="0" w:noVBand="1" w:val="04A0"/>
      </w:tblPr>
      <w:tblGrid>
        <w:gridCol w:w="10368"/>
      </w:tblGrid>
      <w:tr>
        <w:tc>
          <w:tcPr>
            <w:tcW w:type="dxa" w:w="10368"/>
            <w:shd w:fill="D9EAF7"/>
          </w:tcPr>
          <w:p>
            <w:r>
              <w:rPr>
                <w:b/>
                <w:color w:val="1F4E79"/>
                <w:sz w:val="18"/>
              </w:rPr>
              <w:t xml:space="preserve">Core bridge.  </w:t>
            </w:r>
            <w:r>
              <w:rPr>
                <w:sz w:val="18"/>
              </w:rPr>
              <w:t>The conversation can guide the work. Gu OS holds the durable truth about the work.</w:t>
            </w:r>
          </w:p>
        </w:tc>
      </w:tr>
    </w:tbl>
    <w:p/>
    <w:p>
      <w:r>
        <w:t>This is the transition from the human acting as middleware across software toward an AI-native operating model in which the human defines intent, objectives and limits; Gu understands context and advances work within policy; and humans intervene where relationship, judgment or authority matter.</w:t>
      </w:r>
    </w:p>
    <w:p>
      <w:pPr>
        <w:pStyle w:val="Heading1"/>
      </w:pPr>
      <w:r>
        <w:t>5. Product model</w:t>
      </w:r>
    </w:p>
    <w:p>
      <w:r>
        <w:t>Gu OS is a vertical operating environment, not primarily a generic agent-building platform and not “another app.”</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Executive responsibility</w:t>
            </w:r>
          </w:p>
        </w:tc>
        <w:tc>
          <w:tcPr>
            <w:tcW w:type="dxa" w:w="5184"/>
            <w:shd w:fill="1F4E79"/>
          </w:tcPr>
          <w:p>
            <w:r>
              <w:rPr>
                <w:b/>
                <w:color w:val="FFFFFF"/>
                <w:sz w:val="15"/>
              </w:rPr>
              <w:t>Product meaning</w:t>
            </w:r>
          </w:p>
        </w:tc>
      </w:tr>
      <w:tr>
        <w:trPr>
          <w:cantSplit/>
        </w:trPr>
        <w:tc>
          <w:tcPr>
            <w:tcW w:type="dxa" w:w="5184"/>
            <w:vAlign w:val="top"/>
          </w:tcPr>
          <w:p>
            <w:pPr>
              <w:spacing w:after="0"/>
            </w:pPr>
            <w:r>
              <w:rPr>
                <w:sz w:val="14"/>
              </w:rPr>
              <w:t>Persistent operational state</w:t>
            </w:r>
          </w:p>
        </w:tc>
        <w:tc>
          <w:tcPr>
            <w:tcW w:type="dxa" w:w="5184"/>
            <w:vAlign w:val="top"/>
          </w:tcPr>
          <w:p>
            <w:pPr>
              <w:spacing w:after="0"/>
            </w:pPr>
            <w:r>
              <w:rPr>
                <w:sz w:val="14"/>
              </w:rPr>
              <w:t>Important work survives sessions and reflects what is actually happening.</w:t>
            </w:r>
          </w:p>
        </w:tc>
      </w:tr>
      <w:tr>
        <w:trPr>
          <w:cantSplit/>
        </w:trPr>
        <w:tc>
          <w:tcPr>
            <w:tcW w:type="dxa" w:w="5184"/>
            <w:vAlign w:val="top"/>
          </w:tcPr>
          <w:p>
            <w:pPr>
              <w:spacing w:after="0"/>
            </w:pPr>
            <w:r>
              <w:rPr>
                <w:sz w:val="14"/>
              </w:rPr>
              <w:t>Business context</w:t>
            </w:r>
          </w:p>
        </w:tc>
        <w:tc>
          <w:tcPr>
            <w:tcW w:type="dxa" w:w="5184"/>
            <w:vAlign w:val="top"/>
          </w:tcPr>
          <w:p>
            <w:pPr>
              <w:spacing w:after="0"/>
            </w:pPr>
            <w:r>
              <w:rPr>
                <w:sz w:val="14"/>
              </w:rPr>
              <w:t>Gu understands relevant business and company-specific context.</w:t>
            </w:r>
          </w:p>
        </w:tc>
      </w:tr>
      <w:tr>
        <w:trPr>
          <w:cantSplit/>
        </w:trPr>
        <w:tc>
          <w:tcPr>
            <w:tcW w:type="dxa" w:w="5184"/>
            <w:vAlign w:val="top"/>
          </w:tcPr>
          <w:p>
            <w:pPr>
              <w:spacing w:after="0"/>
            </w:pPr>
            <w:r>
              <w:rPr>
                <w:sz w:val="14"/>
              </w:rPr>
              <w:t>Decision &amp; coordination</w:t>
            </w:r>
          </w:p>
        </w:tc>
        <w:tc>
          <w:tcPr>
            <w:tcW w:type="dxa" w:w="5184"/>
            <w:vAlign w:val="top"/>
          </w:tcPr>
          <w:p>
            <w:pPr>
              <w:spacing w:after="0"/>
            </w:pPr>
            <w:r>
              <w:rPr>
                <w:sz w:val="14"/>
              </w:rPr>
              <w:t>Gu determines what should happen next within policies/authority.</w:t>
            </w:r>
          </w:p>
        </w:tc>
      </w:tr>
      <w:tr>
        <w:trPr>
          <w:cantSplit/>
        </w:trPr>
        <w:tc>
          <w:tcPr>
            <w:tcW w:type="dxa" w:w="5184"/>
            <w:vAlign w:val="top"/>
          </w:tcPr>
          <w:p>
            <w:pPr>
              <w:spacing w:after="0"/>
            </w:pPr>
            <w:r>
              <w:rPr>
                <w:sz w:val="14"/>
              </w:rPr>
              <w:t>Execution</w:t>
            </w:r>
          </w:p>
        </w:tc>
        <w:tc>
          <w:tcPr>
            <w:tcW w:type="dxa" w:w="5184"/>
            <w:vAlign w:val="top"/>
          </w:tcPr>
          <w:p>
            <w:pPr>
              <w:spacing w:after="0"/>
            </w:pPr>
            <w:r>
              <w:rPr>
                <w:sz w:val="14"/>
              </w:rPr>
              <w:t>Gu uses Skills, tools, systems and providers.</w:t>
            </w:r>
          </w:p>
        </w:tc>
      </w:tr>
      <w:tr>
        <w:trPr>
          <w:cantSplit/>
        </w:trPr>
        <w:tc>
          <w:tcPr>
            <w:tcW w:type="dxa" w:w="5184"/>
            <w:vAlign w:val="top"/>
          </w:tcPr>
          <w:p>
            <w:pPr>
              <w:spacing w:after="0"/>
            </w:pPr>
            <w:r>
              <w:rPr>
                <w:sz w:val="14"/>
              </w:rPr>
              <w:t>Human involvement</w:t>
            </w:r>
          </w:p>
        </w:tc>
        <w:tc>
          <w:tcPr>
            <w:tcW w:type="dxa" w:w="5184"/>
            <w:vAlign w:val="top"/>
          </w:tcPr>
          <w:p>
            <w:pPr>
              <w:spacing w:after="0"/>
            </w:pPr>
            <w:r>
              <w:rPr>
                <w:sz w:val="14"/>
              </w:rPr>
              <w:t>Humans enter where judgment, relationship or authority matter.</w:t>
            </w:r>
          </w:p>
        </w:tc>
      </w:tr>
      <w:tr>
        <w:trPr>
          <w:cantSplit/>
        </w:trPr>
        <w:tc>
          <w:tcPr>
            <w:tcW w:type="dxa" w:w="5184"/>
            <w:vAlign w:val="top"/>
          </w:tcPr>
          <w:p>
            <w:pPr>
              <w:spacing w:after="0"/>
            </w:pPr>
            <w:r>
              <w:rPr>
                <w:sz w:val="14"/>
              </w:rPr>
              <w:t>Evidence &amp; outcomes</w:t>
            </w:r>
          </w:p>
        </w:tc>
        <w:tc>
          <w:tcPr>
            <w:tcW w:type="dxa" w:w="5184"/>
            <w:vAlign w:val="top"/>
          </w:tcPr>
          <w:p>
            <w:pPr>
              <w:spacing w:after="0"/>
            </w:pPr>
            <w:r>
              <w:rPr>
                <w:sz w:val="14"/>
              </w:rPr>
              <w:t>The loop closes on verifiable real-world results, not activity.</w:t>
            </w:r>
          </w:p>
        </w:tc>
      </w:tr>
    </w:tbl>
    <w:p>
      <w:r>
        <w:t>More detailed technical decomposition belongs in the architecture layer rather than expanding the public/product mental model.</w:t>
      </w:r>
    </w:p>
    <w:p>
      <w:pPr>
        <w:pStyle w:val="Heading1"/>
      </w:pPr>
      <w:r>
        <w:t>6. Product principles</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w:t>
            </w:r>
          </w:p>
        </w:tc>
        <w:tc>
          <w:tcPr>
            <w:tcW w:type="dxa" w:w="5184"/>
            <w:shd w:fill="1F4E79"/>
          </w:tcPr>
          <w:p>
            <w:r>
              <w:rPr>
                <w:b/>
                <w:color w:val="FFFFFF"/>
                <w:sz w:val="15"/>
              </w:rPr>
              <w:t>Principle</w:t>
            </w:r>
          </w:p>
        </w:tc>
      </w:tr>
      <w:tr>
        <w:trPr>
          <w:cantSplit/>
        </w:trPr>
        <w:tc>
          <w:tcPr>
            <w:tcW w:type="dxa" w:w="5184"/>
            <w:vAlign w:val="top"/>
          </w:tcPr>
          <w:p>
            <w:pPr>
              <w:spacing w:after="0"/>
            </w:pPr>
            <w:r>
              <w:rPr>
                <w:sz w:val="14"/>
              </w:rPr>
              <w:t>1</w:t>
            </w:r>
          </w:p>
        </w:tc>
        <w:tc>
          <w:tcPr>
            <w:tcW w:type="dxa" w:w="5184"/>
            <w:vAlign w:val="top"/>
          </w:tcPr>
          <w:p>
            <w:pPr>
              <w:spacing w:after="0"/>
            </w:pPr>
            <w:r>
              <w:rPr>
                <w:sz w:val="14"/>
              </w:rPr>
              <w:t>Start from responsibility and outcome.</w:t>
            </w:r>
          </w:p>
        </w:tc>
      </w:tr>
      <w:tr>
        <w:trPr>
          <w:cantSplit/>
        </w:trPr>
        <w:tc>
          <w:tcPr>
            <w:tcW w:type="dxa" w:w="5184"/>
            <w:vAlign w:val="top"/>
          </w:tcPr>
          <w:p>
            <w:pPr>
              <w:spacing w:after="0"/>
            </w:pPr>
            <w:r>
              <w:rPr>
                <w:sz w:val="14"/>
              </w:rPr>
              <w:t>2</w:t>
            </w:r>
          </w:p>
        </w:tc>
        <w:tc>
          <w:tcPr>
            <w:tcW w:type="dxa" w:w="5184"/>
            <w:vAlign w:val="top"/>
          </w:tcPr>
          <w:p>
            <w:pPr>
              <w:spacing w:after="0"/>
            </w:pPr>
            <w:r>
              <w:rPr>
                <w:sz w:val="14"/>
              </w:rPr>
              <w:t>Define operational truth before the prompt.</w:t>
            </w:r>
          </w:p>
        </w:tc>
      </w:tr>
      <w:tr>
        <w:trPr>
          <w:cantSplit/>
        </w:trPr>
        <w:tc>
          <w:tcPr>
            <w:tcW w:type="dxa" w:w="5184"/>
            <w:vAlign w:val="top"/>
          </w:tcPr>
          <w:p>
            <w:pPr>
              <w:spacing w:after="0"/>
            </w:pPr>
            <w:r>
              <w:rPr>
                <w:sz w:val="14"/>
              </w:rPr>
              <w:t>3</w:t>
            </w:r>
          </w:p>
        </w:tc>
        <w:tc>
          <w:tcPr>
            <w:tcW w:type="dxa" w:w="5184"/>
            <w:vAlign w:val="top"/>
          </w:tcPr>
          <w:p>
            <w:pPr>
              <w:spacing w:after="0"/>
            </w:pPr>
            <w:r>
              <w:rPr>
                <w:sz w:val="14"/>
              </w:rPr>
              <w:t>Reuse one operating core across domains.</w:t>
            </w:r>
          </w:p>
        </w:tc>
      </w:tr>
      <w:tr>
        <w:trPr>
          <w:cantSplit/>
        </w:trPr>
        <w:tc>
          <w:tcPr>
            <w:tcW w:type="dxa" w:w="5184"/>
            <w:vAlign w:val="top"/>
          </w:tcPr>
          <w:p>
            <w:pPr>
              <w:spacing w:after="0"/>
            </w:pPr>
            <w:r>
              <w:rPr>
                <w:sz w:val="14"/>
              </w:rPr>
              <w:t>4</w:t>
            </w:r>
          </w:p>
        </w:tc>
        <w:tc>
          <w:tcPr>
            <w:tcW w:type="dxa" w:w="5184"/>
            <w:vAlign w:val="top"/>
          </w:tcPr>
          <w:p>
            <w:pPr>
              <w:spacing w:after="0"/>
            </w:pPr>
            <w:r>
              <w:rPr>
                <w:sz w:val="14"/>
              </w:rPr>
              <w:t>Use powerful models with bounded authority.</w:t>
            </w:r>
          </w:p>
        </w:tc>
      </w:tr>
      <w:tr>
        <w:trPr>
          <w:cantSplit/>
        </w:trPr>
        <w:tc>
          <w:tcPr>
            <w:tcW w:type="dxa" w:w="5184"/>
            <w:vAlign w:val="top"/>
          </w:tcPr>
          <w:p>
            <w:pPr>
              <w:spacing w:after="0"/>
            </w:pPr>
            <w:r>
              <w:rPr>
                <w:sz w:val="14"/>
              </w:rPr>
              <w:t>5</w:t>
            </w:r>
          </w:p>
        </w:tc>
        <w:tc>
          <w:tcPr>
            <w:tcW w:type="dxa" w:w="5184"/>
            <w:vAlign w:val="top"/>
          </w:tcPr>
          <w:p>
            <w:pPr>
              <w:spacing w:after="0"/>
            </w:pPr>
            <w:r>
              <w:rPr>
                <w:sz w:val="14"/>
              </w:rPr>
              <w:t>Treat UI as a surface over the same work context.</w:t>
            </w:r>
          </w:p>
        </w:tc>
      </w:tr>
      <w:tr>
        <w:trPr>
          <w:cantSplit/>
        </w:trPr>
        <w:tc>
          <w:tcPr>
            <w:tcW w:type="dxa" w:w="5184"/>
            <w:vAlign w:val="top"/>
          </w:tcPr>
          <w:p>
            <w:pPr>
              <w:spacing w:after="0"/>
            </w:pPr>
            <w:r>
              <w:rPr>
                <w:sz w:val="14"/>
              </w:rPr>
              <w:t>6</w:t>
            </w:r>
          </w:p>
        </w:tc>
        <w:tc>
          <w:tcPr>
            <w:tcW w:type="dxa" w:w="5184"/>
            <w:vAlign w:val="top"/>
          </w:tcPr>
          <w:p>
            <w:pPr>
              <w:spacing w:after="0"/>
            </w:pPr>
            <w:r>
              <w:rPr>
                <w:sz w:val="14"/>
              </w:rPr>
              <w:t>Own differentiating capabilities; orchestrate replaceable external capabilities.</w:t>
            </w:r>
          </w:p>
        </w:tc>
      </w:tr>
      <w:tr>
        <w:trPr>
          <w:cantSplit/>
        </w:trPr>
        <w:tc>
          <w:tcPr>
            <w:tcW w:type="dxa" w:w="5184"/>
            <w:vAlign w:val="top"/>
          </w:tcPr>
          <w:p>
            <w:pPr>
              <w:spacing w:after="0"/>
            </w:pPr>
            <w:r>
              <w:rPr>
                <w:sz w:val="14"/>
              </w:rPr>
              <w:t>7</w:t>
            </w:r>
          </w:p>
        </w:tc>
        <w:tc>
          <w:tcPr>
            <w:tcW w:type="dxa" w:w="5184"/>
            <w:vAlign w:val="top"/>
          </w:tcPr>
          <w:p>
            <w:pPr>
              <w:spacing w:after="0"/>
            </w:pPr>
            <w:r>
              <w:rPr>
                <w:sz w:val="14"/>
              </w:rPr>
              <w:t>Design for outcomes, not activity.</w:t>
            </w:r>
          </w:p>
        </w:tc>
      </w:tr>
      <w:tr>
        <w:trPr>
          <w:cantSplit/>
        </w:trPr>
        <w:tc>
          <w:tcPr>
            <w:tcW w:type="dxa" w:w="5184"/>
            <w:vAlign w:val="top"/>
          </w:tcPr>
          <w:p>
            <w:pPr>
              <w:spacing w:after="0"/>
            </w:pPr>
            <w:r>
              <w:rPr>
                <w:sz w:val="14"/>
              </w:rPr>
              <w:t>8</w:t>
            </w:r>
          </w:p>
        </w:tc>
        <w:tc>
          <w:tcPr>
            <w:tcW w:type="dxa" w:w="5184"/>
            <w:vAlign w:val="top"/>
          </w:tcPr>
          <w:p>
            <w:pPr>
              <w:spacing w:after="0"/>
            </w:pPr>
            <w:r>
              <w:rPr>
                <w:sz w:val="14"/>
              </w:rPr>
              <w:t>Compile relevant context; do not maximize tokens.</w:t>
            </w:r>
          </w:p>
        </w:tc>
      </w:tr>
      <w:tr>
        <w:trPr>
          <w:cantSplit/>
        </w:trPr>
        <w:tc>
          <w:tcPr>
            <w:tcW w:type="dxa" w:w="5184"/>
            <w:vAlign w:val="top"/>
          </w:tcPr>
          <w:p>
            <w:pPr>
              <w:spacing w:after="0"/>
            </w:pPr>
            <w:r>
              <w:rPr>
                <w:sz w:val="14"/>
              </w:rPr>
              <w:t>9</w:t>
            </w:r>
          </w:p>
        </w:tc>
        <w:tc>
          <w:tcPr>
            <w:tcW w:type="dxa" w:w="5184"/>
            <w:vAlign w:val="top"/>
          </w:tcPr>
          <w:p>
            <w:pPr>
              <w:spacing w:after="0"/>
            </w:pPr>
            <w:r>
              <w:rPr>
                <w:sz w:val="14"/>
              </w:rPr>
              <w:t>Govern network/economic rules explicitly.</w:t>
            </w:r>
          </w:p>
        </w:tc>
      </w:tr>
      <w:tr>
        <w:trPr>
          <w:cantSplit/>
        </w:trPr>
        <w:tc>
          <w:tcPr>
            <w:tcW w:type="dxa" w:w="5184"/>
            <w:vAlign w:val="top"/>
          </w:tcPr>
          <w:p>
            <w:pPr>
              <w:spacing w:after="0"/>
            </w:pPr>
            <w:r>
              <w:rPr>
                <w:sz w:val="14"/>
              </w:rPr>
              <w:t>10</w:t>
            </w:r>
          </w:p>
        </w:tc>
        <w:tc>
          <w:tcPr>
            <w:tcW w:type="dxa" w:w="5184"/>
            <w:vAlign w:val="top"/>
          </w:tcPr>
          <w:p>
            <w:pPr>
              <w:spacing w:after="0"/>
            </w:pPr>
            <w:r>
              <w:rPr>
                <w:sz w:val="14"/>
              </w:rPr>
              <w:t>Separate current, evolving and vision precisely.</w:t>
            </w:r>
          </w:p>
        </w:tc>
      </w:tr>
    </w:tbl>
    <w:p>
      <w:pPr>
        <w:pStyle w:val="Heading1"/>
      </w:pPr>
      <w:r>
        <w:t>7. Operating domains and revenue loop</w:t>
      </w:r>
    </w:p>
    <w:p/>
    <w:tbl>
      <w:tblPr>
        <w:tblStyle w:val="TableGrid"/>
        <w:tblW w:type="auto" w:w="0"/>
        <w:tblLook w:firstColumn="1" w:firstRow="1" w:lastColumn="0" w:lastRow="0" w:noHBand="0" w:noVBand="1" w:val="04A0"/>
      </w:tblPr>
      <w:tblGrid>
        <w:gridCol w:w="10368"/>
      </w:tblGrid>
      <w:tr>
        <w:tc>
          <w:tcPr>
            <w:tcW w:type="dxa" w:w="10368"/>
            <w:shd w:fill="FFF2CC"/>
          </w:tcPr>
          <w:p>
            <w:r>
              <w:rPr>
                <w:b/>
                <w:color w:val="1F4E79"/>
                <w:sz w:val="18"/>
              </w:rPr>
              <w:t xml:space="preserve">Revenue loop.  </w:t>
            </w:r>
            <w:r>
              <w:rPr>
                <w:sz w:val="18"/>
              </w:rPr>
              <w:t>Property Onboarding → Demand Generation → Conversion → Transaction → Outcome Feedback → Better Decisions</w:t>
            </w:r>
          </w:p>
        </w:tc>
      </w:tr>
    </w:tbl>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Operating domain</w:t>
            </w:r>
          </w:p>
        </w:tc>
        <w:tc>
          <w:tcPr>
            <w:tcW w:type="dxa" w:w="5184"/>
            <w:shd w:fill="1F4E79"/>
          </w:tcPr>
          <w:p>
            <w:r>
              <w:rPr>
                <w:b/>
                <w:color w:val="FFFFFF"/>
                <w:sz w:val="15"/>
              </w:rPr>
              <w:t>Responsibility</w:t>
            </w:r>
          </w:p>
        </w:tc>
      </w:tr>
      <w:tr>
        <w:trPr>
          <w:cantSplit/>
        </w:trPr>
        <w:tc>
          <w:tcPr>
            <w:tcW w:type="dxa" w:w="5184"/>
            <w:vAlign w:val="top"/>
          </w:tcPr>
          <w:p>
            <w:pPr>
              <w:spacing w:after="0"/>
            </w:pPr>
            <w:r>
              <w:rPr>
                <w:sz w:val="14"/>
              </w:rPr>
              <w:t>Property Operations</w:t>
            </w:r>
          </w:p>
        </w:tc>
        <w:tc>
          <w:tcPr>
            <w:tcW w:type="dxa" w:w="5184"/>
            <w:vAlign w:val="top"/>
          </w:tcPr>
          <w:p>
            <w:pPr>
              <w:spacing w:after="0"/>
            </w:pPr>
            <w:r>
              <w:rPr>
                <w:sz w:val="14"/>
              </w:rPr>
              <w:t>Get inventory understood, prepared, governed and market-ready.</w:t>
            </w:r>
          </w:p>
        </w:tc>
      </w:tr>
      <w:tr>
        <w:trPr>
          <w:cantSplit/>
        </w:trPr>
        <w:tc>
          <w:tcPr>
            <w:tcW w:type="dxa" w:w="5184"/>
            <w:vAlign w:val="top"/>
          </w:tcPr>
          <w:p>
            <w:pPr>
              <w:spacing w:after="0"/>
            </w:pPr>
            <w:r>
              <w:rPr>
                <w:sz w:val="14"/>
              </w:rPr>
              <w:t>Demand Operations</w:t>
            </w:r>
          </w:p>
        </w:tc>
        <w:tc>
          <w:tcPr>
            <w:tcW w:type="dxa" w:w="5184"/>
            <w:vAlign w:val="top"/>
          </w:tcPr>
          <w:p>
            <w:pPr>
              <w:spacing w:after="0"/>
            </w:pPr>
            <w:r>
              <w:rPr>
                <w:sz w:val="14"/>
              </w:rPr>
              <w:t>Generate and improve qualified demand tied to downstream outcomes.</w:t>
            </w:r>
          </w:p>
        </w:tc>
      </w:tr>
      <w:tr>
        <w:trPr>
          <w:cantSplit/>
        </w:trPr>
        <w:tc>
          <w:tcPr>
            <w:tcW w:type="dxa" w:w="5184"/>
            <w:vAlign w:val="top"/>
          </w:tcPr>
          <w:p>
            <w:pPr>
              <w:spacing w:after="0"/>
            </w:pPr>
            <w:r>
              <w:rPr>
                <w:sz w:val="14"/>
              </w:rPr>
              <w:t>Relationship Operations</w:t>
            </w:r>
          </w:p>
        </w:tc>
        <w:tc>
          <w:tcPr>
            <w:tcW w:type="dxa" w:w="5184"/>
            <w:vAlign w:val="top"/>
          </w:tcPr>
          <w:p>
            <w:pPr>
              <w:spacing w:after="0"/>
            </w:pPr>
            <w:r>
              <w:rPr>
                <w:sz w:val="14"/>
              </w:rPr>
              <w:t>Keep relationships/opportunities alive and moving toward the best achievable outcome.</w:t>
            </w:r>
          </w:p>
        </w:tc>
      </w:tr>
      <w:tr>
        <w:trPr>
          <w:cantSplit/>
        </w:trPr>
        <w:tc>
          <w:tcPr>
            <w:tcW w:type="dxa" w:w="5184"/>
            <w:vAlign w:val="top"/>
          </w:tcPr>
          <w:p>
            <w:pPr>
              <w:spacing w:after="0"/>
            </w:pPr>
            <w:r>
              <w:rPr>
                <w:sz w:val="14"/>
              </w:rPr>
              <w:t>Transaction Operations</w:t>
            </w:r>
          </w:p>
        </w:tc>
        <w:tc>
          <w:tcPr>
            <w:tcW w:type="dxa" w:w="5184"/>
            <w:vAlign w:val="top"/>
          </w:tcPr>
          <w:p>
            <w:pPr>
              <w:spacing w:after="0"/>
            </w:pPr>
            <w:r>
              <w:rPr>
                <w:sz w:val="14"/>
              </w:rPr>
              <w:t>Preserve continuity through negotiation, documents, services, financing and closing.</w:t>
            </w:r>
          </w:p>
        </w:tc>
      </w:tr>
      <w:tr>
        <w:trPr>
          <w:cantSplit/>
        </w:trPr>
        <w:tc>
          <w:tcPr>
            <w:tcW w:type="dxa" w:w="5184"/>
            <w:vAlign w:val="top"/>
          </w:tcPr>
          <w:p>
            <w:pPr>
              <w:spacing w:after="0"/>
            </w:pPr>
            <w:r>
              <w:rPr>
                <w:sz w:val="14"/>
              </w:rPr>
              <w:t>Network / Ecosystem Operations</w:t>
            </w:r>
          </w:p>
        </w:tc>
        <w:tc>
          <w:tcPr>
            <w:tcW w:type="dxa" w:w="5184"/>
            <w:vAlign w:val="top"/>
          </w:tcPr>
          <w:p>
            <w:pPr>
              <w:spacing w:after="0"/>
            </w:pPr>
            <w:r>
              <w:rPr>
                <w:sz w:val="14"/>
              </w:rPr>
              <w:t>Mobilize shared inventory, cross-brokerage opportunities and specialized providers.</w:t>
            </w:r>
          </w:p>
        </w:tc>
      </w:tr>
    </w:tbl>
    <w:p>
      <w:r>
        <w:t>These should feel like different responsibilities the same Gu can progressively assume, not five applications the user has to learn and operate.</w:t>
      </w:r>
    </w:p>
    <w:p>
      <w:pPr>
        <w:pStyle w:val="Heading1"/>
      </w:pPr>
      <w:r>
        <w:t>8. Major product journeys</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4"/>
              </w:rPr>
              <w:t>Journey</w:t>
            </w:r>
          </w:p>
        </w:tc>
        <w:tc>
          <w:tcPr>
            <w:tcW w:type="dxa" w:w="5184"/>
            <w:shd w:fill="1F4E79"/>
          </w:tcPr>
          <w:p>
            <w:r>
              <w:rPr>
                <w:b/>
                <w:color w:val="FFFFFF"/>
                <w:sz w:val="14"/>
              </w:rPr>
              <w:t>Product intent</w:t>
            </w:r>
          </w:p>
        </w:tc>
      </w:tr>
      <w:tr>
        <w:trPr>
          <w:cantSplit/>
        </w:trPr>
        <w:tc>
          <w:tcPr>
            <w:tcW w:type="dxa" w:w="5184"/>
            <w:vAlign w:val="top"/>
          </w:tcPr>
          <w:p>
            <w:pPr>
              <w:spacing w:after="0"/>
            </w:pPr>
            <w:r>
              <w:rPr>
                <w:sz w:val="14"/>
              </w:rPr>
              <w:t>Bounded work</w:t>
            </w:r>
          </w:p>
        </w:tc>
        <w:tc>
          <w:tcPr>
            <w:tcW w:type="dxa" w:w="5184"/>
            <w:vAlign w:val="top"/>
          </w:tcPr>
          <w:p>
            <w:pPr>
              <w:spacing w:after="0"/>
            </w:pPr>
            <w:r>
              <w:rPr>
                <w:sz w:val="14"/>
              </w:rPr>
              <w:t>Not every request needs a durable Case; e.g., compare properties and surface a contextual view.</w:t>
            </w:r>
          </w:p>
        </w:tc>
      </w:tr>
      <w:tr>
        <w:trPr>
          <w:cantSplit/>
        </w:trPr>
        <w:tc>
          <w:tcPr>
            <w:tcW w:type="dxa" w:w="5184"/>
            <w:vAlign w:val="top"/>
          </w:tcPr>
          <w:p>
            <w:pPr>
              <w:spacing w:after="0"/>
            </w:pPr>
            <w:r>
              <w:rPr>
                <w:sz w:val="14"/>
              </w:rPr>
              <w:t>Property Onboarding / Optioning</w:t>
            </w:r>
          </w:p>
        </w:tc>
        <w:tc>
          <w:tcPr>
            <w:tcW w:type="dxa" w:w="5184"/>
            <w:vAlign w:val="top"/>
          </w:tcPr>
          <w:p>
            <w:pPr>
              <w:spacing w:after="0"/>
            </w:pPr>
            <w:r>
              <w:rPr>
                <w:sz w:val="14"/>
              </w:rPr>
              <w:t>Durable responsibility from intake through documentation, property information, approvals, preparation and publication.</w:t>
            </w:r>
          </w:p>
        </w:tc>
      </w:tr>
      <w:tr>
        <w:trPr>
          <w:cantSplit/>
        </w:trPr>
        <w:tc>
          <w:tcPr>
            <w:tcW w:type="dxa" w:w="5184"/>
            <w:vAlign w:val="top"/>
          </w:tcPr>
          <w:p>
            <w:pPr>
              <w:spacing w:after="0"/>
            </w:pPr>
            <w:r>
              <w:rPr>
                <w:sz w:val="14"/>
              </w:rPr>
              <w:t>Relationship Operations / Lead Opportunity</w:t>
            </w:r>
          </w:p>
        </w:tc>
        <w:tc>
          <w:tcPr>
            <w:tcW w:type="dxa" w:w="5184"/>
            <w:vAlign w:val="top"/>
          </w:tcPr>
          <w:p>
            <w:pPr>
              <w:spacing w:after="0"/>
            </w:pPr>
            <w:r>
              <w:rPr>
                <w:sz w:val="14"/>
              </w:rPr>
              <w:t>Traditional CRM records/displays; Relationship Operations assumes responsibility for advancing the opportunity.</w:t>
            </w:r>
          </w:p>
        </w:tc>
      </w:tr>
      <w:tr>
        <w:trPr>
          <w:cantSplit/>
        </w:trPr>
        <w:tc>
          <w:tcPr>
            <w:tcW w:type="dxa" w:w="5184"/>
            <w:vAlign w:val="top"/>
          </w:tcPr>
          <w:p>
            <w:pPr>
              <w:spacing w:after="0"/>
            </w:pPr>
            <w:r>
              <w:rPr>
                <w:sz w:val="14"/>
              </w:rPr>
              <w:t>Demand Operations</w:t>
            </w:r>
          </w:p>
        </w:tc>
        <w:tc>
          <w:tcPr>
            <w:tcW w:type="dxa" w:w="5184"/>
            <w:vAlign w:val="top"/>
          </w:tcPr>
          <w:p>
            <w:pPr>
              <w:spacing w:after="0"/>
            </w:pPr>
            <w:r>
              <w:rPr>
                <w:sz w:val="14"/>
              </w:rPr>
              <w:t>Pursue qualified demand / visit outcomes, not merely CPL; ad platforms remain rails.</w:t>
            </w:r>
          </w:p>
        </w:tc>
      </w:tr>
      <w:tr>
        <w:trPr>
          <w:cantSplit/>
        </w:trPr>
        <w:tc>
          <w:tcPr>
            <w:tcW w:type="dxa" w:w="5184"/>
            <w:vAlign w:val="top"/>
          </w:tcPr>
          <w:p>
            <w:pPr>
              <w:spacing w:after="0"/>
            </w:pPr>
            <w:r>
              <w:rPr>
                <w:sz w:val="14"/>
              </w:rPr>
              <w:t>Transaction Operations</w:t>
            </w:r>
          </w:p>
        </w:tc>
        <w:tc>
          <w:tcPr>
            <w:tcW w:type="dxa" w:w="5184"/>
            <w:vAlign w:val="top"/>
          </w:tcPr>
          <w:p>
            <w:pPr>
              <w:spacing w:after="0"/>
            </w:pPr>
            <w:r>
              <w:rPr>
                <w:sz w:val="14"/>
              </w:rPr>
              <w:t>A concrete transaction may get its own durable Case while the broader relationship remains alive.</w:t>
            </w:r>
          </w:p>
        </w:tc>
      </w:tr>
      <w:tr>
        <w:trPr>
          <w:cantSplit/>
        </w:trPr>
        <w:tc>
          <w:tcPr>
            <w:tcW w:type="dxa" w:w="5184"/>
            <w:vAlign w:val="top"/>
          </w:tcPr>
          <w:p>
            <w:pPr>
              <w:spacing w:after="0"/>
            </w:pPr>
            <w:r>
              <w:rPr>
                <w:sz w:val="14"/>
              </w:rPr>
              <w:t>Network / Ecosystem</w:t>
            </w:r>
          </w:p>
        </w:tc>
        <w:tc>
          <w:tcPr>
            <w:tcW w:type="dxa" w:w="5184"/>
            <w:vAlign w:val="top"/>
          </w:tcPr>
          <w:p>
            <w:pPr>
              <w:spacing w:after="0"/>
            </w:pPr>
            <w:r>
              <w:rPr>
                <w:sz w:val="14"/>
              </w:rPr>
              <w:t>Mobilize Shared Inventory/providers under governed permission, attribution, routing and economics.</w:t>
            </w:r>
          </w:p>
        </w:tc>
      </w:tr>
    </w:tbl>
    <w:p>
      <w:pPr>
        <w:pStyle w:val="Heading2"/>
      </w:pPr>
      <w:r>
        <w:t>8.6 Consumer discovery: strategic option, not immediate priority</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Stage</w:t>
            </w:r>
          </w:p>
        </w:tc>
        <w:tc>
          <w:tcPr>
            <w:tcW w:type="dxa" w:w="5184"/>
            <w:shd w:fill="1F4E79"/>
          </w:tcPr>
          <w:p>
            <w:r>
              <w:rPr>
                <w:b/>
                <w:color w:val="FFFFFF"/>
                <w:sz w:val="15"/>
              </w:rPr>
              <w:t>Direction</w:t>
            </w:r>
          </w:p>
        </w:tc>
      </w:tr>
      <w:tr>
        <w:trPr>
          <w:cantSplit/>
        </w:trPr>
        <w:tc>
          <w:tcPr>
            <w:tcW w:type="dxa" w:w="5184"/>
            <w:vAlign w:val="top"/>
          </w:tcPr>
          <w:p>
            <w:pPr>
              <w:spacing w:after="0"/>
            </w:pPr>
            <w:r>
              <w:rPr>
                <w:sz w:val="14"/>
              </w:rPr>
              <w:t>First</w:t>
            </w:r>
          </w:p>
        </w:tc>
        <w:tc>
          <w:tcPr>
            <w:tcW w:type="dxa" w:w="5184"/>
            <w:vAlign w:val="top"/>
          </w:tcPr>
          <w:p>
            <w:pPr>
              <w:spacing w:after="0"/>
            </w:pPr>
            <w:r>
              <w:rPr>
                <w:sz w:val="14"/>
              </w:rPr>
              <w:t>Grow inventory density, freshness and liquidity in concrete micro-markets.</w:t>
            </w:r>
          </w:p>
        </w:tc>
      </w:tr>
      <w:tr>
        <w:trPr>
          <w:cantSplit/>
        </w:trPr>
        <w:tc>
          <w:tcPr>
            <w:tcW w:type="dxa" w:w="5184"/>
            <w:vAlign w:val="top"/>
          </w:tcPr>
          <w:p>
            <w:pPr>
              <w:spacing w:after="0"/>
            </w:pPr>
            <w:r>
              <w:rPr>
                <w:sz w:val="14"/>
              </w:rPr>
              <w:t>Then</w:t>
            </w:r>
          </w:p>
        </w:tc>
        <w:tc>
          <w:tcPr>
            <w:tcW w:type="dxa" w:w="5184"/>
            <w:vAlign w:val="top"/>
          </w:tcPr>
          <w:p>
            <w:pPr>
              <w:spacing w:after="0"/>
            </w:pPr>
            <w:r>
              <w:rPr>
                <w:sz w:val="14"/>
              </w:rPr>
              <w:t>Use broker sites, property pages, WhatsApp, organic/search/AI discovery and shared links as distribution nodes.</w:t>
            </w:r>
          </w:p>
        </w:tc>
      </w:tr>
      <w:tr>
        <w:trPr>
          <w:cantSplit/>
        </w:trPr>
        <w:tc>
          <w:tcPr>
            <w:tcW w:type="dxa" w:w="5184"/>
            <w:vAlign w:val="top"/>
          </w:tcPr>
          <w:p>
            <w:pPr>
              <w:spacing w:after="0"/>
            </w:pPr>
            <w:r>
              <w:rPr>
                <w:sz w:val="14"/>
              </w:rPr>
              <w:t>Later</w:t>
            </w:r>
          </w:p>
        </w:tc>
        <w:tc>
          <w:tcPr>
            <w:tcW w:type="dxa" w:w="5184"/>
            <w:vAlign w:val="top"/>
          </w:tcPr>
          <w:p>
            <w:pPr>
              <w:spacing w:after="0"/>
            </w:pPr>
            <w:r>
              <w:rPr>
                <w:sz w:val="14"/>
              </w:rPr>
              <w:t>If demand originates directly in Ungga/Gu, serve the consumer conversationally while governed rules route the opportunity to eligible brokers.</w:t>
            </w:r>
          </w:p>
        </w:tc>
      </w:tr>
    </w:tbl>
    <w:p/>
    <w:tbl>
      <w:tblPr>
        <w:tblStyle w:val="TableGrid"/>
        <w:tblW w:type="auto" w:w="0"/>
        <w:tblLook w:firstColumn="1" w:firstRow="1" w:lastColumn="0" w:lastRow="0" w:noHBand="0" w:noVBand="1" w:val="04A0"/>
      </w:tblPr>
      <w:tblGrid>
        <w:gridCol w:w="10368"/>
      </w:tblGrid>
      <w:tr>
        <w:tc>
          <w:tcPr>
            <w:tcW w:type="dxa" w:w="10368"/>
            <w:shd w:fill="FFF2CC"/>
          </w:tcPr>
          <w:p>
            <w:r>
              <w:rPr>
                <w:b/>
                <w:color w:val="1F4E79"/>
                <w:sz w:val="18"/>
              </w:rPr>
              <w:t xml:space="preserve">Strategic constraint.  </w:t>
            </w:r>
            <w:r>
              <w:rPr>
                <w:sz w:val="18"/>
              </w:rPr>
              <w:t>Ungga should not position itself as competing against the broker. The network should increase broker reach and capacity. Attribution, representation, commission and routing must be explicit.</w:t>
            </w:r>
          </w:p>
        </w:tc>
      </w:tr>
    </w:tbl>
    <w:p/>
    <w:p>
      <w:pPr>
        <w:pStyle w:val="Heading1"/>
      </w:pPr>
      <w:r>
        <w:t>9. Human + Gu operating model</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Value dimension</w:t>
            </w:r>
          </w:p>
        </w:tc>
        <w:tc>
          <w:tcPr>
            <w:tcW w:type="dxa" w:w="5184"/>
            <w:shd w:fill="1F4E79"/>
          </w:tcPr>
          <w:p>
            <w:r>
              <w:rPr>
                <w:b/>
                <w:color w:val="FFFFFF"/>
                <w:sz w:val="15"/>
              </w:rPr>
              <w:t>Meaning</w:t>
            </w:r>
          </w:p>
        </w:tc>
      </w:tr>
      <w:tr>
        <w:trPr>
          <w:cantSplit/>
        </w:trPr>
        <w:tc>
          <w:tcPr>
            <w:tcW w:type="dxa" w:w="5184"/>
            <w:vAlign w:val="top"/>
          </w:tcPr>
          <w:p>
            <w:pPr>
              <w:spacing w:after="0"/>
            </w:pPr>
            <w:r>
              <w:rPr>
                <w:sz w:val="14"/>
              </w:rPr>
              <w:t>Capacity</w:t>
            </w:r>
          </w:p>
        </w:tc>
        <w:tc>
          <w:tcPr>
            <w:tcW w:type="dxa" w:w="5184"/>
            <w:vAlign w:val="top"/>
          </w:tcPr>
          <w:p>
            <w:pPr>
              <w:spacing w:after="0"/>
            </w:pPr>
            <w:r>
              <w:rPr>
                <w:sz w:val="14"/>
              </w:rPr>
              <w:t>More work without proportional headcount growth.</w:t>
            </w:r>
          </w:p>
        </w:tc>
      </w:tr>
      <w:tr>
        <w:trPr>
          <w:cantSplit/>
        </w:trPr>
        <w:tc>
          <w:tcPr>
            <w:tcW w:type="dxa" w:w="5184"/>
            <w:vAlign w:val="top"/>
          </w:tcPr>
          <w:p>
            <w:pPr>
              <w:spacing w:after="0"/>
            </w:pPr>
            <w:r>
              <w:rPr>
                <w:sz w:val="14"/>
              </w:rPr>
              <w:t>Intelligence</w:t>
            </w:r>
          </w:p>
        </w:tc>
        <w:tc>
          <w:tcPr>
            <w:tcW w:type="dxa" w:w="5184"/>
            <w:vAlign w:val="top"/>
          </w:tcPr>
          <w:p>
            <w:pPr>
              <w:spacing w:after="0"/>
            </w:pPr>
            <w:r>
              <w:rPr>
                <w:sz w:val="14"/>
              </w:rPr>
              <w:t>Understand, prioritize and recommend.</w:t>
            </w:r>
          </w:p>
        </w:tc>
      </w:tr>
      <w:tr>
        <w:trPr>
          <w:cantSplit/>
        </w:trPr>
        <w:tc>
          <w:tcPr>
            <w:tcW w:type="dxa" w:w="5184"/>
            <w:vAlign w:val="top"/>
          </w:tcPr>
          <w:p>
            <w:pPr>
              <w:spacing w:after="0"/>
            </w:pPr>
            <w:r>
              <w:rPr>
                <w:sz w:val="14"/>
              </w:rPr>
              <w:t>Coordination</w:t>
            </w:r>
          </w:p>
        </w:tc>
        <w:tc>
          <w:tcPr>
            <w:tcW w:type="dxa" w:w="5184"/>
            <w:vAlign w:val="top"/>
          </w:tcPr>
          <w:p>
            <w:pPr>
              <w:spacing w:after="0"/>
            </w:pPr>
            <w:r>
              <w:rPr>
                <w:sz w:val="14"/>
              </w:rPr>
              <w:t>Connect people, systems, decisions and work.</w:t>
            </w:r>
          </w:p>
        </w:tc>
      </w:tr>
      <w:tr>
        <w:trPr>
          <w:cantSplit/>
        </w:trPr>
        <w:tc>
          <w:tcPr>
            <w:tcW w:type="dxa" w:w="5184"/>
            <w:vAlign w:val="top"/>
          </w:tcPr>
          <w:p>
            <w:pPr>
              <w:spacing w:after="0"/>
            </w:pPr>
            <w:r>
              <w:rPr>
                <w:sz w:val="14"/>
              </w:rPr>
              <w:t>Reach</w:t>
            </w:r>
          </w:p>
        </w:tc>
        <w:tc>
          <w:tcPr>
            <w:tcW w:type="dxa" w:w="5184"/>
            <w:vAlign w:val="top"/>
          </w:tcPr>
          <w:p>
            <w:pPr>
              <w:spacing w:after="0"/>
            </w:pPr>
            <w:r>
              <w:rPr>
                <w:sz w:val="14"/>
              </w:rPr>
              <w:t>Mobilize network inventory and specialized capabilities.</w:t>
            </w:r>
          </w:p>
        </w:tc>
      </w:tr>
      <w:tr>
        <w:trPr>
          <w:cantSplit/>
        </w:trPr>
        <w:tc>
          <w:tcPr>
            <w:tcW w:type="dxa" w:w="5184"/>
            <w:vAlign w:val="top"/>
          </w:tcPr>
          <w:p>
            <w:pPr>
              <w:spacing w:after="0"/>
            </w:pPr>
            <w:r>
              <w:rPr>
                <w:sz w:val="14"/>
              </w:rPr>
              <w:t>Learning &amp; Improvement</w:t>
            </w:r>
          </w:p>
        </w:tc>
        <w:tc>
          <w:tcPr>
            <w:tcW w:type="dxa" w:w="5184"/>
            <w:vAlign w:val="top"/>
          </w:tcPr>
          <w:p>
            <w:pPr>
              <w:spacing w:after="0"/>
            </w:pPr>
            <w:r>
              <w:rPr>
                <w:sz w:val="14"/>
              </w:rPr>
              <w:t>Use outcomes/evidence under governance to improve recommendations, Skills and workflows.</w:t>
            </w:r>
          </w:p>
        </w:tc>
      </w:tr>
    </w:tbl>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5"/>
              </w:rPr>
              <w:t>Decision type</w:t>
            </w:r>
          </w:p>
        </w:tc>
        <w:tc>
          <w:tcPr>
            <w:tcW w:type="dxa" w:w="5184"/>
            <w:shd w:fill="1F4E79"/>
          </w:tcPr>
          <w:p>
            <w:r>
              <w:rPr>
                <w:b/>
                <w:color w:val="FFFFFF"/>
                <w:sz w:val="15"/>
              </w:rPr>
              <w:t>Default model</w:t>
            </w:r>
          </w:p>
        </w:tc>
      </w:tr>
      <w:tr>
        <w:trPr>
          <w:cantSplit/>
        </w:trPr>
        <w:tc>
          <w:tcPr>
            <w:tcW w:type="dxa" w:w="5184"/>
            <w:vAlign w:val="top"/>
          </w:tcPr>
          <w:p>
            <w:pPr>
              <w:spacing w:after="0"/>
            </w:pPr>
            <w:r>
              <w:rPr>
                <w:sz w:val="14"/>
              </w:rPr>
              <w:t>Strategic / relationship-sensitive</w:t>
            </w:r>
          </w:p>
        </w:tc>
        <w:tc>
          <w:tcPr>
            <w:tcW w:type="dxa" w:w="5184"/>
            <w:vAlign w:val="top"/>
          </w:tcPr>
          <w:p>
            <w:pPr>
              <w:spacing w:after="0"/>
            </w:pPr>
            <w:r>
              <w:rPr>
                <w:sz w:val="14"/>
              </w:rPr>
              <w:t>Gu analyzes/recommends; human leads/decides; Gu executes consequences.</w:t>
            </w:r>
          </w:p>
        </w:tc>
      </w:tr>
      <w:tr>
        <w:trPr>
          <w:cantSplit/>
        </w:trPr>
        <w:tc>
          <w:tcPr>
            <w:tcW w:type="dxa" w:w="5184"/>
            <w:vAlign w:val="top"/>
          </w:tcPr>
          <w:p>
            <w:pPr>
              <w:spacing w:after="0"/>
            </w:pPr>
            <w:r>
              <w:rPr>
                <w:sz w:val="14"/>
              </w:rPr>
              <w:t>Routine operational</w:t>
            </w:r>
          </w:p>
        </w:tc>
        <w:tc>
          <w:tcPr>
            <w:tcW w:type="dxa" w:w="5184"/>
            <w:vAlign w:val="top"/>
          </w:tcPr>
          <w:p>
            <w:pPr>
              <w:spacing w:after="0"/>
            </w:pPr>
            <w:r>
              <w:rPr>
                <w:sz w:val="14"/>
              </w:rPr>
              <w:t>Gu may understand, decide and execute within delegated policy.</w:t>
            </w:r>
          </w:p>
        </w:tc>
      </w:tr>
      <w:tr>
        <w:trPr>
          <w:cantSplit/>
        </w:trPr>
        <w:tc>
          <w:tcPr>
            <w:tcW w:type="dxa" w:w="5184"/>
            <w:vAlign w:val="top"/>
          </w:tcPr>
          <w:p>
            <w:pPr>
              <w:spacing w:after="0"/>
            </w:pPr>
            <w:r>
              <w:rPr>
                <w:sz w:val="14"/>
              </w:rPr>
              <w:t>High-risk / authority-sensitive</w:t>
            </w:r>
          </w:p>
        </w:tc>
        <w:tc>
          <w:tcPr>
            <w:tcW w:type="dxa" w:w="5184"/>
            <w:vAlign w:val="top"/>
          </w:tcPr>
          <w:p>
            <w:pPr>
              <w:spacing w:after="0"/>
            </w:pPr>
            <w:r>
              <w:rPr>
                <w:sz w:val="14"/>
              </w:rPr>
              <w:t>Gu prepares context; human authorizes; Gu continues execution.</w:t>
            </w:r>
          </w:p>
        </w:tc>
      </w:tr>
    </w:tbl>
    <w:p>
      <w:r>
        <w:t>The goal is not less human relationship. It is better use of human attention at the moments where relationship, negotiation, judgment and responsibility create the most value.</w:t>
      </w:r>
    </w:p>
    <w:p>
      <w:pPr>
        <w:pStyle w:val="Heading1"/>
      </w:pPr>
      <w:r>
        <w:t>10. Product experience and UI/UX</w:t>
      </w:r>
    </w:p>
    <w:p>
      <w:r>
        <w:t>Users should experience one Gu rather than a catalog of bots or modules.</w:t>
      </w:r>
    </w:p>
    <w:p>
      <w:r>
        <w:t>Conversation remains a primary control surface across web, WhatsApp, Telegram and future voice.</w:t>
      </w:r>
    </w:p>
    <w:p>
      <w:r>
        <w:t>When chat is insufficient, Gu surfaces a contextual rich view tied to the same work context and, when present, the same Case.</w:t>
      </w:r>
    </w:p>
    <w:p>
      <w:r>
        <w:t>Views are generally projections/interfaces over product truth rather than independent truth stores.</w:t>
      </w:r>
    </w:p>
    <w:p>
      <w:r>
        <w:t>The interface appears where the work requires it. The user should not navigate modules to find the work; Gu should bring the work — and the right interface — to the user.</w:t>
      </w:r>
    </w:p>
    <w:p>
      <w:pPr>
        <w:pStyle w:val="Heading1"/>
      </w:pPr>
      <w:r>
        <w:t>11. Capability strategy: OWN vs ORCHESTRATE</w:t>
      </w:r>
    </w:p>
    <w:p>
      <w:r>
        <w:t>Strategic ownership and implementation choice are separate decisions. Gu retains responsibility and continuity whether a capability is owned or orchestrated.</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4"/>
              </w:rPr>
              <w:t>Capability</w:t>
            </w:r>
          </w:p>
        </w:tc>
        <w:tc>
          <w:tcPr>
            <w:tcW w:type="dxa" w:w="5184"/>
            <w:shd w:fill="1F4E79"/>
          </w:tcPr>
          <w:p>
            <w:r>
              <w:rPr>
                <w:b/>
                <w:color w:val="FFFFFF"/>
                <w:sz w:val="14"/>
              </w:rPr>
              <w:t>Initial direction</w:t>
            </w:r>
          </w:p>
        </w:tc>
      </w:tr>
      <w:tr>
        <w:trPr>
          <w:cantSplit/>
        </w:trPr>
        <w:tc>
          <w:tcPr>
            <w:tcW w:type="dxa" w:w="5184"/>
            <w:vAlign w:val="top"/>
          </w:tcPr>
          <w:p>
            <w:pPr>
              <w:spacing w:after="0"/>
            </w:pPr>
            <w:r>
              <w:rPr>
                <w:sz w:val="13"/>
              </w:rPr>
              <w:t>Relationship opportunity management / follow-up</w:t>
            </w:r>
          </w:p>
        </w:tc>
        <w:tc>
          <w:tcPr>
            <w:tcW w:type="dxa" w:w="5184"/>
            <w:vAlign w:val="top"/>
          </w:tcPr>
          <w:p>
            <w:pPr>
              <w:spacing w:after="0"/>
            </w:pPr>
            <w:r>
              <w:rPr>
                <w:sz w:val="13"/>
              </w:rPr>
              <w:t>OWN the differentiating capability in Gu OS.</w:t>
            </w:r>
          </w:p>
        </w:tc>
      </w:tr>
      <w:tr>
        <w:trPr>
          <w:cantSplit/>
        </w:trPr>
        <w:tc>
          <w:tcPr>
            <w:tcW w:type="dxa" w:w="5184"/>
            <w:vAlign w:val="top"/>
          </w:tcPr>
          <w:p>
            <w:pPr>
              <w:spacing w:after="0"/>
            </w:pPr>
            <w:r>
              <w:rPr>
                <w:sz w:val="13"/>
              </w:rPr>
              <w:t>Property inventory</w:t>
            </w:r>
          </w:p>
        </w:tc>
        <w:tc>
          <w:tcPr>
            <w:tcW w:type="dxa" w:w="5184"/>
            <w:vAlign w:val="top"/>
          </w:tcPr>
          <w:p>
            <w:pPr>
              <w:spacing w:after="0"/>
            </w:pPr>
            <w:r>
              <w:rPr>
                <w:sz w:val="13"/>
              </w:rPr>
              <w:t>OWN the operating model/semantics Gu needs; ORCHESTRATE external inventory sources while useful/replaceable.</w:t>
            </w:r>
          </w:p>
        </w:tc>
      </w:tr>
      <w:tr>
        <w:trPr>
          <w:cantSplit/>
        </w:trPr>
        <w:tc>
          <w:tcPr>
            <w:tcW w:type="dxa" w:w="5184"/>
            <w:vAlign w:val="top"/>
          </w:tcPr>
          <w:p>
            <w:pPr>
              <w:spacing w:after="0"/>
            </w:pPr>
            <w:r>
              <w:rPr>
                <w:sz w:val="13"/>
              </w:rPr>
              <w:t>Portal publication</w:t>
            </w:r>
          </w:p>
        </w:tc>
        <w:tc>
          <w:tcPr>
            <w:tcW w:type="dxa" w:w="5184"/>
            <w:vAlign w:val="top"/>
          </w:tcPr>
          <w:p>
            <w:pPr>
              <w:spacing w:after="0"/>
            </w:pPr>
            <w:r>
              <w:rPr>
                <w:sz w:val="13"/>
              </w:rPr>
              <w:t>ORCHESTRATE external rails; Gu preserves intent, context, status, retries/evidence and consequences.</w:t>
            </w:r>
          </w:p>
        </w:tc>
      </w:tr>
      <w:tr>
        <w:trPr>
          <w:cantSplit/>
        </w:trPr>
        <w:tc>
          <w:tcPr>
            <w:tcW w:type="dxa" w:w="5184"/>
            <w:vAlign w:val="top"/>
          </w:tcPr>
          <w:p>
            <w:pPr>
              <w:spacing w:after="0"/>
            </w:pPr>
            <w:r>
              <w:rPr>
                <w:sz w:val="13"/>
              </w:rPr>
              <w:t>Shared Inventory</w:t>
            </w:r>
          </w:p>
        </w:tc>
        <w:tc>
          <w:tcPr>
            <w:tcW w:type="dxa" w:w="5184"/>
            <w:vAlign w:val="top"/>
          </w:tcPr>
          <w:p>
            <w:pPr>
              <w:spacing w:after="0"/>
            </w:pPr>
            <w:r>
              <w:rPr>
                <w:sz w:val="13"/>
              </w:rPr>
              <w:t>OWN + SCALE; strategic network capability whose challenge is liquidity, density, freshness and coverage.</w:t>
            </w:r>
          </w:p>
        </w:tc>
      </w:tr>
      <w:tr>
        <w:trPr>
          <w:cantSplit/>
        </w:trPr>
        <w:tc>
          <w:tcPr>
            <w:tcW w:type="dxa" w:w="5184"/>
            <w:vAlign w:val="top"/>
          </w:tcPr>
          <w:p>
            <w:pPr>
              <w:spacing w:after="0"/>
            </w:pPr>
            <w:r>
              <w:rPr>
                <w:sz w:val="13"/>
              </w:rPr>
              <w:t>Valuation</w:t>
            </w:r>
          </w:p>
        </w:tc>
        <w:tc>
          <w:tcPr>
            <w:tcW w:type="dxa" w:w="5184"/>
            <w:vAlign w:val="top"/>
          </w:tcPr>
          <w:p>
            <w:pPr>
              <w:spacing w:after="0"/>
            </w:pPr>
            <w:r>
              <w:rPr>
                <w:sz w:val="13"/>
              </w:rPr>
              <w:t>ORCHESTRATE today as a specialized replaceable engine; Gu preserves context, inputs, authorization and continuity.</w:t>
            </w:r>
          </w:p>
        </w:tc>
      </w:tr>
      <w:tr>
        <w:trPr>
          <w:cantSplit/>
        </w:trPr>
        <w:tc>
          <w:tcPr>
            <w:tcW w:type="dxa" w:w="5184"/>
            <w:vAlign w:val="top"/>
          </w:tcPr>
          <w:p>
            <w:pPr>
              <w:spacing w:after="0"/>
            </w:pPr>
            <w:r>
              <w:rPr>
                <w:sz w:val="13"/>
              </w:rPr>
              <w:t>Foundation models / calendar / advertising rails</w:t>
            </w:r>
          </w:p>
        </w:tc>
        <w:tc>
          <w:tcPr>
            <w:tcW w:type="dxa" w:w="5184"/>
            <w:vAlign w:val="top"/>
          </w:tcPr>
          <w:p>
            <w:pPr>
              <w:spacing w:after="0"/>
            </w:pPr>
            <w:r>
              <w:rPr>
                <w:sz w:val="13"/>
              </w:rPr>
              <w:t>ORCHESTRATE through replaceable providers unless the mechanism itself becomes differentiating.</w:t>
            </w:r>
          </w:p>
        </w:tc>
      </w:tr>
    </w:tbl>
    <w:p>
      <w:pPr>
        <w:pStyle w:val="Heading1"/>
      </w:pPr>
      <w:r>
        <w:t>12. Business Brain and company-specific intelligence</w:t>
      </w:r>
    </w:p>
    <w:p>
      <w:r>
        <w:t>Business Brain is an internal intelligence layer, not a separate product and not an operational action queue.</w:t>
      </w:r>
    </w:p>
    <w:p>
      <w:r>
        <w:t>It should help Gu progressively understand the company, customers, relationships, decisions, historical signals and reusable ways of working.</w:t>
      </w:r>
    </w:p>
    <w:p>
      <w:r>
        <w:t>It must not replace Cases, case_facts, transactional systems of record, explicit policies or authoritative decisions.</w:t>
      </w:r>
    </w:p>
    <w:p>
      <w:r>
        <w:t>Business Brain informs operational decisions; it does not replace operational truth.</w:t>
      </w:r>
    </w:p>
    <w:p>
      <w:pPr>
        <w:pStyle w:val="Heading1"/>
      </w:pPr>
      <w:r>
        <w:t>13. Product scope and non-goals</w:t>
      </w:r>
    </w:p>
    <w:p>
      <w:pPr>
        <w:pStyle w:val="ListBullet"/>
      </w:pPr>
      <w:r>
        <w:t>Generic arbitrary-agent development platform for end users.</w:t>
      </w:r>
    </w:p>
    <w:p>
      <w:pPr>
        <w:pStyle w:val="ListBullet"/>
      </w:pPr>
      <w:r>
        <w:t>Another chatbot or disconnected collection of AI features.</w:t>
      </w:r>
    </w:p>
    <w:p>
      <w:pPr>
        <w:pStyle w:val="ListBullet"/>
      </w:pPr>
      <w:r>
        <w:t>A standalone SaaS module for every domain.</w:t>
      </w:r>
    </w:p>
    <w:p>
      <w:pPr>
        <w:pStyle w:val="ListBullet"/>
      </w:pPr>
      <w:r>
        <w:t>Mandatory rip-and-replace of every CRM/provider.</w:t>
      </w:r>
    </w:p>
    <w:p>
      <w:pPr>
        <w:pStyle w:val="ListBullet"/>
      </w:pPr>
      <w:r>
        <w:t>Unconstrained autonomy or model-improvised permissions/economic rights.</w:t>
      </w:r>
    </w:p>
    <w:p>
      <w:pPr>
        <w:pStyle w:val="ListBullet"/>
      </w:pPr>
      <w:r>
        <w:t>Chat history or memory as the only operational truth.</w:t>
      </w:r>
    </w:p>
    <w:p>
      <w:pPr>
        <w:pStyle w:val="ListBullet"/>
      </w:pPr>
      <w:r>
        <w:t>Success measured mainly by messages, tool calls or task volume.</w:t>
      </w:r>
    </w:p>
    <w:p>
      <w:pPr>
        <w:pStyle w:val="ListBullet"/>
      </w:pPr>
      <w:r>
        <w:t>Immediate mass-market consumer marketplace / another national portal before supply and liquidity justify it.</w:t>
      </w:r>
    </w:p>
    <w:p>
      <w:pPr>
        <w:pStyle w:val="ListBullet"/>
      </w:pPr>
      <w:r>
        <w:t>Default disintermediation of the broker.</w:t>
      </w:r>
    </w:p>
    <w:p>
      <w:pPr>
        <w:pStyle w:val="Heading1"/>
      </w:pPr>
      <w:r>
        <w:t>14. Current / evolving / vision discipline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cantSplit/>
        </w:trPr>
        <w:tc>
          <w:tcPr>
            <w:tcW w:type="dxa" w:w="2592"/>
            <w:shd w:fill="1F4E79"/>
          </w:tcPr>
          <w:p>
            <w:r>
              <w:rPr>
                <w:b/>
                <w:color w:val="FFFFFF"/>
                <w:sz w:val="13"/>
              </w:rPr>
              <w:t>Area</w:t>
            </w:r>
          </w:p>
        </w:tc>
        <w:tc>
          <w:tcPr>
            <w:tcW w:type="dxa" w:w="2592"/>
            <w:shd w:fill="1F4E79"/>
          </w:tcPr>
          <w:p>
            <w:r>
              <w:rPr>
                <w:b/>
                <w:color w:val="FFFFFF"/>
                <w:sz w:val="13"/>
              </w:rPr>
              <w:t>Current / today</w:t>
            </w:r>
          </w:p>
        </w:tc>
        <w:tc>
          <w:tcPr>
            <w:tcW w:type="dxa" w:w="2592"/>
            <w:shd w:fill="1F4E79"/>
          </w:tcPr>
          <w:p>
            <w:r>
              <w:rPr>
                <w:b/>
                <w:color w:val="FFFFFF"/>
                <w:sz w:val="13"/>
              </w:rPr>
              <w:t>Next / evolving</w:t>
            </w:r>
          </w:p>
        </w:tc>
        <w:tc>
          <w:tcPr>
            <w:tcW w:type="dxa" w:w="2592"/>
            <w:shd w:fill="1F4E79"/>
          </w:tcPr>
          <w:p>
            <w:r>
              <w:rPr>
                <w:b/>
                <w:color w:val="FFFFFF"/>
                <w:sz w:val="13"/>
              </w:rPr>
              <w:t>Vision</w:t>
            </w:r>
          </w:p>
        </w:tc>
      </w:tr>
      <w:tr>
        <w:trPr>
          <w:cantSplit/>
        </w:trPr>
        <w:tc>
          <w:tcPr>
            <w:tcW w:type="dxa" w:w="2592"/>
            <w:vAlign w:val="top"/>
          </w:tcPr>
          <w:p>
            <w:pPr>
              <w:spacing w:after="0"/>
            </w:pPr>
            <w:r>
              <w:rPr>
                <w:sz w:val="12"/>
              </w:rPr>
              <w:t>Gu</w:t>
            </w:r>
          </w:p>
        </w:tc>
        <w:tc>
          <w:tcPr>
            <w:tcW w:type="dxa" w:w="2592"/>
            <w:vAlign w:val="top"/>
          </w:tcPr>
          <w:p>
            <w:pPr>
              <w:spacing w:after="0"/>
            </w:pPr>
            <w:r>
              <w:rPr>
                <w:sz w:val="12"/>
              </w:rPr>
              <w:t>Attention, matching, limited rules-based follow-up, visit support.</w:t>
            </w:r>
          </w:p>
        </w:tc>
        <w:tc>
          <w:tcPr>
            <w:tcW w:type="dxa" w:w="2592"/>
            <w:vAlign w:val="top"/>
          </w:tcPr>
          <w:p>
            <w:pPr>
              <w:spacing w:after="0"/>
            </w:pPr>
            <w:r>
              <w:rPr>
                <w:sz w:val="12"/>
              </w:rPr>
              <w:t>More cross-workflow work and contextual decisions.</w:t>
            </w:r>
          </w:p>
        </w:tc>
        <w:tc>
          <w:tcPr>
            <w:tcW w:type="dxa" w:w="2592"/>
            <w:vAlign w:val="top"/>
          </w:tcPr>
          <w:p>
            <w:pPr>
              <w:spacing w:after="0"/>
            </w:pPr>
            <w:r>
              <w:rPr>
                <w:sz w:val="12"/>
              </w:rPr>
              <w:t>Persistent coworker across the operation.</w:t>
            </w:r>
          </w:p>
        </w:tc>
      </w:tr>
      <w:tr>
        <w:trPr>
          <w:cantSplit/>
        </w:trPr>
        <w:tc>
          <w:tcPr>
            <w:tcW w:type="dxa" w:w="2592"/>
            <w:vAlign w:val="top"/>
          </w:tcPr>
          <w:p>
            <w:pPr>
              <w:spacing w:after="0"/>
            </w:pPr>
            <w:r>
              <w:rPr>
                <w:sz w:val="12"/>
              </w:rPr>
              <w:t>Operating Core</w:t>
            </w:r>
          </w:p>
        </w:tc>
        <w:tc>
          <w:tcPr>
            <w:tcW w:type="dxa" w:w="2592"/>
            <w:vAlign w:val="top"/>
          </w:tcPr>
          <w:p>
            <w:pPr>
              <w:spacing w:after="0"/>
            </w:pPr>
            <w:r>
              <w:rPr>
                <w:sz w:val="12"/>
              </w:rPr>
              <w:t>Operational Cases, events, waits, permissions/HITL, Skills/tools, memory, channels in varying maturity.</w:t>
            </w:r>
          </w:p>
        </w:tc>
        <w:tc>
          <w:tcPr>
            <w:tcW w:type="dxa" w:w="2592"/>
            <w:vAlign w:val="top"/>
          </w:tcPr>
          <w:p>
            <w:pPr>
              <w:spacing w:after="0"/>
            </w:pPr>
            <w:r>
              <w:rPr>
                <w:sz w:val="12"/>
              </w:rPr>
              <w:t>More flexible work, supervision, explicit human participation, stronger context/outcomes.</w:t>
            </w:r>
          </w:p>
        </w:tc>
        <w:tc>
          <w:tcPr>
            <w:tcW w:type="dxa" w:w="2592"/>
            <w:vAlign w:val="top"/>
          </w:tcPr>
          <w:p>
            <w:pPr>
              <w:spacing w:after="0"/>
            </w:pPr>
            <w:r>
              <w:rPr>
                <w:sz w:val="12"/>
              </w:rPr>
              <w:t>Reusable core across multiple domains.</w:t>
            </w:r>
          </w:p>
        </w:tc>
      </w:tr>
      <w:tr>
        <w:trPr>
          <w:cantSplit/>
        </w:trPr>
        <w:tc>
          <w:tcPr>
            <w:tcW w:type="dxa" w:w="2592"/>
            <w:vAlign w:val="top"/>
          </w:tcPr>
          <w:p>
            <w:pPr>
              <w:spacing w:after="0"/>
            </w:pPr>
            <w:r>
              <w:rPr>
                <w:sz w:val="12"/>
              </w:rPr>
              <w:t>Relationship Ops</w:t>
            </w:r>
          </w:p>
        </w:tc>
        <w:tc>
          <w:tcPr>
            <w:tcW w:type="dxa" w:w="2592"/>
            <w:vAlign w:val="top"/>
          </w:tcPr>
          <w:p>
            <w:pPr>
              <w:spacing w:after="0"/>
            </w:pPr>
            <w:r>
              <w:rPr>
                <w:sz w:val="12"/>
              </w:rPr>
              <w:t>Real conversion work already exists.</w:t>
            </w:r>
          </w:p>
        </w:tc>
        <w:tc>
          <w:tcPr>
            <w:tcW w:type="dxa" w:w="2592"/>
            <w:vAlign w:val="top"/>
          </w:tcPr>
          <w:p>
            <w:pPr>
              <w:spacing w:after="0"/>
            </w:pPr>
            <w:r>
              <w:rPr>
                <w:sz w:val="12"/>
              </w:rPr>
              <w:t>Lead Opportunity Cases, contextual next action, portfolio supervision.</w:t>
            </w:r>
          </w:p>
        </w:tc>
        <w:tc>
          <w:tcPr>
            <w:tcW w:type="dxa" w:w="2592"/>
            <w:vAlign w:val="top"/>
          </w:tcPr>
          <w:p>
            <w:pPr>
              <w:spacing w:after="0"/>
            </w:pPr>
            <w:r>
              <w:rPr>
                <w:sz w:val="12"/>
              </w:rPr>
              <w:t>Continuous relationship/opportunity operation.</w:t>
            </w:r>
          </w:p>
        </w:tc>
      </w:tr>
      <w:tr>
        <w:trPr>
          <w:cantSplit/>
        </w:trPr>
        <w:tc>
          <w:tcPr>
            <w:tcW w:type="dxa" w:w="2592"/>
            <w:vAlign w:val="top"/>
          </w:tcPr>
          <w:p>
            <w:pPr>
              <w:spacing w:after="0"/>
            </w:pPr>
            <w:r>
              <w:rPr>
                <w:sz w:val="12"/>
              </w:rPr>
              <w:t>Property Ops</w:t>
            </w:r>
          </w:p>
        </w:tc>
        <w:tc>
          <w:tcPr>
            <w:tcW w:type="dxa" w:w="2592"/>
            <w:vAlign w:val="top"/>
          </w:tcPr>
          <w:p>
            <w:pPr>
              <w:spacing w:after="0"/>
            </w:pPr>
            <w:r>
              <w:rPr>
                <w:sz w:val="12"/>
              </w:rPr>
              <w:t>Property Optioning, inventory sync and Shared Inventory in varying maturity.</w:t>
            </w:r>
          </w:p>
        </w:tc>
        <w:tc>
          <w:tcPr>
            <w:tcW w:type="dxa" w:w="2592"/>
            <w:vAlign w:val="top"/>
          </w:tcPr>
          <w:p>
            <w:pPr>
              <w:spacing w:after="0"/>
            </w:pPr>
            <w:r>
              <w:rPr>
                <w:sz w:val="12"/>
              </w:rPr>
              <w:t>More robust property state, publication/orchestration and repair.</w:t>
            </w:r>
          </w:p>
        </w:tc>
        <w:tc>
          <w:tcPr>
            <w:tcW w:type="dxa" w:w="2592"/>
            <w:vAlign w:val="top"/>
          </w:tcPr>
          <w:p>
            <w:pPr>
              <w:spacing w:after="0"/>
            </w:pPr>
            <w:r>
              <w:rPr>
                <w:sz w:val="12"/>
              </w:rPr>
              <w:t>Broader property lifecycle coverage.</w:t>
            </w:r>
          </w:p>
        </w:tc>
      </w:tr>
      <w:tr>
        <w:trPr>
          <w:cantSplit/>
        </w:trPr>
        <w:tc>
          <w:tcPr>
            <w:tcW w:type="dxa" w:w="2592"/>
            <w:vAlign w:val="top"/>
          </w:tcPr>
          <w:p>
            <w:pPr>
              <w:spacing w:after="0"/>
            </w:pPr>
            <w:r>
              <w:rPr>
                <w:sz w:val="12"/>
              </w:rPr>
              <w:t>Demand Ops</w:t>
            </w:r>
          </w:p>
        </w:tc>
        <w:tc>
          <w:tcPr>
            <w:tcW w:type="dxa" w:w="2592"/>
            <w:vAlign w:val="top"/>
          </w:tcPr>
          <w:p>
            <w:pPr>
              <w:spacing w:after="0"/>
            </w:pPr>
            <w:r>
              <w:rPr>
                <w:sz w:val="12"/>
              </w:rPr>
              <w:t>Partial source information; not end-to-end operation.</w:t>
            </w:r>
          </w:p>
        </w:tc>
        <w:tc>
          <w:tcPr>
            <w:tcW w:type="dxa" w:w="2592"/>
            <w:vAlign w:val="top"/>
          </w:tcPr>
          <w:p>
            <w:pPr>
              <w:spacing w:after="0"/>
            </w:pPr>
            <w:r>
              <w:rPr>
                <w:sz w:val="12"/>
              </w:rPr>
              <w:t>Campaign experiments and downstream attribution.</w:t>
            </w:r>
          </w:p>
        </w:tc>
        <w:tc>
          <w:tcPr>
            <w:tcW w:type="dxa" w:w="2592"/>
            <w:vAlign w:val="top"/>
          </w:tcPr>
          <w:p>
            <w:pPr>
              <w:spacing w:after="0"/>
            </w:pPr>
            <w:r>
              <w:rPr>
                <w:sz w:val="12"/>
              </w:rPr>
              <w:t>Continuous optimization toward visits/transactions.</w:t>
            </w:r>
          </w:p>
        </w:tc>
      </w:tr>
      <w:tr>
        <w:trPr>
          <w:cantSplit/>
        </w:trPr>
        <w:tc>
          <w:tcPr>
            <w:tcW w:type="dxa" w:w="2592"/>
            <w:vAlign w:val="top"/>
          </w:tcPr>
          <w:p>
            <w:pPr>
              <w:spacing w:after="0"/>
            </w:pPr>
            <w:r>
              <w:rPr>
                <w:sz w:val="12"/>
              </w:rPr>
              <w:t>Business Brain</w:t>
            </w:r>
          </w:p>
        </w:tc>
        <w:tc>
          <w:tcPr>
            <w:tcW w:type="dxa" w:w="2592"/>
            <w:vAlign w:val="top"/>
          </w:tcPr>
          <w:p>
            <w:pPr>
              <w:spacing w:after="0"/>
            </w:pPr>
            <w:r>
              <w:rPr>
                <w:sz w:val="12"/>
              </w:rPr>
              <w:t>Limited memory/business_brain mechanisms.</w:t>
            </w:r>
          </w:p>
        </w:tc>
        <w:tc>
          <w:tcPr>
            <w:tcW w:type="dxa" w:w="2592"/>
            <w:vAlign w:val="top"/>
          </w:tcPr>
          <w:p>
            <w:pPr>
              <w:spacing w:after="0"/>
            </w:pPr>
            <w:r>
              <w:rPr>
                <w:sz w:val="12"/>
              </w:rPr>
              <w:t>Richer organizational context, relations, signals, cross-Case knowledge.</w:t>
            </w:r>
          </w:p>
        </w:tc>
        <w:tc>
          <w:tcPr>
            <w:tcW w:type="dxa" w:w="2592"/>
            <w:vAlign w:val="top"/>
          </w:tcPr>
          <w:p>
            <w:pPr>
              <w:spacing w:after="0"/>
            </w:pPr>
            <w:r>
              <w:rPr>
                <w:sz w:val="12"/>
              </w:rPr>
              <w:t>Governed company-specific intelligence/learning.</w:t>
            </w:r>
          </w:p>
        </w:tc>
      </w:tr>
      <w:tr>
        <w:trPr>
          <w:cantSplit/>
        </w:trPr>
        <w:tc>
          <w:tcPr>
            <w:tcW w:type="dxa" w:w="2592"/>
            <w:vAlign w:val="top"/>
          </w:tcPr>
          <w:p>
            <w:pPr>
              <w:spacing w:after="0"/>
            </w:pPr>
            <w:r>
              <w:rPr>
                <w:sz w:val="12"/>
              </w:rPr>
              <w:t>Network</w:t>
            </w:r>
          </w:p>
        </w:tc>
        <w:tc>
          <w:tcPr>
            <w:tcW w:type="dxa" w:w="2592"/>
            <w:vAlign w:val="top"/>
          </w:tcPr>
          <w:p>
            <w:pPr>
              <w:spacing w:after="0"/>
            </w:pPr>
            <w:r>
              <w:rPr>
                <w:sz w:val="12"/>
              </w:rPr>
              <w:t>Shared Inventory + integrated services.</w:t>
            </w:r>
          </w:p>
        </w:tc>
        <w:tc>
          <w:tcPr>
            <w:tcW w:type="dxa" w:w="2592"/>
            <w:vAlign w:val="top"/>
          </w:tcPr>
          <w:p>
            <w:pPr>
              <w:spacing w:after="0"/>
            </w:pPr>
            <w:r>
              <w:rPr>
                <w:sz w:val="12"/>
              </w:rPr>
              <w:t>More liquidity and governed opportunity rules.</w:t>
            </w:r>
          </w:p>
        </w:tc>
        <w:tc>
          <w:tcPr>
            <w:tcW w:type="dxa" w:w="2592"/>
            <w:vAlign w:val="top"/>
          </w:tcPr>
          <w:p>
            <w:pPr>
              <w:spacing w:after="0"/>
            </w:pPr>
            <w:r>
              <w:rPr>
                <w:sz w:val="12"/>
              </w:rPr>
              <w:t>Broader real-estate operating network/ecosystem.</w:t>
            </w:r>
          </w:p>
        </w:tc>
      </w:tr>
    </w:tbl>
    <w:p>
      <w:pPr>
        <w:pStyle w:val="Heading1"/>
      </w:pPr>
      <w:r>
        <w:t>15. Success metrics</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4"/>
              </w:rPr>
              <w:t>Dimension</w:t>
            </w:r>
          </w:p>
        </w:tc>
        <w:tc>
          <w:tcPr>
            <w:tcW w:type="dxa" w:w="5184"/>
            <w:shd w:fill="1F4E79"/>
          </w:tcPr>
          <w:p>
            <w:r>
              <w:rPr>
                <w:b/>
                <w:color w:val="FFFFFF"/>
                <w:sz w:val="14"/>
              </w:rPr>
              <w:t>Examples</w:t>
            </w:r>
          </w:p>
        </w:tc>
      </w:tr>
      <w:tr>
        <w:trPr>
          <w:cantSplit/>
        </w:trPr>
        <w:tc>
          <w:tcPr>
            <w:tcW w:type="dxa" w:w="5184"/>
            <w:vAlign w:val="top"/>
          </w:tcPr>
          <w:p>
            <w:pPr>
              <w:spacing w:after="0"/>
            </w:pPr>
            <w:r>
              <w:rPr>
                <w:sz w:val="14"/>
              </w:rPr>
              <w:t>Business outcomes</w:t>
            </w:r>
          </w:p>
        </w:tc>
        <w:tc>
          <w:tcPr>
            <w:tcW w:type="dxa" w:w="5184"/>
            <w:vAlign w:val="top"/>
          </w:tcPr>
          <w:p>
            <w:pPr>
              <w:spacing w:after="0"/>
            </w:pPr>
            <w:r>
              <w:rPr>
                <w:sz w:val="14"/>
              </w:rPr>
              <w:t>Visit requests, attended visits, properties published, approvals obtained, opportunities advanced, transaction signals, revenue/opportunity preserved.</w:t>
            </w:r>
          </w:p>
        </w:tc>
      </w:tr>
      <w:tr>
        <w:trPr>
          <w:cantSplit/>
        </w:trPr>
        <w:tc>
          <w:tcPr>
            <w:tcW w:type="dxa" w:w="5184"/>
            <w:vAlign w:val="top"/>
          </w:tcPr>
          <w:p>
            <w:pPr>
              <w:spacing w:after="0"/>
            </w:pPr>
            <w:r>
              <w:rPr>
                <w:sz w:val="14"/>
              </w:rPr>
              <w:t>Operational outcomes</w:t>
            </w:r>
          </w:p>
        </w:tc>
        <w:tc>
          <w:tcPr>
            <w:tcW w:type="dxa" w:w="5184"/>
            <w:vAlign w:val="top"/>
          </w:tcPr>
          <w:p>
            <w:pPr>
              <w:spacing w:after="0"/>
            </w:pPr>
            <w:r>
              <w:rPr>
                <w:sz w:val="14"/>
              </w:rPr>
              <w:t>Capacity returned, fewer stale/missed opportunities, lower coordination burden, fewer corrections/rework, reliable evidence, better-directed human attention.</w:t>
            </w:r>
          </w:p>
        </w:tc>
      </w:tr>
      <w:tr>
        <w:trPr>
          <w:cantSplit/>
        </w:trPr>
        <w:tc>
          <w:tcPr>
            <w:tcW w:type="dxa" w:w="5184"/>
            <w:vAlign w:val="top"/>
          </w:tcPr>
          <w:p>
            <w:pPr>
              <w:spacing w:after="0"/>
            </w:pPr>
            <w:r>
              <w:rPr>
                <w:sz w:val="14"/>
              </w:rPr>
              <w:t>Commercial proof</w:t>
            </w:r>
          </w:p>
        </w:tc>
        <w:tc>
          <w:tcPr>
            <w:tcW w:type="dxa" w:w="5184"/>
            <w:vAlign w:val="top"/>
          </w:tcPr>
          <w:p>
            <w:pPr>
              <w:spacing w:after="0"/>
            </w:pPr>
            <w:r>
              <w:rPr>
                <w:sz w:val="14"/>
              </w:rPr>
              <w:t>Acquire → activate → first valuable work → pay → consume → reload → retain → expand.</w:t>
            </w:r>
          </w:p>
        </w:tc>
      </w:tr>
      <w:tr>
        <w:trPr>
          <w:cantSplit/>
        </w:trPr>
        <w:tc>
          <w:tcPr>
            <w:tcW w:type="dxa" w:w="5184"/>
            <w:vAlign w:val="top"/>
          </w:tcPr>
          <w:p>
            <w:pPr>
              <w:spacing w:after="0"/>
            </w:pPr>
            <w:r>
              <w:rPr>
                <w:sz w:val="14"/>
              </w:rPr>
              <w:t>Productization proof</w:t>
            </w:r>
          </w:p>
        </w:tc>
        <w:tc>
          <w:tcPr>
            <w:tcW w:type="dxa" w:w="5184"/>
            <w:vAlign w:val="top"/>
          </w:tcPr>
          <w:p>
            <w:pPr>
              <w:spacing w:after="0"/>
            </w:pPr>
            <w:r>
              <w:rPr>
                <w:sz w:val="14"/>
              </w:rPr>
              <w:t>Repeated deployment/configuration/integration without bespoke consulting.</w:t>
            </w:r>
          </w:p>
        </w:tc>
      </w:tr>
      <w:tr>
        <w:trPr>
          <w:cantSplit/>
        </w:trPr>
        <w:tc>
          <w:tcPr>
            <w:tcW w:type="dxa" w:w="5184"/>
            <w:vAlign w:val="top"/>
          </w:tcPr>
          <w:p>
            <w:pPr>
              <w:spacing w:after="0"/>
            </w:pPr>
            <w:r>
              <w:rPr>
                <w:sz w:val="14"/>
              </w:rPr>
              <w:t>Delegation proof</w:t>
            </w:r>
          </w:p>
        </w:tc>
        <w:tc>
          <w:tcPr>
            <w:tcW w:type="dxa" w:w="5184"/>
            <w:vAlign w:val="top"/>
          </w:tcPr>
          <w:p>
            <w:pPr>
              <w:spacing w:after="0"/>
            </w:pPr>
            <w:r>
              <w:rPr>
                <w:sz w:val="14"/>
              </w:rPr>
              <w:t>Customers entrust Gu with an increasing amount of economically meaningful work over time.</w:t>
            </w:r>
          </w:p>
        </w:tc>
      </w:tr>
    </w:tbl>
    <w:p>
      <w:pPr>
        <w:pStyle w:val="Heading1"/>
      </w:pPr>
      <w:r>
        <w:t>16. Pricing / economic implications</w:t>
      </w:r>
    </w:p>
    <w:p>
      <w:r>
        <w:t>Pricing and model-routing economics should reflect customer heterogeneity. A useful framing is operational intensity × economic value per opportunity. Low-ticket rentals and high-value sales support different economics. Repeated consumption/reload is more meaningful than first load alone.</w:t>
      </w:r>
    </w:p>
    <w:p>
      <w:pPr>
        <w:pStyle w:val="Heading1"/>
      </w:pPr>
      <w:r>
        <w:t>17. Competitive positioning</w:t>
      </w:r>
    </w:p>
    <w:p>
      <w:r>
        <w:t>The alternatives include the human-coordinated status quo, outsourced services, vertical SaaS/CRM with AI, point vertical agents, general-purpose AI coworkers, vertical AI operating systems, DIY agent platforms, and networks/marketplaces.</w:t>
      </w:r>
    </w:p>
    <w:p/>
    <w:tbl>
      <w:tblPr>
        <w:tblStyle w:val="TableGrid"/>
        <w:tblW w:type="auto" w:w="0"/>
        <w:tblLook w:firstColumn="1" w:firstRow="1" w:lastColumn="0" w:lastRow="0" w:noHBand="0" w:noVBand="1" w:val="04A0"/>
      </w:tblPr>
      <w:tblGrid>
        <w:gridCol w:w="10368"/>
      </w:tblGrid>
      <w:tr>
        <w:tc>
          <w:tcPr>
            <w:tcW w:type="dxa" w:w="10368"/>
            <w:shd w:fill="E2F0D9"/>
          </w:tcPr>
          <w:p>
            <w:r>
              <w:rPr>
                <w:b/>
                <w:color w:val="1F4E79"/>
                <w:sz w:val="18"/>
              </w:rPr>
              <w:t xml:space="preserve">Differentiation thesis.  </w:t>
            </w:r>
            <w:r>
              <w:rPr>
                <w:sz w:val="18"/>
              </w:rPr>
              <w:t>Productized real-estate operating intelligence = vertical semantics + durable operational work + company-specific context + governed execution + outcome feedback + network/ecosystem reach.</w:t>
            </w:r>
          </w:p>
        </w:tc>
      </w:tr>
    </w:tbl>
    <w:p/>
    <w:p>
      <w:pPr>
        <w:pStyle w:val="Heading1"/>
      </w:pPr>
      <w:r>
        <w:t>18. Product roadmap framing</w:t>
      </w:r>
    </w:p>
    <w:p>
      <w:r>
        <w:t>The PRD defines direction, not detailed delivery sequencing. Near-term roadmap work should connect the revenue loop, reuse the shared operating core, produce verifiable downstream outcomes, be repeatable across customers, avoid bespoke consulting, compound context/evidence and remain executable for a small team rather than expanding into every plausible domain at once.</w:t>
      </w:r>
    </w:p>
    <w:p>
      <w:pPr>
        <w:pStyle w:val="Heading1"/>
      </w:pPr>
      <w:r>
        <w:t>19. Open product questions</w:t>
      </w:r>
    </w:p>
    <w:p>
      <w:pPr>
        <w:pStyle w:val="ListNumber"/>
      </w:pPr>
      <w:r>
        <w:t>Precise near-term ICP by operational intensity, opportunity economics and deployment complexity?</w:t>
      </w:r>
    </w:p>
    <w:p>
      <w:pPr>
        <w:pStyle w:val="ListNumber"/>
      </w:pPr>
      <w:r>
        <w:t>Minimum Relationship Operations responsibility to productize first and create a visibly better outcome?</w:t>
      </w:r>
    </w:p>
    <w:p>
      <w:pPr>
        <w:pStyle w:val="ListNumber"/>
      </w:pPr>
      <w:r>
        <w:t>Boundary between bounded lead work, Lead Opportunity Case and downstream Transaction Case?</w:t>
      </w:r>
    </w:p>
    <w:p>
      <w:pPr>
        <w:pStyle w:val="ListNumber"/>
      </w:pPr>
      <w:r>
        <w:t>Which downstream outcomes are sufficiently observable/verified today for optimization and pricing?</w:t>
      </w:r>
    </w:p>
    <w:p>
      <w:pPr>
        <w:pStyle w:val="ListNumber"/>
      </w:pPr>
      <w:r>
        <w:t>How should Demand Operations enter without diluting the conversion wedge before repeatability is proven?</w:t>
      </w:r>
    </w:p>
    <w:p>
      <w:pPr>
        <w:pStyle w:val="ListNumber"/>
      </w:pPr>
      <w:r>
        <w:t>Which contextual views create the highest leverage while preserving One Gu?</w:t>
      </w:r>
    </w:p>
    <w:p>
      <w:pPr>
        <w:pStyle w:val="ListNumber"/>
      </w:pPr>
      <w:r>
        <w:t>Which capabilities should move from ORCHESTRATE to OWN as evidence accumulates?</w:t>
      </w:r>
    </w:p>
    <w:p>
      <w:pPr>
        <w:pStyle w:val="ListNumber"/>
      </w:pPr>
      <w:r>
        <w:t>What evidence should justify graduating autonomy operation by operation?</w:t>
      </w:r>
    </w:p>
    <w:p>
      <w:pPr>
        <w:pStyle w:val="ListNumber"/>
      </w:pPr>
      <w:r>
        <w:t>What minimum Business Brain capability creates value before broad organizational cognition exists?</w:t>
      </w:r>
    </w:p>
    <w:p>
      <w:pPr>
        <w:pStyle w:val="ListNumber"/>
      </w:pPr>
      <w:r>
        <w:t>What metrics define repeatable Gu OS deployment versus a successful custom pilot?</w:t>
      </w:r>
    </w:p>
    <w:p>
      <w:pPr>
        <w:pStyle w:val="ListNumber"/>
      </w:pPr>
      <w:r>
        <w:t>When does consumer discovery become justified by Shared Inventory density/liquidity?</w:t>
      </w:r>
    </w:p>
    <w:p>
      <w:pPr>
        <w:pStyle w:val="ListNumber"/>
      </w:pPr>
      <w:r>
        <w:t>What is the canonical product metric hierarchy beneath work delegated and outcomes produced?</w:t>
      </w:r>
    </w:p>
    <w:p>
      <w:pPr>
        <w:pStyle w:val="ListNumber"/>
      </w:pPr>
      <w:r>
        <w:t>Where can network effects be created without premature distraction toward a mass consumer marketplace?</w:t>
      </w:r>
    </w:p>
    <w:p>
      <w:pPr>
        <w:pStyle w:val="ListNumber"/>
      </w:pPr>
      <w:r>
        <w:t>How should the ambitious long-term vision be translated into an executable roadmap for a small team?</w:t>
      </w:r>
    </w:p>
    <w:p>
      <w:pPr>
        <w:pStyle w:val="Heading1"/>
      </w:pPr>
      <w:r>
        <w:t>20. Relationship to other canonical artifacts</w:t>
      </w:r>
    </w:p>
    <w:tbl>
      <w:tblPr>
        <w:tblStyle w:val="TableGrid"/>
        <w:tblW w:type="auto" w:w="0"/>
        <w:jc w:val="center"/>
        <w:tblLayout w:type="autofit"/>
        <w:tblLook w:firstColumn="1" w:firstRow="1" w:lastColumn="0" w:lastRow="0" w:noHBand="0" w:noVBand="1" w:val="04A0"/>
      </w:tblPr>
      <w:tblGrid>
        <w:gridCol w:w="5184"/>
        <w:gridCol w:w="5184"/>
      </w:tblGrid>
      <w:tr>
        <w:trPr>
          <w:cantSplit/>
        </w:trPr>
        <w:tc>
          <w:tcPr>
            <w:tcW w:type="dxa" w:w="5184"/>
            <w:shd w:fill="1F4E79"/>
          </w:tcPr>
          <w:p>
            <w:r>
              <w:rPr>
                <w:b/>
                <w:color w:val="FFFFFF"/>
                <w:sz w:val="14"/>
              </w:rPr>
              <w:t>Artifact</w:t>
            </w:r>
          </w:p>
        </w:tc>
        <w:tc>
          <w:tcPr>
            <w:tcW w:type="dxa" w:w="5184"/>
            <w:shd w:fill="1F4E79"/>
          </w:tcPr>
          <w:p>
            <w:r>
              <w:rPr>
                <w:b/>
                <w:color w:val="FFFFFF"/>
                <w:sz w:val="14"/>
              </w:rPr>
              <w:t>Owns</w:t>
            </w:r>
          </w:p>
        </w:tc>
      </w:tr>
      <w:tr>
        <w:trPr>
          <w:cantSplit/>
        </w:trPr>
        <w:tc>
          <w:tcPr>
            <w:tcW w:type="dxa" w:w="5184"/>
            <w:vAlign w:val="top"/>
          </w:tcPr>
          <w:p>
            <w:pPr>
              <w:spacing w:after="0"/>
            </w:pPr>
            <w:r>
              <w:rPr>
                <w:sz w:val="14"/>
              </w:rPr>
              <w:t>Principles &amp; Design Doctrine</w:t>
            </w:r>
          </w:p>
        </w:tc>
        <w:tc>
          <w:tcPr>
            <w:tcW w:type="dxa" w:w="5184"/>
            <w:vAlign w:val="top"/>
          </w:tcPr>
          <w:p>
            <w:pPr>
              <w:spacing w:after="0"/>
            </w:pPr>
            <w:r>
              <w:rPr>
                <w:sz w:val="14"/>
              </w:rPr>
              <w:t>Canonical values, principles, invariants and patterns.</w:t>
            </w:r>
          </w:p>
        </w:tc>
      </w:tr>
      <w:tr>
        <w:trPr>
          <w:cantSplit/>
        </w:trPr>
        <w:tc>
          <w:tcPr>
            <w:tcW w:type="dxa" w:w="5184"/>
            <w:vAlign w:val="top"/>
          </w:tcPr>
          <w:p>
            <w:pPr>
              <w:spacing w:after="0"/>
            </w:pPr>
            <w:r>
              <w:rPr>
                <w:sz w:val="14"/>
              </w:rPr>
              <w:t>Development Methodology</w:t>
            </w:r>
          </w:p>
        </w:tc>
        <w:tc>
          <w:tcPr>
            <w:tcW w:type="dxa" w:w="5184"/>
            <w:vAlign w:val="top"/>
          </w:tcPr>
          <w:p>
            <w:pPr>
              <w:spacing w:after="0"/>
            </w:pPr>
            <w:r>
              <w:rPr>
                <w:sz w:val="14"/>
              </w:rPr>
              <w:t>How humans + coding agents design, build, verify, release and evolve.</w:t>
            </w:r>
          </w:p>
        </w:tc>
      </w:tr>
      <w:tr>
        <w:trPr>
          <w:cantSplit/>
        </w:trPr>
        <w:tc>
          <w:tcPr>
            <w:tcW w:type="dxa" w:w="5184"/>
            <w:vAlign w:val="top"/>
          </w:tcPr>
          <w:p>
            <w:pPr>
              <w:spacing w:after="0"/>
            </w:pPr>
            <w:r>
              <w:rPr>
                <w:sz w:val="14"/>
              </w:rPr>
              <w:t>Feature / Business Specs</w:t>
            </w:r>
          </w:p>
        </w:tc>
        <w:tc>
          <w:tcPr>
            <w:tcW w:type="dxa" w:w="5184"/>
            <w:vAlign w:val="top"/>
          </w:tcPr>
          <w:p>
            <w:pPr>
              <w:spacing w:after="0"/>
            </w:pPr>
            <w:r>
              <w:rPr>
                <w:sz w:val="14"/>
              </w:rPr>
              <w:t>Exact intended behavior.</w:t>
            </w:r>
          </w:p>
        </w:tc>
      </w:tr>
      <w:tr>
        <w:trPr>
          <w:cantSplit/>
        </w:trPr>
        <w:tc>
          <w:tcPr>
            <w:tcW w:type="dxa" w:w="5184"/>
            <w:vAlign w:val="top"/>
          </w:tcPr>
          <w:p>
            <w:pPr>
              <w:spacing w:after="0"/>
            </w:pPr>
            <w:r>
              <w:rPr>
                <w:sz w:val="14"/>
              </w:rPr>
              <w:t>Architecture manuals / ADRs</w:t>
            </w:r>
          </w:p>
        </w:tc>
        <w:tc>
          <w:tcPr>
            <w:tcW w:type="dxa" w:w="5184"/>
            <w:vAlign w:val="top"/>
          </w:tcPr>
          <w:p>
            <w:pPr>
              <w:spacing w:after="0"/>
            </w:pPr>
            <w:r>
              <w:rPr>
                <w:sz w:val="14"/>
              </w:rPr>
              <w:t>Technical boundaries and accepted design decisions.</w:t>
            </w:r>
          </w:p>
        </w:tc>
      </w:tr>
      <w:tr>
        <w:trPr>
          <w:cantSplit/>
        </w:trPr>
        <w:tc>
          <w:tcPr>
            <w:tcW w:type="dxa" w:w="5184"/>
            <w:vAlign w:val="top"/>
          </w:tcPr>
          <w:p>
            <w:pPr>
              <w:spacing w:after="0"/>
            </w:pPr>
            <w:r>
              <w:rPr>
                <w:sz w:val="14"/>
              </w:rPr>
              <w:t>Technical Plans</w:t>
            </w:r>
          </w:p>
        </w:tc>
        <w:tc>
          <w:tcPr>
            <w:tcW w:type="dxa" w:w="5184"/>
            <w:vAlign w:val="top"/>
          </w:tcPr>
          <w:p>
            <w:pPr>
              <w:spacing w:after="0"/>
            </w:pPr>
            <w:r>
              <w:rPr>
                <w:sz w:val="14"/>
              </w:rPr>
              <w:t>Implementation design.</w:t>
            </w:r>
          </w:p>
        </w:tc>
      </w:tr>
      <w:tr>
        <w:trPr>
          <w:cantSplit/>
        </w:trPr>
        <w:tc>
          <w:tcPr>
            <w:tcW w:type="dxa" w:w="5184"/>
            <w:vAlign w:val="top"/>
          </w:tcPr>
          <w:p>
            <w:pPr>
              <w:spacing w:after="0"/>
            </w:pPr>
            <w:r>
              <w:rPr>
                <w:sz w:val="14"/>
              </w:rPr>
              <w:t>Code / migrations / config</w:t>
            </w:r>
          </w:p>
        </w:tc>
        <w:tc>
          <w:tcPr>
            <w:tcW w:type="dxa" w:w="5184"/>
            <w:vAlign w:val="top"/>
          </w:tcPr>
          <w:p>
            <w:pPr>
              <w:spacing w:after="0"/>
            </w:pPr>
            <w:r>
              <w:rPr>
                <w:sz w:val="14"/>
              </w:rPr>
              <w:t>Implemented reality.</w:t>
            </w:r>
          </w:p>
        </w:tc>
      </w:tr>
      <w:tr>
        <w:trPr>
          <w:cantSplit/>
        </w:trPr>
        <w:tc>
          <w:tcPr>
            <w:tcW w:type="dxa" w:w="5184"/>
            <w:vAlign w:val="top"/>
          </w:tcPr>
          <w:p>
            <w:pPr>
              <w:spacing w:after="0"/>
            </w:pPr>
            <w:r>
              <w:rPr>
                <w:sz w:val="14"/>
              </w:rPr>
              <w:t>Tests / evals / readiness / release evidence</w:t>
            </w:r>
          </w:p>
        </w:tc>
        <w:tc>
          <w:tcPr>
            <w:tcW w:type="dxa" w:w="5184"/>
            <w:vAlign w:val="top"/>
          </w:tcPr>
          <w:p>
            <w:pPr>
              <w:spacing w:after="0"/>
            </w:pPr>
            <w:r>
              <w:rPr>
                <w:sz w:val="14"/>
              </w:rPr>
              <w:t>Verification.</w:t>
            </w:r>
          </w:p>
        </w:tc>
      </w:tr>
      <w:tr>
        <w:trPr>
          <w:cantSplit/>
        </w:trPr>
        <w:tc>
          <w:tcPr>
            <w:tcW w:type="dxa" w:w="5184"/>
            <w:vAlign w:val="top"/>
          </w:tcPr>
          <w:p>
            <w:pPr>
              <w:spacing w:after="0"/>
            </w:pPr>
            <w:r>
              <w:rPr>
                <w:sz w:val="14"/>
              </w:rPr>
              <w:t>Roadmap</w:t>
            </w:r>
          </w:p>
        </w:tc>
        <w:tc>
          <w:tcPr>
            <w:tcW w:type="dxa" w:w="5184"/>
            <w:vAlign w:val="top"/>
          </w:tcPr>
          <w:p>
            <w:pPr>
              <w:spacing w:after="0"/>
            </w:pPr>
            <w:r>
              <w:rPr>
                <w:sz w:val="14"/>
              </w:rPr>
              <w:t>Sequencing and evidence gates.</w:t>
            </w:r>
          </w:p>
        </w:tc>
      </w:tr>
      <w:tr>
        <w:trPr>
          <w:cantSplit/>
        </w:trPr>
        <w:tc>
          <w:tcPr>
            <w:tcW w:type="dxa" w:w="5184"/>
            <w:vAlign w:val="top"/>
          </w:tcPr>
          <w:p>
            <w:pPr>
              <w:spacing w:after="0"/>
            </w:pPr>
            <w:r>
              <w:rPr>
                <w:sz w:val="14"/>
              </w:rPr>
              <w:t>Investor Narrative / Team Primer / Cofounder Strategic Vision</w:t>
            </w:r>
          </w:p>
        </w:tc>
        <w:tc>
          <w:tcPr>
            <w:tcW w:type="dxa" w:w="5184"/>
            <w:vAlign w:val="top"/>
          </w:tcPr>
          <w:p>
            <w:pPr>
              <w:spacing w:after="0"/>
            </w:pPr>
            <w:r>
              <w:rPr>
                <w:sz w:val="14"/>
              </w:rPr>
              <w:t>Audience-specific narrative/alignment sources reconciled into product intent.</w:t>
            </w:r>
          </w:p>
        </w:tc>
      </w:tr>
    </w:tbl>
    <w:p>
      <w:pPr>
        <w:pStyle w:val="Heading1"/>
      </w:pPr>
      <w:r>
        <w:t>21. Source-status discipline</w:t>
      </w:r>
    </w:p>
    <w:p>
      <w:r>
        <w:t>This PRD intentionally distinguishes Current / demonstrated, Evolving / next, Hypothesis / strategic bet, and Vision. Architecture design is not automatically product proof, and older narrative status can become stale as implementation advances.</w:t>
      </w:r>
    </w:p>
    <w:p>
      <w:pPr>
        <w:pStyle w:val="Heading1"/>
      </w:pPr>
      <w:r>
        <w:t>Appendix A — Primary sources reconciled into v0.1.1</w:t>
      </w:r>
    </w:p>
    <w:p>
      <w:pPr>
        <w:pStyle w:val="ListBullet"/>
      </w:pPr>
      <w:r>
        <w:t>Ungga Investor Narrative Backbone v0.6.</w:t>
      </w:r>
    </w:p>
    <w:p>
      <w:pPr>
        <w:pStyle w:val="ListBullet"/>
      </w:pPr>
      <w:r>
        <w:t>Ungga — From Gu to Gu OS Team Primer v1.2.</w:t>
      </w:r>
    </w:p>
    <w:p>
      <w:pPr>
        <w:pStyle w:val="ListBullet"/>
      </w:pPr>
      <w:r>
        <w:t>Ungga — Gu to Gu OS Visión Estratégica para Cofundadores v1.1.</w:t>
      </w:r>
    </w:p>
    <w:p>
      <w:pPr>
        <w:pStyle w:val="ListBullet"/>
      </w:pPr>
      <w:r>
        <w:t>10 Principios de Arquitectura y Producto v0.1.</w:t>
      </w:r>
    </w:p>
    <w:p>
      <w:pPr>
        <w:pStyle w:val="ListBullet"/>
      </w:pPr>
      <w:r>
        <w:t>Gu OS Technical Architecture, Operating Model &amp; Evolution Blueprint v1.0.</w:t>
      </w:r>
    </w:p>
    <w:p>
      <w:pPr>
        <w:pStyle w:val="ListBullet"/>
      </w:pPr>
      <w:r>
        <w:t>Current repo documentation authority map (docs/README.md).</w:t>
      </w:r>
    </w:p>
    <w:p>
      <w:pPr>
        <w:pStyle w:val="ListBullet"/>
      </w:pPr>
      <w:r>
        <w:t>Historical docs/brief.md used only for still-valid provenance, not as current product definition.</w:t>
      </w:r>
    </w:p>
    <w:p>
      <w:pPr>
        <w:pStyle w:val="ListBullet"/>
      </w:pPr>
      <w:r>
        <w:t>Gu OS Documentation &amp; Agent Context Architecture Audit v0.1.</w:t>
      </w:r>
    </w:p>
    <w:p>
      <w:pPr>
        <w:pStyle w:val="Heading1"/>
      </w:pPr>
      <w:r>
        <w:t>Appendix B — What this PRD deliberately does not absorb</w:t>
      </w:r>
    </w:p>
    <w:p>
      <w:pPr>
        <w:pStyle w:val="ListBullet"/>
      </w:pPr>
      <w:r>
        <w:t>detailed runtime architecture</w:t>
      </w:r>
    </w:p>
    <w:p>
      <w:pPr>
        <w:pStyle w:val="ListBullet"/>
      </w:pPr>
      <w:r>
        <w:t>table schemas/migrations</w:t>
      </w:r>
    </w:p>
    <w:p>
      <w:pPr>
        <w:pStyle w:val="ListBullet"/>
      </w:pPr>
      <w:r>
        <w:t>detailed Workflow Studio contracts</w:t>
      </w:r>
    </w:p>
    <w:p>
      <w:pPr>
        <w:pStyle w:val="ListBullet"/>
      </w:pPr>
      <w:r>
        <w:t>exhaustive workflow/Case specs</w:t>
      </w:r>
    </w:p>
    <w:p>
      <w:pPr>
        <w:pStyle w:val="ListBullet"/>
      </w:pPr>
      <w:r>
        <w:t>ADR rationale</w:t>
      </w:r>
    </w:p>
    <w:p>
      <w:pPr>
        <w:pStyle w:val="ListBullet"/>
      </w:pPr>
      <w:r>
        <w:t>implementation slices</w:t>
      </w:r>
    </w:p>
    <w:p>
      <w:pPr>
        <w:pStyle w:val="ListBullet"/>
      </w:pPr>
      <w:r>
        <w:t>testing framework detail</w:t>
      </w:r>
    </w:p>
    <w:p>
      <w:pPr>
        <w:pStyle w:val="ListBullet"/>
      </w:pPr>
      <w:r>
        <w:t>CI/release mechanics</w:t>
      </w:r>
    </w:p>
    <w:p>
      <w:pPr>
        <w:pStyle w:val="ListBullet"/>
      </w:pPr>
      <w:r>
        <w:t>agent instruction files</w:t>
      </w:r>
    </w:p>
    <w:p>
      <w:pPr>
        <w:pStyle w:val="ListBullet"/>
      </w:pPr>
      <w:r>
        <w:t>investor-specific traction/fundraising copy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Internal working document | v0.1.1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4"/>
      </w:rPr>
      <w:t>UNGGA | GU / GU OS PRODUCT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 Gu OS Product Requirements Document v0.1.1</dc:title>
  <dc:subject>Product intent reconciled with Cofounder Strategic Vision v1.1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