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 OS Roadmap Revalidation</w:t>
        <w:br/>
        <w:t>&amp; Proposed Sequencing</w:t>
      </w:r>
    </w:p>
    <w:p>
      <w:r>
        <w:rPr>
          <w:b/>
        </w:rPr>
        <w:t>v0.1 — Reconcile old roadmap with PRD, Doctrine and current repo reality</w:t>
      </w:r>
    </w:p>
    <w:p/>
    <w:tbl>
      <w:tblPr>
        <w:tblStyle w:val="TableGrid"/>
        <w:tblW w:type="auto" w:w="0"/>
        <w:tblLook w:firstColumn="1" w:firstRow="1" w:lastColumn="0" w:lastRow="0" w:noHBand="0" w:noVBand="1" w:val="04A0"/>
      </w:tblPr>
      <w:tblGrid>
        <w:gridCol w:w="10454"/>
      </w:tblGrid>
      <w:tr>
        <w:tc>
          <w:tcPr>
            <w:tcW w:type="dxa" w:w="10454"/>
            <w:shd w:fill="E2F0D9"/>
            <w:tcMar>
              <w:top w:w="100" w:type="dxa"/>
              <w:start w:w="120" w:type="dxa"/>
              <w:bottom w:w="100" w:type="dxa"/>
              <w:end w:w="120" w:type="dxa"/>
            </w:tcMar>
          </w:tcPr>
          <w:p>
            <w:r>
              <w:rPr>
                <w:b/>
                <w:color w:val="1F4E79"/>
                <w:sz w:val="18"/>
              </w:rPr>
              <w:t xml:space="preserve">Executive conclusion.  </w:t>
            </w:r>
            <w:r>
              <w:rPr>
                <w:sz w:val="18"/>
              </w:rPr>
              <w:t>The current business-brain-evolution-roadmap.md should no longer remain the canonical parent roadmap in its present form. It was valuable as an evolutionary plan when Skills, Heartbeat, Business Brain JSONB and Operational Cases were emerging, but it now mixes historical implementation, business narrative, external inspiration and technical design. The repo has already progressed through most of those foundations. The canonical roadmap should become a much shorter Gu OS Evolution Roadmap focused on sequencing, dependencies and evidence gates.</w:t>
            </w:r>
          </w:p>
        </w:tc>
      </w:tr>
    </w:tbl>
    <w:p/>
    <w:p>
      <w:pPr>
        <w:pStyle w:val="Heading1"/>
      </w:pPr>
      <w:r>
        <w:t>1. Why revalidation is necessary</w:t>
      </w:r>
    </w:p>
    <w:p>
      <w:r>
        <w:t>The Product PRD now owns product intent: one Gu, one operating system, increasingly delegable real-estate work, operating domains and business outcomes.</w:t>
      </w:r>
    </w:p>
    <w:p>
      <w:r>
        <w:t>The Principles &amp; Design Doctrine now owns recurring product/architecture rules and invariants.</w:t>
      </w:r>
    </w:p>
    <w:p>
      <w:r>
        <w:t>Topic architecture plans and ADRs already own detailed runtime design.</w:t>
      </w:r>
    </w:p>
    <w:p>
      <w:r>
        <w:t>Therefore the roadmap no longer needs to be the place where product narrative, external inspiration, Skill architecture and implementation checklists are all repeated.</w:t>
      </w:r>
    </w:p>
    <w:p>
      <w:pPr>
        <w:pStyle w:val="Heading1"/>
      </w:pPr>
      <w:r>
        <w:t>2. What the old roadmap gets right</w:t>
      </w:r>
    </w:p>
    <w:tbl>
      <w:tblPr>
        <w:tblStyle w:val="TableGrid"/>
        <w:tblW w:type="auto" w:w="0"/>
        <w:jc w:val="center"/>
        <w:tblLayout w:type="autofit"/>
        <w:tblLook w:firstColumn="1" w:firstRow="1" w:lastColumn="0" w:lastRow="0" w:noHBand="0" w:noVBand="1" w:val="04A0"/>
      </w:tblPr>
      <w:tblGrid>
        <w:gridCol w:w="5227"/>
        <w:gridCol w:w="5227"/>
      </w:tblGrid>
      <w:tr>
        <w:trPr>
          <w:tblHeader/>
          <w:cantSplit/>
        </w:trPr>
        <w:tc>
          <w:tcPr>
            <w:tcW w:type="dxa" w:w="5227"/>
            <w:shd w:fill="1F4E79"/>
            <w:tcMar>
              <w:top w:w="65" w:type="dxa"/>
              <w:start w:w="80" w:type="dxa"/>
              <w:bottom w:w="65" w:type="dxa"/>
              <w:end w:w="80" w:type="dxa"/>
            </w:tcMar>
            <w:vAlign w:val="center"/>
          </w:tcPr>
          <w:p>
            <w:r>
              <w:rPr>
                <w:b/>
                <w:color w:val="FFFFFF"/>
                <w:sz w:val="15"/>
              </w:rPr>
              <w:t>Still valuable</w:t>
            </w:r>
          </w:p>
        </w:tc>
        <w:tc>
          <w:tcPr>
            <w:tcW w:type="dxa" w:w="5227"/>
            <w:shd w:fill="1F4E79"/>
            <w:tcMar>
              <w:top w:w="65" w:type="dxa"/>
              <w:start w:w="80" w:type="dxa"/>
              <w:bottom w:w="65" w:type="dxa"/>
              <w:end w:w="80" w:type="dxa"/>
            </w:tcMar>
            <w:vAlign w:val="center"/>
          </w:tcPr>
          <w:p>
            <w:r>
              <w:rPr>
                <w:b/>
                <w:color w:val="FFFFFF"/>
                <w:sz w:val="15"/>
              </w:rPr>
              <w:t>Disposition</w:t>
            </w:r>
          </w:p>
        </w:tc>
      </w:tr>
      <w:tr>
        <w:trPr>
          <w:cantSplit/>
        </w:trPr>
        <w:tc>
          <w:tcPr>
            <w:tcW w:type="dxa" w:w="5227"/>
            <w:tcMar>
              <w:top w:w="65" w:type="dxa"/>
              <w:start w:w="80" w:type="dxa"/>
              <w:bottom w:w="65" w:type="dxa"/>
              <w:end w:w="80" w:type="dxa"/>
            </w:tcMar>
            <w:vAlign w:val="top"/>
          </w:tcPr>
          <w:p>
            <w:pPr>
              <w:spacing w:after="0"/>
            </w:pPr>
            <w:r>
              <w:rPr>
                <w:sz w:val="14"/>
              </w:rPr>
              <w:t>Evolution rather than rebuild</w:t>
            </w:r>
          </w:p>
        </w:tc>
        <w:tc>
          <w:tcPr>
            <w:tcW w:type="dxa" w:w="5227"/>
            <w:tcMar>
              <w:top w:w="65" w:type="dxa"/>
              <w:start w:w="80" w:type="dxa"/>
              <w:bottom w:w="65" w:type="dxa"/>
              <w:end w:w="80" w:type="dxa"/>
            </w:tcMar>
            <w:vAlign w:val="top"/>
          </w:tcPr>
          <w:p>
            <w:pPr>
              <w:spacing w:after="0"/>
            </w:pPr>
            <w:r>
              <w:rPr>
                <w:sz w:val="14"/>
              </w:rPr>
              <w:t>Keep as sequencing doctrine: preserve proven Gu behavior and absorb progressively.</w:t>
            </w:r>
          </w:p>
        </w:tc>
      </w:tr>
      <w:tr>
        <w:trPr>
          <w:cantSplit/>
        </w:trPr>
        <w:tc>
          <w:tcPr>
            <w:tcW w:type="dxa" w:w="5227"/>
            <w:tcMar>
              <w:top w:w="65" w:type="dxa"/>
              <w:start w:w="80" w:type="dxa"/>
              <w:bottom w:w="65" w:type="dxa"/>
              <w:end w:w="80" w:type="dxa"/>
            </w:tcMar>
            <w:vAlign w:val="top"/>
          </w:tcPr>
          <w:p>
            <w:pPr>
              <w:spacing w:after="0"/>
            </w:pPr>
            <w:r>
              <w:rPr>
                <w:sz w:val="14"/>
              </w:rPr>
              <w:t>Skills vs tools, progressive disclosure and provider/agent caution</w:t>
            </w:r>
          </w:p>
        </w:tc>
        <w:tc>
          <w:tcPr>
            <w:tcW w:type="dxa" w:w="5227"/>
            <w:tcMar>
              <w:top w:w="65" w:type="dxa"/>
              <w:start w:w="80" w:type="dxa"/>
              <w:bottom w:w="65" w:type="dxa"/>
              <w:end w:w="80" w:type="dxa"/>
            </w:tcMar>
            <w:vAlign w:val="top"/>
          </w:tcPr>
          <w:p>
            <w:pPr>
              <w:spacing w:after="0"/>
            </w:pPr>
            <w:r>
              <w:rPr>
                <w:sz w:val="14"/>
              </w:rPr>
              <w:t>Keep in Skills/Tools architecture and Doctrine; no need to restate at roadmap length.</w:t>
            </w:r>
          </w:p>
        </w:tc>
      </w:tr>
      <w:tr>
        <w:trPr>
          <w:cantSplit/>
        </w:trPr>
        <w:tc>
          <w:tcPr>
            <w:tcW w:type="dxa" w:w="5227"/>
            <w:tcMar>
              <w:top w:w="65" w:type="dxa"/>
              <w:start w:w="80" w:type="dxa"/>
              <w:bottom w:w="65" w:type="dxa"/>
              <w:end w:w="80" w:type="dxa"/>
            </w:tcMar>
            <w:vAlign w:val="top"/>
          </w:tcPr>
          <w:p>
            <w:pPr>
              <w:spacing w:after="0"/>
            </w:pPr>
            <w:r>
              <w:rPr>
                <w:sz w:val="14"/>
              </w:rPr>
              <w:t>Heartbeat vs scheduled-task distinction</w:t>
            </w:r>
          </w:p>
        </w:tc>
        <w:tc>
          <w:tcPr>
            <w:tcW w:type="dxa" w:w="5227"/>
            <w:tcMar>
              <w:top w:w="65" w:type="dxa"/>
              <w:start w:w="80" w:type="dxa"/>
              <w:bottom w:w="65" w:type="dxa"/>
              <w:end w:w="80" w:type="dxa"/>
            </w:tcMar>
            <w:vAlign w:val="top"/>
          </w:tcPr>
          <w:p>
            <w:pPr>
              <w:spacing w:after="0"/>
            </w:pPr>
            <w:r>
              <w:rPr>
                <w:sz w:val="14"/>
              </w:rPr>
              <w:t>Keep in Proactivity architecture; roadmap should only mention it if a product increment depends on it.</w:t>
            </w:r>
          </w:p>
        </w:tc>
      </w:tr>
      <w:tr>
        <w:trPr>
          <w:cantSplit/>
        </w:trPr>
        <w:tc>
          <w:tcPr>
            <w:tcW w:type="dxa" w:w="5227"/>
            <w:tcMar>
              <w:top w:w="65" w:type="dxa"/>
              <w:start w:w="80" w:type="dxa"/>
              <w:bottom w:w="65" w:type="dxa"/>
              <w:end w:w="80" w:type="dxa"/>
            </w:tcMar>
            <w:vAlign w:val="top"/>
          </w:tcPr>
          <w:p>
            <w:pPr>
              <w:spacing w:after="0"/>
            </w:pPr>
            <w:r>
              <w:rPr>
                <w:sz w:val="14"/>
              </w:rPr>
              <w:t>Tenant safety / HITL / no arbitrary skill scripts</w:t>
            </w:r>
          </w:p>
        </w:tc>
        <w:tc>
          <w:tcPr>
            <w:tcW w:type="dxa" w:w="5227"/>
            <w:tcMar>
              <w:top w:w="65" w:type="dxa"/>
              <w:start w:w="80" w:type="dxa"/>
              <w:bottom w:w="65" w:type="dxa"/>
              <w:end w:w="80" w:type="dxa"/>
            </w:tcMar>
            <w:vAlign w:val="top"/>
          </w:tcPr>
          <w:p>
            <w:pPr>
              <w:spacing w:after="0"/>
            </w:pPr>
            <w:r>
              <w:rPr>
                <w:sz w:val="14"/>
              </w:rPr>
              <w:t>Keep as Doctrine/invariants and technical controls.</w:t>
            </w:r>
          </w:p>
        </w:tc>
      </w:tr>
      <w:tr>
        <w:trPr>
          <w:cantSplit/>
        </w:trPr>
        <w:tc>
          <w:tcPr>
            <w:tcW w:type="dxa" w:w="5227"/>
            <w:tcMar>
              <w:top w:w="65" w:type="dxa"/>
              <w:start w:w="80" w:type="dxa"/>
              <w:bottom w:w="65" w:type="dxa"/>
              <w:end w:w="80" w:type="dxa"/>
            </w:tcMar>
            <w:vAlign w:val="top"/>
          </w:tcPr>
          <w:p>
            <w:pPr>
              <w:spacing w:after="0"/>
            </w:pPr>
            <w:r>
              <w:rPr>
                <w:sz w:val="14"/>
              </w:rPr>
              <w:t>Brain as future compiled knowledge, not only raw retrieval</w:t>
            </w:r>
          </w:p>
        </w:tc>
        <w:tc>
          <w:tcPr>
            <w:tcW w:type="dxa" w:w="5227"/>
            <w:tcMar>
              <w:top w:w="65" w:type="dxa"/>
              <w:start w:w="80" w:type="dxa"/>
              <w:bottom w:w="65" w:type="dxa"/>
              <w:end w:w="80" w:type="dxa"/>
            </w:tcMar>
            <w:vAlign w:val="top"/>
          </w:tcPr>
          <w:p>
            <w:pPr>
              <w:spacing w:after="0"/>
            </w:pPr>
            <w:r>
              <w:rPr>
                <w:sz w:val="14"/>
              </w:rPr>
              <w:t>Keep in Brain plan, triggered by product need.</w:t>
            </w:r>
          </w:p>
        </w:tc>
      </w:tr>
      <w:tr>
        <w:trPr>
          <w:cantSplit/>
        </w:trPr>
        <w:tc>
          <w:tcPr>
            <w:tcW w:type="dxa" w:w="5227"/>
            <w:tcMar>
              <w:top w:w="65" w:type="dxa"/>
              <w:start w:w="80" w:type="dxa"/>
              <w:bottom w:w="65" w:type="dxa"/>
              <w:end w:w="80" w:type="dxa"/>
            </w:tcMar>
            <w:vAlign w:val="top"/>
          </w:tcPr>
          <w:p>
            <w:pPr>
              <w:spacing w:after="0"/>
            </w:pPr>
            <w:r>
              <w:rPr>
                <w:sz w:val="14"/>
              </w:rPr>
              <w:t>Evidence-driven subagents / dynamic routing</w:t>
            </w:r>
          </w:p>
        </w:tc>
        <w:tc>
          <w:tcPr>
            <w:tcW w:type="dxa" w:w="5227"/>
            <w:tcMar>
              <w:top w:w="65" w:type="dxa"/>
              <w:start w:w="80" w:type="dxa"/>
              <w:bottom w:w="65" w:type="dxa"/>
              <w:end w:w="80" w:type="dxa"/>
            </w:tcMar>
            <w:vAlign w:val="top"/>
          </w:tcPr>
          <w:p>
            <w:pPr>
              <w:spacing w:after="0"/>
            </w:pPr>
            <w:r>
              <w:rPr>
                <w:sz w:val="14"/>
              </w:rPr>
              <w:t>Keep as conditional technical options, not a fixed top-level product phase.</w:t>
            </w:r>
          </w:p>
        </w:tc>
      </w:tr>
    </w:tbl>
    <w:p>
      <w:pPr>
        <w:pStyle w:val="Heading1"/>
      </w:pPr>
      <w:r>
        <w:t>3. Major mismatches with current reality</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cantSplit/>
        </w:trPr>
        <w:tc>
          <w:tcPr>
            <w:tcW w:type="dxa" w:w="3485"/>
            <w:shd w:fill="1F4E79"/>
            <w:tcMar>
              <w:top w:w="65" w:type="dxa"/>
              <w:start w:w="80" w:type="dxa"/>
              <w:bottom w:w="65" w:type="dxa"/>
              <w:end w:w="80" w:type="dxa"/>
            </w:tcMar>
            <w:vAlign w:val="center"/>
          </w:tcPr>
          <w:p>
            <w:r>
              <w:rPr>
                <w:b/>
                <w:color w:val="FFFFFF"/>
                <w:sz w:val="14"/>
              </w:rPr>
              <w:t>Mismatch</w:t>
            </w:r>
          </w:p>
        </w:tc>
        <w:tc>
          <w:tcPr>
            <w:tcW w:type="dxa" w:w="3485"/>
            <w:shd w:fill="1F4E79"/>
            <w:tcMar>
              <w:top w:w="65" w:type="dxa"/>
              <w:start w:w="80" w:type="dxa"/>
              <w:bottom w:w="65" w:type="dxa"/>
              <w:end w:w="80" w:type="dxa"/>
            </w:tcMar>
            <w:vAlign w:val="center"/>
          </w:tcPr>
          <w:p>
            <w:r>
              <w:rPr>
                <w:b/>
                <w:color w:val="FFFFFF"/>
                <w:sz w:val="14"/>
              </w:rPr>
              <w:t>Why it matters now</w:t>
            </w:r>
          </w:p>
        </w:tc>
        <w:tc>
          <w:tcPr>
            <w:tcW w:type="dxa" w:w="3485"/>
            <w:shd w:fill="1F4E79"/>
            <w:tcMar>
              <w:top w:w="65" w:type="dxa"/>
              <w:start w:w="80" w:type="dxa"/>
              <w:bottom w:w="65" w:type="dxa"/>
              <w:end w:w="80" w:type="dxa"/>
            </w:tcMar>
            <w:vAlign w:val="center"/>
          </w:tcPr>
          <w:p>
            <w:r>
              <w:rPr>
                <w:b/>
                <w:color w:val="FFFFFF"/>
                <w:sz w:val="14"/>
              </w:rPr>
              <w:t>Recommended treatment</w:t>
            </w:r>
          </w:p>
        </w:tc>
      </w:tr>
      <w:tr>
        <w:trPr>
          <w:cantSplit/>
        </w:trPr>
        <w:tc>
          <w:tcPr>
            <w:tcW w:type="dxa" w:w="3485"/>
            <w:tcMar>
              <w:top w:w="65" w:type="dxa"/>
              <w:start w:w="80" w:type="dxa"/>
              <w:bottom w:w="65" w:type="dxa"/>
              <w:end w:w="80" w:type="dxa"/>
            </w:tcMar>
            <w:vAlign w:val="top"/>
          </w:tcPr>
          <w:p>
            <w:pPr>
              <w:spacing w:after="0"/>
            </w:pPr>
            <w:r>
              <w:rPr>
                <w:sz w:val="13"/>
              </w:rPr>
              <w:t>V1-A through V1.7 are presented as active/future sequencing.</w:t>
            </w:r>
          </w:p>
        </w:tc>
        <w:tc>
          <w:tcPr>
            <w:tcW w:type="dxa" w:w="3485"/>
            <w:tcMar>
              <w:top w:w="65" w:type="dxa"/>
              <w:start w:w="80" w:type="dxa"/>
              <w:bottom w:w="65" w:type="dxa"/>
              <w:end w:w="80" w:type="dxa"/>
            </w:tcMar>
            <w:vAlign w:val="top"/>
          </w:tcPr>
          <w:p>
            <w:pPr>
              <w:spacing w:after="0"/>
            </w:pPr>
            <w:r>
              <w:rPr>
                <w:sz w:val="13"/>
              </w:rPr>
              <w:t>Skills, Heartbeat, account_skills and Operational Cases are already implemented foundations; the repo has progressed far beyond them.</w:t>
            </w:r>
          </w:p>
        </w:tc>
        <w:tc>
          <w:tcPr>
            <w:tcW w:type="dxa" w:w="3485"/>
            <w:tcMar>
              <w:top w:w="65" w:type="dxa"/>
              <w:start w:w="80" w:type="dxa"/>
              <w:bottom w:w="65" w:type="dxa"/>
              <w:end w:w="80" w:type="dxa"/>
            </w:tcMar>
            <w:vAlign w:val="top"/>
          </w:tcPr>
          <w:p>
            <w:pPr>
              <w:spacing w:after="0"/>
            </w:pPr>
            <w:r>
              <w:rPr>
                <w:sz w:val="13"/>
              </w:rPr>
              <w:t>Move to historical baseline / Git history; do not keep them as future roadmap phases.</w:t>
            </w:r>
          </w:p>
        </w:tc>
      </w:tr>
      <w:tr>
        <w:trPr>
          <w:cantSplit/>
        </w:trPr>
        <w:tc>
          <w:tcPr>
            <w:tcW w:type="dxa" w:w="3485"/>
            <w:tcMar>
              <w:top w:w="65" w:type="dxa"/>
              <w:start w:w="80" w:type="dxa"/>
              <w:bottom w:w="65" w:type="dxa"/>
              <w:end w:w="80" w:type="dxa"/>
            </w:tcMar>
            <w:vAlign w:val="top"/>
          </w:tcPr>
          <w:p>
            <w:pPr>
              <w:spacing w:after="0"/>
            </w:pPr>
            <w:r>
              <w:rPr>
                <w:sz w:val="13"/>
              </w:rPr>
              <w:t>Roadmap title and framing center 'Business Brain'.</w:t>
            </w:r>
          </w:p>
        </w:tc>
        <w:tc>
          <w:tcPr>
            <w:tcW w:type="dxa" w:w="3485"/>
            <w:tcMar>
              <w:top w:w="65" w:type="dxa"/>
              <w:start w:w="80" w:type="dxa"/>
              <w:bottom w:w="65" w:type="dxa"/>
              <w:end w:w="80" w:type="dxa"/>
            </w:tcMar>
            <w:vAlign w:val="top"/>
          </w:tcPr>
          <w:p>
            <w:pPr>
              <w:spacing w:after="0"/>
            </w:pPr>
            <w:r>
              <w:rPr>
                <w:sz w:val="13"/>
              </w:rPr>
              <w:t>The PRD defines Gu OS as the parent product; Brain is one intelligence/knowledge layer and its own plan explicitly says it follows workflows.</w:t>
            </w:r>
          </w:p>
        </w:tc>
        <w:tc>
          <w:tcPr>
            <w:tcW w:type="dxa" w:w="3485"/>
            <w:tcMar>
              <w:top w:w="65" w:type="dxa"/>
              <w:start w:w="80" w:type="dxa"/>
              <w:bottom w:w="65" w:type="dxa"/>
              <w:end w:w="80" w:type="dxa"/>
            </w:tcMar>
            <w:vAlign w:val="top"/>
          </w:tcPr>
          <w:p>
            <w:pPr>
              <w:spacing w:after="0"/>
            </w:pPr>
            <w:r>
              <w:rPr>
                <w:sz w:val="13"/>
              </w:rPr>
              <w:t>Rename parent roadmap to Gu OS Evolution Roadmap; keep Brain as evidence-gated workstream.</w:t>
            </w:r>
          </w:p>
        </w:tc>
      </w:tr>
      <w:tr>
        <w:trPr>
          <w:cantSplit/>
        </w:trPr>
        <w:tc>
          <w:tcPr>
            <w:tcW w:type="dxa" w:w="3485"/>
            <w:tcMar>
              <w:top w:w="65" w:type="dxa"/>
              <w:start w:w="80" w:type="dxa"/>
              <w:bottom w:w="65" w:type="dxa"/>
              <w:end w:w="80" w:type="dxa"/>
            </w:tcMar>
            <w:vAlign w:val="top"/>
          </w:tcPr>
          <w:p>
            <w:pPr>
              <w:spacing w:after="0"/>
            </w:pPr>
            <w:r>
              <w:rPr>
                <w:sz w:val="13"/>
              </w:rPr>
              <w:t>Business Brain is described as umbrella for work + personal assistant life.</w:t>
            </w:r>
          </w:p>
        </w:tc>
        <w:tc>
          <w:tcPr>
            <w:tcW w:type="dxa" w:w="3485"/>
            <w:tcMar>
              <w:top w:w="65" w:type="dxa"/>
              <w:start w:w="80" w:type="dxa"/>
              <w:bottom w:w="65" w:type="dxa"/>
              <w:end w:w="80" w:type="dxa"/>
            </w:tcMar>
            <w:vAlign w:val="top"/>
          </w:tcPr>
          <w:p>
            <w:pPr>
              <w:spacing w:after="0"/>
            </w:pPr>
            <w:r>
              <w:rPr>
                <w:sz w:val="13"/>
              </w:rPr>
              <w:t>Current product intent is vertically real-estate-focused, and current Brain architecture gives Business Brain a specific knowledge role rather than 'everything the assistant needs'.</w:t>
            </w:r>
          </w:p>
        </w:tc>
        <w:tc>
          <w:tcPr>
            <w:tcW w:type="dxa" w:w="3485"/>
            <w:tcMar>
              <w:top w:w="65" w:type="dxa"/>
              <w:start w:w="80" w:type="dxa"/>
              <w:bottom w:w="65" w:type="dxa"/>
              <w:end w:w="80" w:type="dxa"/>
            </w:tcMar>
            <w:vAlign w:val="top"/>
          </w:tcPr>
          <w:p>
            <w:pPr>
              <w:spacing w:after="0"/>
            </w:pPr>
            <w:r>
              <w:rPr>
                <w:sz w:val="13"/>
              </w:rPr>
              <w:t>Remove umbrella framing from canonical product roadmap. Personal capabilities can remain optional product capabilities without redefining the parent strategy.</w:t>
            </w:r>
          </w:p>
        </w:tc>
      </w:tr>
      <w:tr>
        <w:trPr>
          <w:cantSplit/>
        </w:trPr>
        <w:tc>
          <w:tcPr>
            <w:tcW w:type="dxa" w:w="3485"/>
            <w:tcMar>
              <w:top w:w="65" w:type="dxa"/>
              <w:start w:w="80" w:type="dxa"/>
              <w:bottom w:w="65" w:type="dxa"/>
              <w:end w:w="80" w:type="dxa"/>
            </w:tcMar>
            <w:vAlign w:val="top"/>
          </w:tcPr>
          <w:p>
            <w:pPr>
              <w:spacing w:after="0"/>
            </w:pPr>
            <w:r>
              <w:rPr>
                <w:sz w:val="13"/>
              </w:rPr>
              <w:t>The roadmap says it is both business narrative and technical delivery plan.</w:t>
            </w:r>
          </w:p>
        </w:tc>
        <w:tc>
          <w:tcPr>
            <w:tcW w:type="dxa" w:w="3485"/>
            <w:tcMar>
              <w:top w:w="65" w:type="dxa"/>
              <w:start w:w="80" w:type="dxa"/>
              <w:bottom w:w="65" w:type="dxa"/>
              <w:end w:w="80" w:type="dxa"/>
            </w:tcMar>
            <w:vAlign w:val="top"/>
          </w:tcPr>
          <w:p>
            <w:pPr>
              <w:spacing w:after="0"/>
            </w:pPr>
            <w:r>
              <w:rPr>
                <w:sz w:val="13"/>
              </w:rPr>
              <w:t>Those responsibilities now have explicit owners: PRD, Doctrine, Architecture/ADRs, Technical Plans and Methodology.</w:t>
            </w:r>
          </w:p>
        </w:tc>
        <w:tc>
          <w:tcPr>
            <w:tcW w:type="dxa" w:w="3485"/>
            <w:tcMar>
              <w:top w:w="65" w:type="dxa"/>
              <w:start w:w="80" w:type="dxa"/>
              <w:bottom w:w="65" w:type="dxa"/>
              <w:end w:w="80" w:type="dxa"/>
            </w:tcMar>
            <w:vAlign w:val="top"/>
          </w:tcPr>
          <w:p>
            <w:pPr>
              <w:spacing w:after="0"/>
            </w:pPr>
            <w:r>
              <w:rPr>
                <w:sz w:val="13"/>
              </w:rPr>
              <w:t>Roadmap should own sequence/status/dependencies/evidence only.</w:t>
            </w:r>
          </w:p>
        </w:tc>
      </w:tr>
      <w:tr>
        <w:trPr>
          <w:cantSplit/>
        </w:trPr>
        <w:tc>
          <w:tcPr>
            <w:tcW w:type="dxa" w:w="3485"/>
            <w:tcMar>
              <w:top w:w="65" w:type="dxa"/>
              <w:start w:w="80" w:type="dxa"/>
              <w:bottom w:w="65" w:type="dxa"/>
              <w:end w:w="80" w:type="dxa"/>
            </w:tcMar>
            <w:vAlign w:val="top"/>
          </w:tcPr>
          <w:p>
            <w:pPr>
              <w:spacing w:after="0"/>
            </w:pPr>
            <w:r>
              <w:rPr>
                <w:sz w:val="13"/>
              </w:rPr>
              <w:t>V3 bundles organization/memberships with dynamic multi-skill router/subagents.</w:t>
            </w:r>
          </w:p>
        </w:tc>
        <w:tc>
          <w:tcPr>
            <w:tcW w:type="dxa" w:w="3485"/>
            <w:tcMar>
              <w:top w:w="65" w:type="dxa"/>
              <w:start w:w="80" w:type="dxa"/>
              <w:bottom w:w="65" w:type="dxa"/>
              <w:end w:w="80" w:type="dxa"/>
            </w:tcMar>
            <w:vAlign w:val="top"/>
          </w:tcPr>
          <w:p>
            <w:pPr>
              <w:spacing w:after="0"/>
            </w:pPr>
            <w:r>
              <w:rPr>
                <w:sz w:val="13"/>
              </w:rPr>
              <w:t>Those solve unrelated product/technical problems and have different triggers.</w:t>
            </w:r>
          </w:p>
        </w:tc>
        <w:tc>
          <w:tcPr>
            <w:tcW w:type="dxa" w:w="3485"/>
            <w:tcMar>
              <w:top w:w="65" w:type="dxa"/>
              <w:start w:w="80" w:type="dxa"/>
              <w:bottom w:w="65" w:type="dxa"/>
              <w:end w:w="80" w:type="dxa"/>
            </w:tcMar>
            <w:vAlign w:val="top"/>
          </w:tcPr>
          <w:p>
            <w:pPr>
              <w:spacing w:after="0"/>
            </w:pPr>
            <w:r>
              <w:rPr>
                <w:sz w:val="13"/>
              </w:rPr>
              <w:t>Decouple them. Organization is a deployment/authorization enabler; subagents/routing are evidence-gated execution patterns.</w:t>
            </w:r>
          </w:p>
        </w:tc>
      </w:tr>
      <w:tr>
        <w:trPr>
          <w:cantSplit/>
        </w:trPr>
        <w:tc>
          <w:tcPr>
            <w:tcW w:type="dxa" w:w="3485"/>
            <w:tcMar>
              <w:top w:w="65" w:type="dxa"/>
              <w:start w:w="80" w:type="dxa"/>
              <w:bottom w:w="65" w:type="dxa"/>
              <w:end w:w="80" w:type="dxa"/>
            </w:tcMar>
            <w:vAlign w:val="top"/>
          </w:tcPr>
          <w:p>
            <w:pPr>
              <w:spacing w:after="0"/>
            </w:pPr>
            <w:r>
              <w:rPr>
                <w:sz w:val="13"/>
              </w:rPr>
              <w:t>V4+ 'Governance' is a later phase.</w:t>
            </w:r>
          </w:p>
        </w:tc>
        <w:tc>
          <w:tcPr>
            <w:tcW w:type="dxa" w:w="3485"/>
            <w:tcMar>
              <w:top w:w="65" w:type="dxa"/>
              <w:start w:w="80" w:type="dxa"/>
              <w:bottom w:w="65" w:type="dxa"/>
              <w:end w:w="80" w:type="dxa"/>
            </w:tcMar>
            <w:vAlign w:val="top"/>
          </w:tcPr>
          <w:p>
            <w:pPr>
              <w:spacing w:after="0"/>
            </w:pPr>
            <w:r>
              <w:rPr>
                <w:sz w:val="13"/>
              </w:rPr>
              <w:t>Governance, approvals, evidence, authorization and rollback are already cross-cutting and substantially implemented.</w:t>
            </w:r>
          </w:p>
        </w:tc>
        <w:tc>
          <w:tcPr>
            <w:tcW w:type="dxa" w:w="3485"/>
            <w:tcMar>
              <w:top w:w="65" w:type="dxa"/>
              <w:start w:w="80" w:type="dxa"/>
              <w:bottom w:w="65" w:type="dxa"/>
              <w:end w:w="80" w:type="dxa"/>
            </w:tcMar>
            <w:vAlign w:val="top"/>
          </w:tcPr>
          <w:p>
            <w:pPr>
              <w:spacing w:after="0"/>
            </w:pPr>
            <w:r>
              <w:rPr>
                <w:sz w:val="13"/>
              </w:rPr>
              <w:t>Treat governance as continuous doctrine, not a later feature bucket.</w:t>
            </w:r>
          </w:p>
        </w:tc>
      </w:tr>
      <w:tr>
        <w:trPr>
          <w:cantSplit/>
        </w:trPr>
        <w:tc>
          <w:tcPr>
            <w:tcW w:type="dxa" w:w="3485"/>
            <w:tcMar>
              <w:top w:w="65" w:type="dxa"/>
              <w:start w:w="80" w:type="dxa"/>
              <w:bottom w:w="65" w:type="dxa"/>
              <w:end w:w="80" w:type="dxa"/>
            </w:tcMar>
            <w:vAlign w:val="top"/>
          </w:tcPr>
          <w:p>
            <w:pPr>
              <w:spacing w:after="0"/>
            </w:pPr>
            <w:r>
              <w:rPr>
                <w:sz w:val="13"/>
              </w:rPr>
              <w:t>Detailed external-inspiration sections occupy roadmap authority.</w:t>
            </w:r>
          </w:p>
        </w:tc>
        <w:tc>
          <w:tcPr>
            <w:tcW w:type="dxa" w:w="3485"/>
            <w:tcMar>
              <w:top w:w="65" w:type="dxa"/>
              <w:start w:w="80" w:type="dxa"/>
              <w:bottom w:w="65" w:type="dxa"/>
              <w:end w:w="80" w:type="dxa"/>
            </w:tcMar>
            <w:vAlign w:val="top"/>
          </w:tcPr>
          <w:p>
            <w:pPr>
              <w:spacing w:after="0"/>
            </w:pPr>
            <w:r>
              <w:rPr>
                <w:sz w:val="13"/>
              </w:rPr>
              <w:t>Useful research has already been reconciled into canonical Gu OS docs.</w:t>
            </w:r>
          </w:p>
        </w:tc>
        <w:tc>
          <w:tcPr>
            <w:tcW w:type="dxa" w:w="3485"/>
            <w:tcMar>
              <w:top w:w="65" w:type="dxa"/>
              <w:start w:w="80" w:type="dxa"/>
              <w:bottom w:w="65" w:type="dxa"/>
              <w:end w:w="80" w:type="dxa"/>
            </w:tcMar>
            <w:vAlign w:val="top"/>
          </w:tcPr>
          <w:p>
            <w:pPr>
              <w:spacing w:after="0"/>
            </w:pPr>
            <w:r>
              <w:rPr>
                <w:sz w:val="13"/>
              </w:rPr>
              <w:t>Keep in reference docs; roadmap links, not re-derives.</w:t>
            </w:r>
          </w:p>
        </w:tc>
      </w:tr>
    </w:tbl>
    <w:p>
      <w:pPr>
        <w:pStyle w:val="Heading1"/>
      </w:pPr>
      <w:r>
        <w:t>4. Current repo baseline</w:t>
      </w:r>
    </w:p>
    <w:tbl>
      <w:tblPr>
        <w:tblStyle w:val="TableGrid"/>
        <w:tblW w:type="auto" w:w="0"/>
        <w:jc w:val="center"/>
        <w:tblLayout w:type="autofit"/>
        <w:tblLook w:firstColumn="1" w:firstRow="1" w:lastColumn="0" w:lastRow="0" w:noHBand="0" w:noVBand="1" w:val="04A0"/>
      </w:tblPr>
      <w:tblGrid>
        <w:gridCol w:w="5227"/>
        <w:gridCol w:w="5227"/>
      </w:tblGrid>
      <w:tr>
        <w:trPr>
          <w:tblHeader/>
          <w:cantSplit/>
        </w:trPr>
        <w:tc>
          <w:tcPr>
            <w:tcW w:type="dxa" w:w="5227"/>
            <w:shd w:fill="1F4E79"/>
            <w:tcMar>
              <w:top w:w="65" w:type="dxa"/>
              <w:start w:w="80" w:type="dxa"/>
              <w:bottom w:w="65" w:type="dxa"/>
              <w:end w:w="80" w:type="dxa"/>
            </w:tcMar>
            <w:vAlign w:val="center"/>
          </w:tcPr>
          <w:p>
            <w:r>
              <w:rPr>
                <w:b/>
                <w:color w:val="FFFFFF"/>
                <w:sz w:val="14"/>
              </w:rPr>
              <w:t>Area</w:t>
            </w:r>
          </w:p>
        </w:tc>
        <w:tc>
          <w:tcPr>
            <w:tcW w:type="dxa" w:w="5227"/>
            <w:shd w:fill="1F4E79"/>
            <w:tcMar>
              <w:top w:w="65" w:type="dxa"/>
              <w:start w:w="80" w:type="dxa"/>
              <w:bottom w:w="65" w:type="dxa"/>
              <w:end w:w="80" w:type="dxa"/>
            </w:tcMar>
            <w:vAlign w:val="center"/>
          </w:tcPr>
          <w:p>
            <w:r>
              <w:rPr>
                <w:b/>
                <w:color w:val="FFFFFF"/>
                <w:sz w:val="14"/>
              </w:rPr>
              <w:t>Revalidated status</w:t>
            </w:r>
          </w:p>
        </w:tc>
      </w:tr>
      <w:tr>
        <w:trPr>
          <w:cantSplit/>
        </w:trPr>
        <w:tc>
          <w:tcPr>
            <w:tcW w:type="dxa" w:w="5227"/>
            <w:tcMar>
              <w:top w:w="65" w:type="dxa"/>
              <w:start w:w="80" w:type="dxa"/>
              <w:bottom w:w="65" w:type="dxa"/>
              <w:end w:w="80" w:type="dxa"/>
            </w:tcMar>
            <w:vAlign w:val="top"/>
          </w:tcPr>
          <w:p>
            <w:pPr>
              <w:spacing w:after="0"/>
            </w:pPr>
            <w:r>
              <w:rPr>
                <w:sz w:val="14"/>
              </w:rPr>
              <w:t>Flexible Workflows Phase 0</w:t>
            </w:r>
          </w:p>
        </w:tc>
        <w:tc>
          <w:tcPr>
            <w:tcW w:type="dxa" w:w="5227"/>
            <w:tcMar>
              <w:top w:w="65" w:type="dxa"/>
              <w:start w:w="80" w:type="dxa"/>
              <w:bottom w:w="65" w:type="dxa"/>
              <w:end w:w="80" w:type="dxa"/>
            </w:tcMar>
            <w:vAlign w:val="top"/>
          </w:tcPr>
          <w:p>
            <w:pPr>
              <w:spacing w:after="0"/>
            </w:pPr>
            <w:r>
              <w:rPr>
                <w:sz w:val="14"/>
              </w:rPr>
              <w:t>Done: correctness fixes, metering/observability, scheduled-task risk policy, CI/readiness foundations.</w:t>
            </w:r>
          </w:p>
        </w:tc>
      </w:tr>
      <w:tr>
        <w:trPr>
          <w:cantSplit/>
        </w:trPr>
        <w:tc>
          <w:tcPr>
            <w:tcW w:type="dxa" w:w="5227"/>
            <w:tcMar>
              <w:top w:w="65" w:type="dxa"/>
              <w:start w:w="80" w:type="dxa"/>
              <w:bottom w:w="65" w:type="dxa"/>
              <w:end w:w="80" w:type="dxa"/>
            </w:tcMar>
            <w:vAlign w:val="top"/>
          </w:tcPr>
          <w:p>
            <w:pPr>
              <w:spacing w:after="0"/>
            </w:pPr>
            <w:r>
              <w:rPr>
                <w:sz w:val="14"/>
              </w:rPr>
              <w:t>Phase 1</w:t>
            </w:r>
          </w:p>
        </w:tc>
        <w:tc>
          <w:tcPr>
            <w:tcW w:type="dxa" w:w="5227"/>
            <w:tcMar>
              <w:top w:w="65" w:type="dxa"/>
              <w:start w:w="80" w:type="dxa"/>
              <w:bottom w:w="65" w:type="dxa"/>
              <w:end w:w="80" w:type="dxa"/>
            </w:tcMar>
            <w:vAlign w:val="top"/>
          </w:tcPr>
          <w:p>
            <w:pPr>
              <w:spacing w:after="0"/>
            </w:pPr>
            <w:r>
              <w:rPr>
                <w:sz w:val="14"/>
              </w:rPr>
              <w:t>Done: versioned executable workflow definitions and enforcement foundation.</w:t>
            </w:r>
          </w:p>
        </w:tc>
      </w:tr>
      <w:tr>
        <w:trPr>
          <w:cantSplit/>
        </w:trPr>
        <w:tc>
          <w:tcPr>
            <w:tcW w:type="dxa" w:w="5227"/>
            <w:tcMar>
              <w:top w:w="65" w:type="dxa"/>
              <w:start w:w="80" w:type="dxa"/>
              <w:bottom w:w="65" w:type="dxa"/>
              <w:end w:w="80" w:type="dxa"/>
            </w:tcMar>
            <w:vAlign w:val="top"/>
          </w:tcPr>
          <w:p>
            <w:pPr>
              <w:spacing w:after="0"/>
            </w:pPr>
            <w:r>
              <w:rPr>
                <w:sz w:val="14"/>
              </w:rPr>
              <w:t>Phase 2</w:t>
            </w:r>
          </w:p>
        </w:tc>
        <w:tc>
          <w:tcPr>
            <w:tcW w:type="dxa" w:w="5227"/>
            <w:tcMar>
              <w:top w:w="65" w:type="dxa"/>
              <w:start w:w="80" w:type="dxa"/>
              <w:bottom w:w="65" w:type="dxa"/>
              <w:end w:w="80" w:type="dxa"/>
            </w:tcMar>
            <w:vAlign w:val="top"/>
          </w:tcPr>
          <w:p>
            <w:pPr>
              <w:spacing w:after="0"/>
            </w:pPr>
            <w:r>
              <w:rPr>
                <w:sz w:val="14"/>
              </w:rPr>
              <w:t>Done: Work Plane, capability dispatch, executor modes, operator views, live soak; Workflow Studio shell also landed.</w:t>
            </w:r>
          </w:p>
        </w:tc>
      </w:tr>
      <w:tr>
        <w:trPr>
          <w:cantSplit/>
        </w:trPr>
        <w:tc>
          <w:tcPr>
            <w:tcW w:type="dxa" w:w="5227"/>
            <w:tcMar>
              <w:top w:w="65" w:type="dxa"/>
              <w:start w:w="80" w:type="dxa"/>
              <w:bottom w:w="65" w:type="dxa"/>
              <w:end w:w="80" w:type="dxa"/>
            </w:tcMar>
            <w:vAlign w:val="top"/>
          </w:tcPr>
          <w:p>
            <w:pPr>
              <w:spacing w:after="0"/>
            </w:pPr>
            <w:r>
              <w:rPr>
                <w:sz w:val="14"/>
              </w:rPr>
              <w:t>Phase 3</w:t>
            </w:r>
          </w:p>
        </w:tc>
        <w:tc>
          <w:tcPr>
            <w:tcW w:type="dxa" w:w="5227"/>
            <w:tcMar>
              <w:top w:w="65" w:type="dxa"/>
              <w:start w:w="80" w:type="dxa"/>
              <w:bottom w:w="65" w:type="dxa"/>
              <w:end w:w="80" w:type="dxa"/>
            </w:tcMar>
            <w:vAlign w:val="top"/>
          </w:tcPr>
          <w:p>
            <w:pPr>
              <w:spacing w:after="0"/>
            </w:pPr>
            <w:r>
              <w:rPr>
                <w:sz w:val="14"/>
              </w:rPr>
              <w:t>Done: Impact Plane, evidence-bound facts/artifacts/approvals, selective repair and specialized worker verification.</w:t>
            </w:r>
          </w:p>
        </w:tc>
      </w:tr>
      <w:tr>
        <w:trPr>
          <w:cantSplit/>
        </w:trPr>
        <w:tc>
          <w:tcPr>
            <w:tcW w:type="dxa" w:w="5227"/>
            <w:tcMar>
              <w:top w:w="65" w:type="dxa"/>
              <w:start w:w="80" w:type="dxa"/>
              <w:bottom w:w="65" w:type="dxa"/>
              <w:end w:w="80" w:type="dxa"/>
            </w:tcMar>
            <w:vAlign w:val="top"/>
          </w:tcPr>
          <w:p>
            <w:pPr>
              <w:spacing w:after="0"/>
            </w:pPr>
            <w:r>
              <w:rPr>
                <w:sz w:val="14"/>
              </w:rPr>
              <w:t>Phase 4</w:t>
            </w:r>
          </w:p>
        </w:tc>
        <w:tc>
          <w:tcPr>
            <w:tcW w:type="dxa" w:w="5227"/>
            <w:tcMar>
              <w:top w:w="65" w:type="dxa"/>
              <w:start w:w="80" w:type="dxa"/>
              <w:bottom w:w="65" w:type="dxa"/>
              <w:end w:w="80" w:type="dxa"/>
            </w:tcMar>
            <w:vAlign w:val="top"/>
          </w:tcPr>
          <w:p>
            <w:pPr>
              <w:spacing w:after="0"/>
            </w:pPr>
            <w:r>
              <w:rPr>
                <w:sz w:val="14"/>
              </w:rPr>
              <w:t>Core done: conservative multiplexer, compiler, gates, simulation, Studio and governed publication; human UI walkthrough/canary closure remains.</w:t>
            </w:r>
          </w:p>
        </w:tc>
      </w:tr>
      <w:tr>
        <w:trPr>
          <w:cantSplit/>
        </w:trPr>
        <w:tc>
          <w:tcPr>
            <w:tcW w:type="dxa" w:w="5227"/>
            <w:tcMar>
              <w:top w:w="65" w:type="dxa"/>
              <w:start w:w="80" w:type="dxa"/>
              <w:bottom w:w="65" w:type="dxa"/>
              <w:end w:w="80" w:type="dxa"/>
            </w:tcMar>
            <w:vAlign w:val="top"/>
          </w:tcPr>
          <w:p>
            <w:pPr>
              <w:spacing w:after="0"/>
            </w:pPr>
            <w:r>
              <w:rPr>
                <w:sz w:val="14"/>
              </w:rPr>
              <w:t>Phase 5</w:t>
            </w:r>
          </w:p>
        </w:tc>
        <w:tc>
          <w:tcPr>
            <w:tcW w:type="dxa" w:w="5227"/>
            <w:tcMar>
              <w:top w:w="65" w:type="dxa"/>
              <w:start w:w="80" w:type="dxa"/>
              <w:bottom w:w="65" w:type="dxa"/>
              <w:end w:w="80" w:type="dxa"/>
            </w:tcMar>
            <w:vAlign w:val="top"/>
          </w:tcPr>
          <w:p>
            <w:pPr>
              <w:spacing w:after="0"/>
            </w:pPr>
            <w:r>
              <w:rPr>
                <w:sz w:val="14"/>
              </w:rPr>
              <w:t>Durable Tasks / Work Runs and authoring router largely implemented; live E2E / file-input rollout and final verification remain open.</w:t>
            </w:r>
          </w:p>
        </w:tc>
      </w:tr>
      <w:tr>
        <w:trPr>
          <w:cantSplit/>
        </w:trPr>
        <w:tc>
          <w:tcPr>
            <w:tcW w:type="dxa" w:w="5227"/>
            <w:tcMar>
              <w:top w:w="65" w:type="dxa"/>
              <w:start w:w="80" w:type="dxa"/>
              <w:bottom w:w="65" w:type="dxa"/>
              <w:end w:w="80" w:type="dxa"/>
            </w:tcMar>
            <w:vAlign w:val="top"/>
          </w:tcPr>
          <w:p>
            <w:pPr>
              <w:spacing w:after="0"/>
            </w:pPr>
            <w:r>
              <w:rPr>
                <w:sz w:val="14"/>
              </w:rPr>
              <w:t>Workflow Studio</w:t>
            </w:r>
          </w:p>
        </w:tc>
        <w:tc>
          <w:tcPr>
            <w:tcW w:type="dxa" w:w="5227"/>
            <w:tcMar>
              <w:top w:w="65" w:type="dxa"/>
              <w:start w:w="80" w:type="dxa"/>
              <w:bottom w:w="65" w:type="dxa"/>
              <w:end w:w="80" w:type="dxa"/>
            </w:tcMar>
            <w:vAlign w:val="top"/>
          </w:tcPr>
          <w:p>
            <w:pPr>
              <w:spacing w:after="0"/>
            </w:pPr>
            <w:r>
              <w:rPr>
                <w:sz w:val="14"/>
              </w:rPr>
              <w:t>Substantial foundation implemented; rollout flags/telemetry/canary and manual walkthrough remain incomplete.</w:t>
            </w:r>
          </w:p>
        </w:tc>
      </w:tr>
      <w:tr>
        <w:trPr>
          <w:cantSplit/>
        </w:trPr>
        <w:tc>
          <w:tcPr>
            <w:tcW w:type="dxa" w:w="5227"/>
            <w:tcMar>
              <w:top w:w="65" w:type="dxa"/>
              <w:start w:w="80" w:type="dxa"/>
              <w:bottom w:w="65" w:type="dxa"/>
              <w:end w:w="80" w:type="dxa"/>
            </w:tcMar>
            <w:vAlign w:val="top"/>
          </w:tcPr>
          <w:p>
            <w:pPr>
              <w:spacing w:after="0"/>
            </w:pPr>
            <w:r>
              <w:rPr>
                <w:sz w:val="14"/>
              </w:rPr>
              <w:t>Operational readiness</w:t>
            </w:r>
          </w:p>
        </w:tc>
        <w:tc>
          <w:tcPr>
            <w:tcW w:type="dxa" w:w="5227"/>
            <w:tcMar>
              <w:top w:w="65" w:type="dxa"/>
              <w:start w:w="80" w:type="dxa"/>
              <w:bottom w:w="65" w:type="dxa"/>
              <w:end w:w="80" w:type="dxa"/>
            </w:tcMar>
            <w:vAlign w:val="top"/>
          </w:tcPr>
          <w:p>
            <w:pPr>
              <w:spacing w:after="0"/>
            </w:pPr>
            <w:r>
              <w:rPr>
                <w:sz w:val="14"/>
              </w:rPr>
              <w:t>N0–N4 implemented and N5 controlled E2E exists; broader scripted/multi-tick maturity remains ongoing.</w:t>
            </w:r>
          </w:p>
        </w:tc>
      </w:tr>
      <w:tr>
        <w:trPr>
          <w:cantSplit/>
        </w:trPr>
        <w:tc>
          <w:tcPr>
            <w:tcW w:type="dxa" w:w="5227"/>
            <w:tcMar>
              <w:top w:w="65" w:type="dxa"/>
              <w:start w:w="80" w:type="dxa"/>
              <w:bottom w:w="65" w:type="dxa"/>
              <w:end w:w="80" w:type="dxa"/>
            </w:tcMar>
            <w:vAlign w:val="top"/>
          </w:tcPr>
          <w:p>
            <w:pPr>
              <w:spacing w:after="0"/>
            </w:pPr>
            <w:r>
              <w:rPr>
                <w:sz w:val="14"/>
              </w:rPr>
              <w:t>Brain Layer</w:t>
            </w:r>
          </w:p>
        </w:tc>
        <w:tc>
          <w:tcPr>
            <w:tcW w:type="dxa" w:w="5227"/>
            <w:tcMar>
              <w:top w:w="65" w:type="dxa"/>
              <w:start w:w="80" w:type="dxa"/>
              <w:bottom w:w="65" w:type="dxa"/>
              <w:end w:w="80" w:type="dxa"/>
            </w:tcMar>
            <w:vAlign w:val="top"/>
          </w:tcPr>
          <w:p>
            <w:pPr>
              <w:spacing w:after="0"/>
            </w:pPr>
            <w:r>
              <w:rPr>
                <w:sz w:val="14"/>
              </w:rPr>
              <w:t>Not started as full layer; canonical Brain plan says it starts after workflow foundations and remains a reference plan, not a parallel schedule.</w:t>
            </w:r>
          </w:p>
        </w:tc>
      </w:tr>
    </w:tbl>
    <w:p/>
    <w:tbl>
      <w:tblPr>
        <w:tblStyle w:val="TableGrid"/>
        <w:tblW w:type="auto" w:w="0"/>
        <w:tblLook w:firstColumn="1" w:firstRow="1" w:lastColumn="0" w:lastRow="0" w:noHBand="0" w:noVBand="1" w:val="04A0"/>
      </w:tblPr>
      <w:tblGrid>
        <w:gridCol w:w="10454"/>
      </w:tblGrid>
      <w:tr>
        <w:tc>
          <w:tcPr>
            <w:tcW w:type="dxa" w:w="10454"/>
            <w:shd w:fill="FFF2CC"/>
            <w:tcMar>
              <w:top w:w="100" w:type="dxa"/>
              <w:start w:w="120" w:type="dxa"/>
              <w:bottom w:w="100" w:type="dxa"/>
              <w:end w:w="120" w:type="dxa"/>
            </w:tcMar>
          </w:tcPr>
          <w:p>
            <w:r>
              <w:rPr>
                <w:b/>
                <w:color w:val="1F4E79"/>
                <w:sz w:val="18"/>
              </w:rPr>
              <w:t xml:space="preserve">Implication.  </w:t>
            </w:r>
            <w:r>
              <w:rPr>
                <w:sz w:val="18"/>
              </w:rPr>
              <w:t>The next roadmap should stop treating Gu OS as if it were still deciding whether to have Skills, Heartbeat or durable operational work. Those are foundations. The roadmap question is now: which real-estate responsibility should Gu assume next, and what evidence proves it creates value?</w:t>
            </w:r>
          </w:p>
        </w:tc>
      </w:tr>
    </w:tbl>
    <w:p/>
    <w:p>
      <w:pPr>
        <w:pStyle w:val="Heading1"/>
      </w:pPr>
      <w:r>
        <w:t>5. Product-priority reconciliation</w:t>
      </w:r>
    </w:p>
    <w:tbl>
      <w:tblPr>
        <w:tblStyle w:val="TableGrid"/>
        <w:tblW w:type="auto" w:w="0"/>
        <w:jc w:val="center"/>
        <w:tblLayout w:type="autofit"/>
        <w:tblLook w:firstColumn="1" w:firstRow="1" w:lastColumn="0" w:lastRow="0" w:noHBand="0" w:noVBand="1" w:val="04A0"/>
      </w:tblPr>
      <w:tblGrid>
        <w:gridCol w:w="5227"/>
        <w:gridCol w:w="5227"/>
      </w:tblGrid>
      <w:tr>
        <w:trPr>
          <w:tblHeader/>
          <w:cantSplit/>
        </w:trPr>
        <w:tc>
          <w:tcPr>
            <w:tcW w:type="dxa" w:w="5227"/>
            <w:shd w:fill="1F4E79"/>
            <w:tcMar>
              <w:top w:w="65" w:type="dxa"/>
              <w:start w:w="80" w:type="dxa"/>
              <w:bottom w:w="65" w:type="dxa"/>
              <w:end w:w="80" w:type="dxa"/>
            </w:tcMar>
            <w:vAlign w:val="center"/>
          </w:tcPr>
          <w:p>
            <w:r>
              <w:rPr>
                <w:b/>
                <w:color w:val="FFFFFF"/>
                <w:sz w:val="14"/>
              </w:rPr>
              <w:t>PRD direction</w:t>
            </w:r>
          </w:p>
        </w:tc>
        <w:tc>
          <w:tcPr>
            <w:tcW w:type="dxa" w:w="5227"/>
            <w:shd w:fill="1F4E79"/>
            <w:tcMar>
              <w:top w:w="65" w:type="dxa"/>
              <w:start w:w="80" w:type="dxa"/>
              <w:bottom w:w="65" w:type="dxa"/>
              <w:end w:w="80" w:type="dxa"/>
            </w:tcMar>
            <w:vAlign w:val="center"/>
          </w:tcPr>
          <w:p>
            <w:r>
              <w:rPr>
                <w:b/>
                <w:color w:val="FFFFFF"/>
                <w:sz w:val="14"/>
              </w:rPr>
              <w:t>Roadmap implication</w:t>
            </w:r>
          </w:p>
        </w:tc>
      </w:tr>
      <w:tr>
        <w:trPr>
          <w:cantSplit/>
        </w:trPr>
        <w:tc>
          <w:tcPr>
            <w:tcW w:type="dxa" w:w="5227"/>
            <w:tcMar>
              <w:top w:w="65" w:type="dxa"/>
              <w:start w:w="80" w:type="dxa"/>
              <w:bottom w:w="65" w:type="dxa"/>
              <w:end w:w="80" w:type="dxa"/>
            </w:tcMar>
            <w:vAlign w:val="top"/>
          </w:tcPr>
          <w:p>
            <w:pPr>
              <w:spacing w:after="0"/>
            </w:pPr>
            <w:r>
              <w:rPr>
                <w:sz w:val="14"/>
              </w:rPr>
              <w:t>Current wedge is conversion / visit progression.</w:t>
            </w:r>
          </w:p>
        </w:tc>
        <w:tc>
          <w:tcPr>
            <w:tcW w:type="dxa" w:w="5227"/>
            <w:tcMar>
              <w:top w:w="65" w:type="dxa"/>
              <w:start w:w="80" w:type="dxa"/>
              <w:bottom w:w="65" w:type="dxa"/>
              <w:end w:w="80" w:type="dxa"/>
            </w:tcMar>
            <w:vAlign w:val="top"/>
          </w:tcPr>
          <w:p>
            <w:pPr>
              <w:spacing w:after="0"/>
            </w:pPr>
            <w:r>
              <w:rPr>
                <w:sz w:val="14"/>
              </w:rPr>
              <w:t>Relationship Operations is the strongest next product slice because it absorbs proven Traditional Gu behavior into durable Gu OS responsibility.</w:t>
            </w:r>
          </w:p>
        </w:tc>
      </w:tr>
      <w:tr>
        <w:trPr>
          <w:cantSplit/>
        </w:trPr>
        <w:tc>
          <w:tcPr>
            <w:tcW w:type="dxa" w:w="5227"/>
            <w:tcMar>
              <w:top w:w="65" w:type="dxa"/>
              <w:start w:w="80" w:type="dxa"/>
              <w:bottom w:w="65" w:type="dxa"/>
              <w:end w:w="80" w:type="dxa"/>
            </w:tcMar>
            <w:vAlign w:val="top"/>
          </w:tcPr>
          <w:p>
            <w:pPr>
              <w:spacing w:after="0"/>
            </w:pPr>
            <w:r>
              <w:rPr>
                <w:sz w:val="14"/>
              </w:rPr>
              <w:t>Revenue loop links Property → Demand → Conversion → Transaction → Outcome Feedback.</w:t>
            </w:r>
          </w:p>
        </w:tc>
        <w:tc>
          <w:tcPr>
            <w:tcW w:type="dxa" w:w="5227"/>
            <w:tcMar>
              <w:top w:w="65" w:type="dxa"/>
              <w:start w:w="80" w:type="dxa"/>
              <w:bottom w:w="65" w:type="dxa"/>
              <w:end w:w="80" w:type="dxa"/>
            </w:tcMar>
            <w:vAlign w:val="top"/>
          </w:tcPr>
          <w:p>
            <w:pPr>
              <w:spacing w:after="0"/>
            </w:pPr>
            <w:r>
              <w:rPr>
                <w:sz w:val="14"/>
              </w:rPr>
              <w:t>Roadmap should move by economically meaningful responsibilities and outcome linkage, not by technical subsystem version numbers.</w:t>
            </w:r>
          </w:p>
        </w:tc>
      </w:tr>
      <w:tr>
        <w:trPr>
          <w:cantSplit/>
        </w:trPr>
        <w:tc>
          <w:tcPr>
            <w:tcW w:type="dxa" w:w="5227"/>
            <w:tcMar>
              <w:top w:w="65" w:type="dxa"/>
              <w:start w:w="80" w:type="dxa"/>
              <w:bottom w:w="65" w:type="dxa"/>
              <w:end w:w="80" w:type="dxa"/>
            </w:tcMar>
            <w:vAlign w:val="top"/>
          </w:tcPr>
          <w:p>
            <w:pPr>
              <w:spacing w:after="0"/>
            </w:pPr>
            <w:r>
              <w:rPr>
                <w:sz w:val="14"/>
              </w:rPr>
              <w:t>Property Optioning is first generalization proof.</w:t>
            </w:r>
          </w:p>
        </w:tc>
        <w:tc>
          <w:tcPr>
            <w:tcW w:type="dxa" w:w="5227"/>
            <w:tcMar>
              <w:top w:w="65" w:type="dxa"/>
              <w:start w:w="80" w:type="dxa"/>
              <w:bottom w:w="65" w:type="dxa"/>
              <w:end w:w="80" w:type="dxa"/>
            </w:tcMar>
            <w:vAlign w:val="top"/>
          </w:tcPr>
          <w:p>
            <w:pPr>
              <w:spacing w:after="0"/>
            </w:pPr>
            <w:r>
              <w:rPr>
                <w:sz w:val="14"/>
              </w:rPr>
              <w:t>Close its controlled product/readiness evidence, but do not let it become the only domain or a permanent lab project.</w:t>
            </w:r>
          </w:p>
        </w:tc>
      </w:tr>
      <w:tr>
        <w:trPr>
          <w:cantSplit/>
        </w:trPr>
        <w:tc>
          <w:tcPr>
            <w:tcW w:type="dxa" w:w="5227"/>
            <w:tcMar>
              <w:top w:w="65" w:type="dxa"/>
              <w:start w:w="80" w:type="dxa"/>
              <w:bottom w:w="65" w:type="dxa"/>
              <w:end w:w="80" w:type="dxa"/>
            </w:tcMar>
            <w:vAlign w:val="top"/>
          </w:tcPr>
          <w:p>
            <w:pPr>
              <w:spacing w:after="0"/>
            </w:pPr>
            <w:r>
              <w:rPr>
                <w:sz w:val="14"/>
              </w:rPr>
              <w:t>Demand Operations should optimize downstream outcomes.</w:t>
            </w:r>
          </w:p>
        </w:tc>
        <w:tc>
          <w:tcPr>
            <w:tcW w:type="dxa" w:w="5227"/>
            <w:tcMar>
              <w:top w:w="65" w:type="dxa"/>
              <w:start w:w="80" w:type="dxa"/>
              <w:bottom w:w="65" w:type="dxa"/>
              <w:end w:w="80" w:type="dxa"/>
            </w:tcMar>
            <w:vAlign w:val="top"/>
          </w:tcPr>
          <w:p>
            <w:pPr>
              <w:spacing w:after="0"/>
            </w:pPr>
            <w:r>
              <w:rPr>
                <w:sz w:val="14"/>
              </w:rPr>
              <w:t>Do not start serious Demand optimization until Relationship/visit outcomes are observable enough to close the feedback loop.</w:t>
            </w:r>
          </w:p>
        </w:tc>
      </w:tr>
      <w:tr>
        <w:trPr>
          <w:cantSplit/>
        </w:trPr>
        <w:tc>
          <w:tcPr>
            <w:tcW w:type="dxa" w:w="5227"/>
            <w:tcMar>
              <w:top w:w="65" w:type="dxa"/>
              <w:start w:w="80" w:type="dxa"/>
              <w:bottom w:w="65" w:type="dxa"/>
              <w:end w:w="80" w:type="dxa"/>
            </w:tcMar>
            <w:vAlign w:val="top"/>
          </w:tcPr>
          <w:p>
            <w:pPr>
              <w:spacing w:after="0"/>
            </w:pPr>
            <w:r>
              <w:rPr>
                <w:sz w:val="14"/>
              </w:rPr>
              <w:t>Business Brain is internal cognition, not operational truth.</w:t>
            </w:r>
          </w:p>
        </w:tc>
        <w:tc>
          <w:tcPr>
            <w:tcW w:type="dxa" w:w="5227"/>
            <w:tcMar>
              <w:top w:w="65" w:type="dxa"/>
              <w:start w:w="80" w:type="dxa"/>
              <w:bottom w:w="65" w:type="dxa"/>
              <w:end w:w="80" w:type="dxa"/>
            </w:tcMar>
            <w:vAlign w:val="top"/>
          </w:tcPr>
          <w:p>
            <w:pPr>
              <w:spacing w:after="0"/>
            </w:pPr>
            <w:r>
              <w:rPr>
                <w:sz w:val="14"/>
              </w:rPr>
              <w:t>Start with one repeated cross-Case product need; do not launch the whole Brain program by default.</w:t>
            </w:r>
          </w:p>
        </w:tc>
      </w:tr>
      <w:tr>
        <w:trPr>
          <w:cantSplit/>
        </w:trPr>
        <w:tc>
          <w:tcPr>
            <w:tcW w:type="dxa" w:w="5227"/>
            <w:tcMar>
              <w:top w:w="65" w:type="dxa"/>
              <w:start w:w="80" w:type="dxa"/>
              <w:bottom w:w="65" w:type="dxa"/>
              <w:end w:w="80" w:type="dxa"/>
            </w:tcMar>
            <w:vAlign w:val="top"/>
          </w:tcPr>
          <w:p>
            <w:pPr>
              <w:spacing w:after="0"/>
            </w:pPr>
            <w:r>
              <w:rPr>
                <w:sz w:val="14"/>
              </w:rPr>
              <w:t>Network/consumer discovery depend on density/liquidity and explicit economics.</w:t>
            </w:r>
          </w:p>
        </w:tc>
        <w:tc>
          <w:tcPr>
            <w:tcW w:type="dxa" w:w="5227"/>
            <w:tcMar>
              <w:top w:w="65" w:type="dxa"/>
              <w:start w:w="80" w:type="dxa"/>
              <w:bottom w:w="65" w:type="dxa"/>
              <w:end w:w="80" w:type="dxa"/>
            </w:tcMar>
            <w:vAlign w:val="top"/>
          </w:tcPr>
          <w:p>
            <w:pPr>
              <w:spacing w:after="0"/>
            </w:pPr>
            <w:r>
              <w:rPr>
                <w:sz w:val="14"/>
              </w:rPr>
              <w:t>Keep later and evidence-gated; avoid premature marketplace distraction.</w:t>
            </w:r>
          </w:p>
        </w:tc>
      </w:tr>
      <w:tr>
        <w:trPr>
          <w:cantSplit/>
        </w:trPr>
        <w:tc>
          <w:tcPr>
            <w:tcW w:type="dxa" w:w="5227"/>
            <w:tcMar>
              <w:top w:w="65" w:type="dxa"/>
              <w:start w:w="80" w:type="dxa"/>
              <w:bottom w:w="65" w:type="dxa"/>
              <w:end w:w="80" w:type="dxa"/>
            </w:tcMar>
            <w:vAlign w:val="top"/>
          </w:tcPr>
          <w:p>
            <w:pPr>
              <w:spacing w:after="0"/>
            </w:pPr>
            <w:r>
              <w:rPr>
                <w:sz w:val="14"/>
              </w:rPr>
              <w:t>Small team must translate broad vision into executable sequence.</w:t>
            </w:r>
          </w:p>
        </w:tc>
        <w:tc>
          <w:tcPr>
            <w:tcW w:type="dxa" w:w="5227"/>
            <w:tcMar>
              <w:top w:w="65" w:type="dxa"/>
              <w:start w:w="80" w:type="dxa"/>
              <w:bottom w:w="65" w:type="dxa"/>
              <w:end w:w="80" w:type="dxa"/>
            </w:tcMar>
            <w:vAlign w:val="top"/>
          </w:tcPr>
          <w:p>
            <w:pPr>
              <w:spacing w:after="0"/>
            </w:pPr>
            <w:r>
              <w:rPr>
                <w:sz w:val="14"/>
              </w:rPr>
              <w:t>Finish current foundation, then one primary product slice; avoid parallel major-foundation programs.</w:t>
            </w:r>
          </w:p>
        </w:tc>
      </w:tr>
    </w:tbl>
    <w:p>
      <w:pPr>
        <w:pStyle w:val="Heading1"/>
      </w:pPr>
      <w:r>
        <w:t>6. Proposed sequence</w:t>
      </w:r>
    </w:p>
    <w:tbl>
      <w:tblPr>
        <w:tblStyle w:val="TableGrid"/>
        <w:tblW w:type="auto" w:w="0"/>
        <w:jc w:val="center"/>
        <w:tblLayout w:type="autofit"/>
        <w:tblLook w:firstColumn="1" w:firstRow="1" w:lastColumn="0" w:lastRow="0" w:noHBand="0" w:noVBand="1" w:val="04A0"/>
      </w:tblPr>
      <w:tblGrid>
        <w:gridCol w:w="2091"/>
        <w:gridCol w:w="2091"/>
        <w:gridCol w:w="2091"/>
        <w:gridCol w:w="2091"/>
        <w:gridCol w:w="2091"/>
      </w:tblGrid>
      <w:tr>
        <w:trPr>
          <w:tblHeader/>
          <w:cantSplit/>
        </w:trPr>
        <w:tc>
          <w:tcPr>
            <w:tcW w:type="dxa" w:w="2091"/>
            <w:shd w:fill="1F4E79"/>
            <w:tcMar>
              <w:top w:w="65" w:type="dxa"/>
              <w:start w:w="80" w:type="dxa"/>
              <w:bottom w:w="65" w:type="dxa"/>
              <w:end w:w="80" w:type="dxa"/>
            </w:tcMar>
            <w:vAlign w:val="center"/>
          </w:tcPr>
          <w:p>
            <w:r>
              <w:rPr>
                <w:b/>
                <w:color w:val="FFFFFF"/>
                <w:sz w:val="13"/>
              </w:rPr>
              <w:t>Horizon</w:t>
            </w:r>
          </w:p>
        </w:tc>
        <w:tc>
          <w:tcPr>
            <w:tcW w:type="dxa" w:w="2091"/>
            <w:shd w:fill="1F4E79"/>
            <w:tcMar>
              <w:top w:w="65" w:type="dxa"/>
              <w:start w:w="80" w:type="dxa"/>
              <w:bottom w:w="65" w:type="dxa"/>
              <w:end w:w="80" w:type="dxa"/>
            </w:tcMar>
            <w:vAlign w:val="center"/>
          </w:tcPr>
          <w:p>
            <w:r>
              <w:rPr>
                <w:b/>
                <w:color w:val="FFFFFF"/>
                <w:sz w:val="13"/>
              </w:rPr>
              <w:t>Objective</w:t>
            </w:r>
          </w:p>
        </w:tc>
        <w:tc>
          <w:tcPr>
            <w:tcW w:type="dxa" w:w="2091"/>
            <w:shd w:fill="1F4E79"/>
            <w:tcMar>
              <w:top w:w="65" w:type="dxa"/>
              <w:start w:w="80" w:type="dxa"/>
              <w:bottom w:w="65" w:type="dxa"/>
              <w:end w:w="80" w:type="dxa"/>
            </w:tcMar>
            <w:vAlign w:val="center"/>
          </w:tcPr>
          <w:p>
            <w:r>
              <w:rPr>
                <w:b/>
                <w:color w:val="FFFFFF"/>
                <w:sz w:val="13"/>
              </w:rPr>
              <w:t>Scope</w:t>
            </w:r>
          </w:p>
        </w:tc>
        <w:tc>
          <w:tcPr>
            <w:tcW w:type="dxa" w:w="2091"/>
            <w:shd w:fill="1F4E79"/>
            <w:tcMar>
              <w:top w:w="65" w:type="dxa"/>
              <w:start w:w="80" w:type="dxa"/>
              <w:bottom w:w="65" w:type="dxa"/>
              <w:end w:w="80" w:type="dxa"/>
            </w:tcMar>
            <w:vAlign w:val="center"/>
          </w:tcPr>
          <w:p>
            <w:r>
              <w:rPr>
                <w:b/>
                <w:color w:val="FFFFFF"/>
                <w:sz w:val="13"/>
              </w:rPr>
              <w:t>Graduation evidence</w:t>
            </w:r>
          </w:p>
        </w:tc>
        <w:tc>
          <w:tcPr>
            <w:tcW w:type="dxa" w:w="2091"/>
            <w:shd w:fill="1F4E79"/>
            <w:tcMar>
              <w:top w:w="65" w:type="dxa"/>
              <w:start w:w="80" w:type="dxa"/>
              <w:bottom w:w="65" w:type="dxa"/>
              <w:end w:w="80" w:type="dxa"/>
            </w:tcMar>
            <w:vAlign w:val="center"/>
          </w:tcPr>
          <w:p>
            <w:r>
              <w:rPr>
                <w:b/>
                <w:color w:val="FFFFFF"/>
                <w:sz w:val="13"/>
              </w:rPr>
              <w:t>Status</w:t>
            </w:r>
          </w:p>
        </w:tc>
      </w:tr>
      <w:tr>
        <w:trPr>
          <w:cantSplit/>
        </w:trPr>
        <w:tc>
          <w:tcPr>
            <w:tcW w:type="dxa" w:w="2091"/>
            <w:tcMar>
              <w:top w:w="65" w:type="dxa"/>
              <w:start w:w="80" w:type="dxa"/>
              <w:bottom w:w="65" w:type="dxa"/>
              <w:end w:w="80" w:type="dxa"/>
            </w:tcMar>
            <w:vAlign w:val="top"/>
          </w:tcPr>
          <w:p>
            <w:pPr>
              <w:spacing w:after="0"/>
            </w:pPr>
            <w:r>
              <w:rPr>
                <w:sz w:val="12"/>
              </w:rPr>
              <w:t>R0</w:t>
            </w:r>
          </w:p>
        </w:tc>
        <w:tc>
          <w:tcPr>
            <w:tcW w:type="dxa" w:w="2091"/>
            <w:tcMar>
              <w:top w:w="65" w:type="dxa"/>
              <w:start w:w="80" w:type="dxa"/>
              <w:bottom w:w="65" w:type="dxa"/>
              <w:end w:w="80" w:type="dxa"/>
            </w:tcMar>
            <w:vAlign w:val="top"/>
          </w:tcPr>
          <w:p>
            <w:pPr>
              <w:spacing w:after="0"/>
            </w:pPr>
            <w:r>
              <w:rPr>
                <w:sz w:val="12"/>
              </w:rPr>
              <w:t>Close current foundation</w:t>
            </w:r>
          </w:p>
        </w:tc>
        <w:tc>
          <w:tcPr>
            <w:tcW w:type="dxa" w:w="2091"/>
            <w:tcMar>
              <w:top w:w="65" w:type="dxa"/>
              <w:start w:w="80" w:type="dxa"/>
              <w:bottom w:w="65" w:type="dxa"/>
              <w:end w:w="80" w:type="dxa"/>
            </w:tcMar>
            <w:vAlign w:val="top"/>
          </w:tcPr>
          <w:p>
            <w:pPr>
              <w:spacing w:after="0"/>
            </w:pPr>
            <w:r>
              <w:rPr>
                <w:sz w:val="12"/>
              </w:rPr>
              <w:t>Studio walkthrough/canary; Durable Task live E2E; attachment rollout; Property Optioning controlled N5; reconcile temporary labs/status docs.</w:t>
            </w:r>
          </w:p>
        </w:tc>
        <w:tc>
          <w:tcPr>
            <w:tcW w:type="dxa" w:w="2091"/>
            <w:tcMar>
              <w:top w:w="65" w:type="dxa"/>
              <w:start w:w="80" w:type="dxa"/>
              <w:bottom w:w="65" w:type="dxa"/>
              <w:end w:w="80" w:type="dxa"/>
            </w:tcMar>
            <w:vAlign w:val="top"/>
          </w:tcPr>
          <w:p>
            <w:pPr>
              <w:spacing w:after="0"/>
            </w:pPr>
            <w:r>
              <w:rPr>
                <w:sz w:val="12"/>
              </w:rPr>
              <w:t>Production-equivalent evidence for one real Case + one Durable Task; no critical tenancy/authority/evidence defect.</w:t>
            </w:r>
          </w:p>
        </w:tc>
        <w:tc>
          <w:tcPr>
            <w:tcW w:type="dxa" w:w="2091"/>
            <w:tcMar>
              <w:top w:w="65" w:type="dxa"/>
              <w:start w:w="80" w:type="dxa"/>
              <w:bottom w:w="65" w:type="dxa"/>
              <w:end w:w="80" w:type="dxa"/>
            </w:tcMar>
            <w:vAlign w:val="top"/>
          </w:tcPr>
          <w:p>
            <w:pPr>
              <w:spacing w:after="0"/>
            </w:pPr>
            <w:r>
              <w:rPr>
                <w:sz w:val="12"/>
              </w:rPr>
              <w:t>Closure / rollout</w:t>
            </w:r>
          </w:p>
        </w:tc>
      </w:tr>
      <w:tr>
        <w:trPr>
          <w:cantSplit/>
        </w:trPr>
        <w:tc>
          <w:tcPr>
            <w:tcW w:type="dxa" w:w="2091"/>
            <w:tcMar>
              <w:top w:w="65" w:type="dxa"/>
              <w:start w:w="80" w:type="dxa"/>
              <w:bottom w:w="65" w:type="dxa"/>
              <w:end w:w="80" w:type="dxa"/>
            </w:tcMar>
            <w:vAlign w:val="top"/>
          </w:tcPr>
          <w:p>
            <w:pPr>
              <w:spacing w:after="0"/>
            </w:pPr>
            <w:r>
              <w:rPr>
                <w:sz w:val="12"/>
              </w:rPr>
              <w:t>R1</w:t>
            </w:r>
          </w:p>
        </w:tc>
        <w:tc>
          <w:tcPr>
            <w:tcW w:type="dxa" w:w="2091"/>
            <w:tcMar>
              <w:top w:w="65" w:type="dxa"/>
              <w:start w:w="80" w:type="dxa"/>
              <w:bottom w:w="65" w:type="dxa"/>
              <w:end w:w="80" w:type="dxa"/>
            </w:tcMar>
            <w:vAlign w:val="top"/>
          </w:tcPr>
          <w:p>
            <w:pPr>
              <w:spacing w:after="0"/>
            </w:pPr>
            <w:r>
              <w:rPr>
                <w:sz w:val="12"/>
              </w:rPr>
              <w:t>Relationship Operations v1</w:t>
            </w:r>
          </w:p>
        </w:tc>
        <w:tc>
          <w:tcPr>
            <w:tcW w:type="dxa" w:w="2091"/>
            <w:tcMar>
              <w:top w:w="65" w:type="dxa"/>
              <w:start w:w="80" w:type="dxa"/>
              <w:bottom w:w="65" w:type="dxa"/>
              <w:end w:w="80" w:type="dxa"/>
            </w:tcMar>
            <w:vAlign w:val="top"/>
          </w:tcPr>
          <w:p>
            <w:pPr>
              <w:spacing w:after="0"/>
            </w:pPr>
            <w:r>
              <w:rPr>
                <w:sz w:val="12"/>
              </w:rPr>
              <w:t>Lead Opportunity Case; Traditional Gu absorption; situational/event-driven next work; human relationship escalation; portfolio view; visit outcomes.</w:t>
            </w:r>
          </w:p>
        </w:tc>
        <w:tc>
          <w:tcPr>
            <w:tcW w:type="dxa" w:w="2091"/>
            <w:tcMar>
              <w:top w:w="65" w:type="dxa"/>
              <w:start w:w="80" w:type="dxa"/>
              <w:bottom w:w="65" w:type="dxa"/>
              <w:end w:w="80" w:type="dxa"/>
            </w:tcMar>
            <w:vAlign w:val="top"/>
          </w:tcPr>
          <w:p>
            <w:pPr>
              <w:spacing w:after="0"/>
            </w:pPr>
            <w:r>
              <w:rPr>
                <w:sz w:val="12"/>
              </w:rPr>
              <w:t>Pilot tenant delegates opportunity progression across sessions/events and reaches measurable visit progression.</w:t>
            </w:r>
          </w:p>
        </w:tc>
        <w:tc>
          <w:tcPr>
            <w:tcW w:type="dxa" w:w="2091"/>
            <w:tcMar>
              <w:top w:w="65" w:type="dxa"/>
              <w:start w:w="80" w:type="dxa"/>
              <w:bottom w:w="65" w:type="dxa"/>
              <w:end w:w="80" w:type="dxa"/>
            </w:tcMar>
            <w:vAlign w:val="top"/>
          </w:tcPr>
          <w:p>
            <w:pPr>
              <w:spacing w:after="0"/>
            </w:pPr>
            <w:r>
              <w:rPr>
                <w:sz w:val="12"/>
              </w:rPr>
              <w:t>Primary next product increment</w:t>
            </w:r>
          </w:p>
        </w:tc>
      </w:tr>
      <w:tr>
        <w:trPr>
          <w:cantSplit/>
        </w:trPr>
        <w:tc>
          <w:tcPr>
            <w:tcW w:type="dxa" w:w="2091"/>
            <w:tcMar>
              <w:top w:w="65" w:type="dxa"/>
              <w:start w:w="80" w:type="dxa"/>
              <w:bottom w:w="65" w:type="dxa"/>
              <w:end w:w="80" w:type="dxa"/>
            </w:tcMar>
            <w:vAlign w:val="top"/>
          </w:tcPr>
          <w:p>
            <w:pPr>
              <w:spacing w:after="0"/>
            </w:pPr>
            <w:r>
              <w:rPr>
                <w:sz w:val="12"/>
              </w:rPr>
              <w:t>R2</w:t>
            </w:r>
          </w:p>
        </w:tc>
        <w:tc>
          <w:tcPr>
            <w:tcW w:type="dxa" w:w="2091"/>
            <w:tcMar>
              <w:top w:w="65" w:type="dxa"/>
              <w:start w:w="80" w:type="dxa"/>
              <w:bottom w:w="65" w:type="dxa"/>
              <w:end w:w="80" w:type="dxa"/>
            </w:tcMar>
            <w:vAlign w:val="top"/>
          </w:tcPr>
          <w:p>
            <w:pPr>
              <w:spacing w:after="0"/>
            </w:pPr>
            <w:r>
              <w:rPr>
                <w:sz w:val="12"/>
              </w:rPr>
              <w:t>Outcome loop + repeatable deployment</w:t>
            </w:r>
          </w:p>
        </w:tc>
        <w:tc>
          <w:tcPr>
            <w:tcW w:type="dxa" w:w="2091"/>
            <w:tcMar>
              <w:top w:w="65" w:type="dxa"/>
              <w:start w:w="80" w:type="dxa"/>
              <w:bottom w:w="65" w:type="dxa"/>
              <w:end w:w="80" w:type="dxa"/>
            </w:tcMar>
            <w:vAlign w:val="top"/>
          </w:tcPr>
          <w:p>
            <w:pPr>
              <w:spacing w:after="0"/>
            </w:pPr>
            <w:r>
              <w:rPr>
                <w:sz w:val="12"/>
              </w:rPr>
              <w:t>Lead→visit outcome linkage; deployment/readiness recipe; activation/consumption/reload/retention evidence; reduce bespoke setup.</w:t>
            </w:r>
          </w:p>
        </w:tc>
        <w:tc>
          <w:tcPr>
            <w:tcW w:type="dxa" w:w="2091"/>
            <w:tcMar>
              <w:top w:w="65" w:type="dxa"/>
              <w:start w:w="80" w:type="dxa"/>
              <w:bottom w:w="65" w:type="dxa"/>
              <w:end w:w="80" w:type="dxa"/>
            </w:tcMar>
            <w:vAlign w:val="top"/>
          </w:tcPr>
          <w:p>
            <w:pPr>
              <w:spacing w:after="0"/>
            </w:pPr>
            <w:r>
              <w:rPr>
                <w:sz w:val="12"/>
              </w:rPr>
              <w:t>Multiple materially different customers can reach valuable delegated work with limited custom engineering; exact count is open.</w:t>
            </w:r>
          </w:p>
        </w:tc>
        <w:tc>
          <w:tcPr>
            <w:tcW w:type="dxa" w:w="2091"/>
            <w:tcMar>
              <w:top w:w="65" w:type="dxa"/>
              <w:start w:w="80" w:type="dxa"/>
              <w:bottom w:w="65" w:type="dxa"/>
              <w:end w:w="80" w:type="dxa"/>
            </w:tcMar>
            <w:vAlign w:val="top"/>
          </w:tcPr>
          <w:p>
            <w:pPr>
              <w:spacing w:after="0"/>
            </w:pPr>
            <w:r>
              <w:rPr>
                <w:sz w:val="12"/>
              </w:rPr>
              <w:t>Next / parallel evidence</w:t>
            </w:r>
          </w:p>
        </w:tc>
      </w:tr>
      <w:tr>
        <w:trPr>
          <w:cantSplit/>
        </w:trPr>
        <w:tc>
          <w:tcPr>
            <w:tcW w:type="dxa" w:w="2091"/>
            <w:tcMar>
              <w:top w:w="65" w:type="dxa"/>
              <w:start w:w="80" w:type="dxa"/>
              <w:bottom w:w="65" w:type="dxa"/>
              <w:end w:w="80" w:type="dxa"/>
            </w:tcMar>
            <w:vAlign w:val="top"/>
          </w:tcPr>
          <w:p>
            <w:pPr>
              <w:spacing w:after="0"/>
            </w:pPr>
            <w:r>
              <w:rPr>
                <w:sz w:val="12"/>
              </w:rPr>
              <w:t>R3</w:t>
            </w:r>
          </w:p>
        </w:tc>
        <w:tc>
          <w:tcPr>
            <w:tcW w:type="dxa" w:w="2091"/>
            <w:tcMar>
              <w:top w:w="65" w:type="dxa"/>
              <w:start w:w="80" w:type="dxa"/>
              <w:bottom w:w="65" w:type="dxa"/>
              <w:end w:w="80" w:type="dxa"/>
            </w:tcMar>
            <w:vAlign w:val="top"/>
          </w:tcPr>
          <w:p>
            <w:pPr>
              <w:spacing w:after="0"/>
            </w:pPr>
            <w:r>
              <w:rPr>
                <w:sz w:val="12"/>
              </w:rPr>
              <w:t>Organization / multi-seat when required</w:t>
            </w:r>
          </w:p>
        </w:tc>
        <w:tc>
          <w:tcPr>
            <w:tcW w:type="dxa" w:w="2091"/>
            <w:tcMar>
              <w:top w:w="65" w:type="dxa"/>
              <w:start w:w="80" w:type="dxa"/>
              <w:bottom w:w="65" w:type="dxa"/>
              <w:end w:w="80" w:type="dxa"/>
            </w:tcMar>
            <w:vAlign w:val="top"/>
          </w:tcPr>
          <w:p>
            <w:pPr>
              <w:spacing w:after="0"/>
            </w:pPr>
            <w:r>
              <w:rPr>
                <w:sz w:val="12"/>
              </w:rPr>
              <w:t>Organizations, memberships, roles/teams, shared resources, assignment/approval/DRI boundaries.</w:t>
            </w:r>
          </w:p>
        </w:tc>
        <w:tc>
          <w:tcPr>
            <w:tcW w:type="dxa" w:w="2091"/>
            <w:tcMar>
              <w:top w:w="65" w:type="dxa"/>
              <w:start w:w="80" w:type="dxa"/>
              <w:bottom w:w="65" w:type="dxa"/>
              <w:end w:w="80" w:type="dxa"/>
            </w:tcMar>
            <w:vAlign w:val="top"/>
          </w:tcPr>
          <w:p>
            <w:pPr>
              <w:spacing w:after="0"/>
            </w:pPr>
            <w:r>
              <w:rPr>
                <w:sz w:val="12"/>
              </w:rPr>
              <w:t>A real multi-user brokerage can share governed work safely.</w:t>
            </w:r>
          </w:p>
        </w:tc>
        <w:tc>
          <w:tcPr>
            <w:tcW w:type="dxa" w:w="2091"/>
            <w:tcMar>
              <w:top w:w="65" w:type="dxa"/>
              <w:start w:w="80" w:type="dxa"/>
              <w:bottom w:w="65" w:type="dxa"/>
              <w:end w:w="80" w:type="dxa"/>
            </w:tcMar>
            <w:vAlign w:val="top"/>
          </w:tcPr>
          <w:p>
            <w:pPr>
              <w:spacing w:after="0"/>
            </w:pPr>
            <w:r>
              <w:rPr>
                <w:sz w:val="12"/>
              </w:rPr>
              <w:t>Evidence-gated enabler</w:t>
            </w:r>
          </w:p>
        </w:tc>
      </w:tr>
      <w:tr>
        <w:trPr>
          <w:cantSplit/>
        </w:trPr>
        <w:tc>
          <w:tcPr>
            <w:tcW w:type="dxa" w:w="2091"/>
            <w:tcMar>
              <w:top w:w="65" w:type="dxa"/>
              <w:start w:w="80" w:type="dxa"/>
              <w:bottom w:w="65" w:type="dxa"/>
              <w:end w:w="80" w:type="dxa"/>
            </w:tcMar>
            <w:vAlign w:val="top"/>
          </w:tcPr>
          <w:p>
            <w:pPr>
              <w:spacing w:after="0"/>
            </w:pPr>
            <w:r>
              <w:rPr>
                <w:sz w:val="12"/>
              </w:rPr>
              <w:t>R4</w:t>
            </w:r>
          </w:p>
        </w:tc>
        <w:tc>
          <w:tcPr>
            <w:tcW w:type="dxa" w:w="2091"/>
            <w:tcMar>
              <w:top w:w="65" w:type="dxa"/>
              <w:start w:w="80" w:type="dxa"/>
              <w:bottom w:w="65" w:type="dxa"/>
              <w:end w:w="80" w:type="dxa"/>
            </w:tcMar>
            <w:vAlign w:val="top"/>
          </w:tcPr>
          <w:p>
            <w:pPr>
              <w:spacing w:after="0"/>
            </w:pPr>
            <w:r>
              <w:rPr>
                <w:sz w:val="12"/>
              </w:rPr>
              <w:t>Demand Operations v1</w:t>
            </w:r>
          </w:p>
        </w:tc>
        <w:tc>
          <w:tcPr>
            <w:tcW w:type="dxa" w:w="2091"/>
            <w:tcMar>
              <w:top w:w="65" w:type="dxa"/>
              <w:start w:w="80" w:type="dxa"/>
              <w:bottom w:w="65" w:type="dxa"/>
              <w:end w:w="80" w:type="dxa"/>
            </w:tcMar>
            <w:vAlign w:val="top"/>
          </w:tcPr>
          <w:p>
            <w:pPr>
              <w:spacing w:after="0"/>
            </w:pPr>
            <w:r>
              <w:rPr>
                <w:sz w:val="12"/>
              </w:rPr>
              <w:t>Campaign objective, source attribution, ad-platform orchestration, budget policy, downstream visit feedback.</w:t>
            </w:r>
          </w:p>
        </w:tc>
        <w:tc>
          <w:tcPr>
            <w:tcW w:type="dxa" w:w="2091"/>
            <w:tcMar>
              <w:top w:w="65" w:type="dxa"/>
              <w:start w:w="80" w:type="dxa"/>
              <w:bottom w:w="65" w:type="dxa"/>
              <w:end w:w="80" w:type="dxa"/>
            </w:tcMar>
            <w:vAlign w:val="top"/>
          </w:tcPr>
          <w:p>
            <w:pPr>
              <w:spacing w:after="0"/>
            </w:pPr>
            <w:r>
              <w:rPr>
                <w:sz w:val="12"/>
              </w:rPr>
              <w:t>Bounded campaign decisions optimize against qualified opportunity/visit evidence rather than CPL only.</w:t>
            </w:r>
          </w:p>
        </w:tc>
        <w:tc>
          <w:tcPr>
            <w:tcW w:type="dxa" w:w="2091"/>
            <w:tcMar>
              <w:top w:w="65" w:type="dxa"/>
              <w:start w:w="80" w:type="dxa"/>
              <w:bottom w:w="65" w:type="dxa"/>
              <w:end w:w="80" w:type="dxa"/>
            </w:tcMar>
            <w:vAlign w:val="top"/>
          </w:tcPr>
          <w:p>
            <w:pPr>
              <w:spacing w:after="0"/>
            </w:pPr>
            <w:r>
              <w:rPr>
                <w:sz w:val="12"/>
              </w:rPr>
              <w:t>Next domain</w:t>
            </w:r>
          </w:p>
        </w:tc>
      </w:tr>
      <w:tr>
        <w:trPr>
          <w:cantSplit/>
        </w:trPr>
        <w:tc>
          <w:tcPr>
            <w:tcW w:type="dxa" w:w="2091"/>
            <w:tcMar>
              <w:top w:w="65" w:type="dxa"/>
              <w:start w:w="80" w:type="dxa"/>
              <w:bottom w:w="65" w:type="dxa"/>
              <w:end w:w="80" w:type="dxa"/>
            </w:tcMar>
            <w:vAlign w:val="top"/>
          </w:tcPr>
          <w:p>
            <w:pPr>
              <w:spacing w:after="0"/>
            </w:pPr>
            <w:r>
              <w:rPr>
                <w:sz w:val="12"/>
              </w:rPr>
              <w:t>R5</w:t>
            </w:r>
          </w:p>
        </w:tc>
        <w:tc>
          <w:tcPr>
            <w:tcW w:type="dxa" w:w="2091"/>
            <w:tcMar>
              <w:top w:w="65" w:type="dxa"/>
              <w:start w:w="80" w:type="dxa"/>
              <w:bottom w:w="65" w:type="dxa"/>
              <w:end w:w="80" w:type="dxa"/>
            </w:tcMar>
            <w:vAlign w:val="top"/>
          </w:tcPr>
          <w:p>
            <w:pPr>
              <w:spacing w:after="0"/>
            </w:pPr>
            <w:r>
              <w:rPr>
                <w:sz w:val="12"/>
              </w:rPr>
              <w:t>Minimum valuable Business Brain</w:t>
            </w:r>
          </w:p>
        </w:tc>
        <w:tc>
          <w:tcPr>
            <w:tcW w:type="dxa" w:w="2091"/>
            <w:tcMar>
              <w:top w:w="65" w:type="dxa"/>
              <w:start w:w="80" w:type="dxa"/>
              <w:bottom w:w="65" w:type="dxa"/>
              <w:end w:w="80" w:type="dxa"/>
            </w:tcMar>
            <w:vAlign w:val="top"/>
          </w:tcPr>
          <w:p>
            <w:pPr>
              <w:spacing w:after="0"/>
            </w:pPr>
            <w:r>
              <w:rPr>
                <w:sz w:val="12"/>
              </w:rPr>
              <w:t>One cross-Case/company knowledge problem; selective promotion from authorized facts/SOR; provenance; query/synthesis.</w:t>
            </w:r>
          </w:p>
        </w:tc>
        <w:tc>
          <w:tcPr>
            <w:tcW w:type="dxa" w:w="2091"/>
            <w:tcMar>
              <w:top w:w="65" w:type="dxa"/>
              <w:start w:w="80" w:type="dxa"/>
              <w:bottom w:w="65" w:type="dxa"/>
              <w:end w:w="80" w:type="dxa"/>
            </w:tcMar>
            <w:vAlign w:val="top"/>
          </w:tcPr>
          <w:p>
            <w:pPr>
              <w:spacing w:after="0"/>
            </w:pPr>
            <w:r>
              <w:rPr>
                <w:sz w:val="12"/>
              </w:rPr>
              <w:t>One repeated real decision/query materially improves without duplicating operational truth.</w:t>
            </w:r>
          </w:p>
        </w:tc>
        <w:tc>
          <w:tcPr>
            <w:tcW w:type="dxa" w:w="2091"/>
            <w:tcMar>
              <w:top w:w="65" w:type="dxa"/>
              <w:start w:w="80" w:type="dxa"/>
              <w:bottom w:w="65" w:type="dxa"/>
              <w:end w:w="80" w:type="dxa"/>
            </w:tcMar>
            <w:vAlign w:val="top"/>
          </w:tcPr>
          <w:p>
            <w:pPr>
              <w:spacing w:after="0"/>
            </w:pPr>
            <w:r>
              <w:rPr>
                <w:sz w:val="12"/>
              </w:rPr>
              <w:t>Evidence-gated</w:t>
            </w:r>
          </w:p>
        </w:tc>
      </w:tr>
      <w:tr>
        <w:trPr>
          <w:cantSplit/>
        </w:trPr>
        <w:tc>
          <w:tcPr>
            <w:tcW w:type="dxa" w:w="2091"/>
            <w:tcMar>
              <w:top w:w="65" w:type="dxa"/>
              <w:start w:w="80" w:type="dxa"/>
              <w:bottom w:w="65" w:type="dxa"/>
              <w:end w:w="80" w:type="dxa"/>
            </w:tcMar>
            <w:vAlign w:val="top"/>
          </w:tcPr>
          <w:p>
            <w:pPr>
              <w:spacing w:after="0"/>
            </w:pPr>
            <w:r>
              <w:rPr>
                <w:sz w:val="12"/>
              </w:rPr>
              <w:t>R6</w:t>
            </w:r>
          </w:p>
        </w:tc>
        <w:tc>
          <w:tcPr>
            <w:tcW w:type="dxa" w:w="2091"/>
            <w:tcMar>
              <w:top w:w="65" w:type="dxa"/>
              <w:start w:w="80" w:type="dxa"/>
              <w:bottom w:w="65" w:type="dxa"/>
              <w:end w:w="80" w:type="dxa"/>
            </w:tcMar>
            <w:vAlign w:val="top"/>
          </w:tcPr>
          <w:p>
            <w:pPr>
              <w:spacing w:after="0"/>
            </w:pPr>
            <w:r>
              <w:rPr>
                <w:sz w:val="12"/>
              </w:rPr>
              <w:t>Transaction Operations v1</w:t>
            </w:r>
          </w:p>
        </w:tc>
        <w:tc>
          <w:tcPr>
            <w:tcW w:type="dxa" w:w="2091"/>
            <w:tcMar>
              <w:top w:w="65" w:type="dxa"/>
              <w:start w:w="80" w:type="dxa"/>
              <w:bottom w:w="65" w:type="dxa"/>
              <w:end w:w="80" w:type="dxa"/>
            </w:tcMar>
            <w:vAlign w:val="top"/>
          </w:tcPr>
          <w:p>
            <w:pPr>
              <w:spacing w:after="0"/>
            </w:pPr>
            <w:r>
              <w:rPr>
                <w:sz w:val="12"/>
              </w:rPr>
              <w:t>Separate transaction responsibility, documents/providers, approvals/evidence, relationship coexistence.</w:t>
            </w:r>
          </w:p>
        </w:tc>
        <w:tc>
          <w:tcPr>
            <w:tcW w:type="dxa" w:w="2091"/>
            <w:tcMar>
              <w:top w:w="65" w:type="dxa"/>
              <w:start w:w="80" w:type="dxa"/>
              <w:bottom w:w="65" w:type="dxa"/>
              <w:end w:w="80" w:type="dxa"/>
            </w:tcMar>
            <w:vAlign w:val="top"/>
          </w:tcPr>
          <w:p>
            <w:pPr>
              <w:spacing w:after="0"/>
            </w:pPr>
            <w:r>
              <w:rPr>
                <w:sz w:val="12"/>
              </w:rPr>
              <w:t>Pilot transaction advances across multiple systems/actors with verifiable milestones.</w:t>
            </w:r>
          </w:p>
        </w:tc>
        <w:tc>
          <w:tcPr>
            <w:tcW w:type="dxa" w:w="2091"/>
            <w:tcMar>
              <w:top w:w="65" w:type="dxa"/>
              <w:start w:w="80" w:type="dxa"/>
              <w:bottom w:w="65" w:type="dxa"/>
              <w:end w:w="80" w:type="dxa"/>
            </w:tcMar>
            <w:vAlign w:val="top"/>
          </w:tcPr>
          <w:p>
            <w:pPr>
              <w:spacing w:after="0"/>
            </w:pPr>
            <w:r>
              <w:rPr>
                <w:sz w:val="12"/>
              </w:rPr>
              <w:t>Later domain</w:t>
            </w:r>
          </w:p>
        </w:tc>
      </w:tr>
      <w:tr>
        <w:trPr>
          <w:cantSplit/>
        </w:trPr>
        <w:tc>
          <w:tcPr>
            <w:tcW w:type="dxa" w:w="2091"/>
            <w:tcMar>
              <w:top w:w="65" w:type="dxa"/>
              <w:start w:w="80" w:type="dxa"/>
              <w:bottom w:w="65" w:type="dxa"/>
              <w:end w:w="80" w:type="dxa"/>
            </w:tcMar>
            <w:vAlign w:val="top"/>
          </w:tcPr>
          <w:p>
            <w:pPr>
              <w:spacing w:after="0"/>
            </w:pPr>
            <w:r>
              <w:rPr>
                <w:sz w:val="12"/>
              </w:rPr>
              <w:t>R7</w:t>
            </w:r>
          </w:p>
        </w:tc>
        <w:tc>
          <w:tcPr>
            <w:tcW w:type="dxa" w:w="2091"/>
            <w:tcMar>
              <w:top w:w="65" w:type="dxa"/>
              <w:start w:w="80" w:type="dxa"/>
              <w:bottom w:w="65" w:type="dxa"/>
              <w:end w:w="80" w:type="dxa"/>
            </w:tcMar>
            <w:vAlign w:val="top"/>
          </w:tcPr>
          <w:p>
            <w:pPr>
              <w:spacing w:after="0"/>
            </w:pPr>
            <w:r>
              <w:rPr>
                <w:sz w:val="12"/>
              </w:rPr>
              <w:t>Network/Ecosystem expansion</w:t>
            </w:r>
          </w:p>
        </w:tc>
        <w:tc>
          <w:tcPr>
            <w:tcW w:type="dxa" w:w="2091"/>
            <w:tcMar>
              <w:top w:w="65" w:type="dxa"/>
              <w:start w:w="80" w:type="dxa"/>
              <w:bottom w:w="65" w:type="dxa"/>
              <w:end w:w="80" w:type="dxa"/>
            </w:tcMar>
            <w:vAlign w:val="top"/>
          </w:tcPr>
          <w:p>
            <w:pPr>
              <w:spacing w:after="0"/>
            </w:pPr>
            <w:r>
              <w:rPr>
                <w:sz w:val="12"/>
              </w:rPr>
              <w:t>Shared Inventory liquidity, governed cross-brokerage routing/economics, specialist services.</w:t>
            </w:r>
          </w:p>
        </w:tc>
        <w:tc>
          <w:tcPr>
            <w:tcW w:type="dxa" w:w="2091"/>
            <w:tcMar>
              <w:top w:w="65" w:type="dxa"/>
              <w:start w:w="80" w:type="dxa"/>
              <w:bottom w:w="65" w:type="dxa"/>
              <w:end w:w="80" w:type="dxa"/>
            </w:tcMar>
            <w:vAlign w:val="top"/>
          </w:tcPr>
          <w:p>
            <w:pPr>
              <w:spacing w:after="0"/>
            </w:pPr>
            <w:r>
              <w:rPr>
                <w:sz w:val="12"/>
              </w:rPr>
              <w:t>Additional reach/opportunity without ambiguous ownership/economic rights.</w:t>
            </w:r>
          </w:p>
        </w:tc>
        <w:tc>
          <w:tcPr>
            <w:tcW w:type="dxa" w:w="2091"/>
            <w:tcMar>
              <w:top w:w="65" w:type="dxa"/>
              <w:start w:w="80" w:type="dxa"/>
              <w:bottom w:w="65" w:type="dxa"/>
              <w:end w:w="80" w:type="dxa"/>
            </w:tcMar>
            <w:vAlign w:val="top"/>
          </w:tcPr>
          <w:p>
            <w:pPr>
              <w:spacing w:after="0"/>
            </w:pPr>
            <w:r>
              <w:rPr>
                <w:sz w:val="12"/>
              </w:rPr>
              <w:t>Later</w:t>
            </w:r>
          </w:p>
        </w:tc>
      </w:tr>
      <w:tr>
        <w:trPr>
          <w:cantSplit/>
        </w:trPr>
        <w:tc>
          <w:tcPr>
            <w:tcW w:type="dxa" w:w="2091"/>
            <w:tcMar>
              <w:top w:w="65" w:type="dxa"/>
              <w:start w:w="80" w:type="dxa"/>
              <w:bottom w:w="65" w:type="dxa"/>
              <w:end w:w="80" w:type="dxa"/>
            </w:tcMar>
            <w:vAlign w:val="top"/>
          </w:tcPr>
          <w:p>
            <w:pPr>
              <w:spacing w:after="0"/>
            </w:pPr>
            <w:r>
              <w:rPr>
                <w:sz w:val="12"/>
              </w:rPr>
              <w:t>R8</w:t>
            </w:r>
          </w:p>
        </w:tc>
        <w:tc>
          <w:tcPr>
            <w:tcW w:type="dxa" w:w="2091"/>
            <w:tcMar>
              <w:top w:w="65" w:type="dxa"/>
              <w:start w:w="80" w:type="dxa"/>
              <w:bottom w:w="65" w:type="dxa"/>
              <w:end w:w="80" w:type="dxa"/>
            </w:tcMar>
            <w:vAlign w:val="top"/>
          </w:tcPr>
          <w:p>
            <w:pPr>
              <w:spacing w:after="0"/>
            </w:pPr>
            <w:r>
              <w:rPr>
                <w:sz w:val="12"/>
              </w:rPr>
              <w:t>Consumer discovery</w:t>
            </w:r>
          </w:p>
        </w:tc>
        <w:tc>
          <w:tcPr>
            <w:tcW w:type="dxa" w:w="2091"/>
            <w:tcMar>
              <w:top w:w="65" w:type="dxa"/>
              <w:start w:w="80" w:type="dxa"/>
              <w:bottom w:w="65" w:type="dxa"/>
              <w:end w:w="80" w:type="dxa"/>
            </w:tcMar>
            <w:vAlign w:val="top"/>
          </w:tcPr>
          <w:p>
            <w:pPr>
              <w:spacing w:after="0"/>
            </w:pPr>
            <w:r>
              <w:rPr>
                <w:sz w:val="12"/>
              </w:rPr>
              <w:t>Conversational discovery only after supply density/freshness/liquidity; broker-aligned routing.</w:t>
            </w:r>
          </w:p>
        </w:tc>
        <w:tc>
          <w:tcPr>
            <w:tcW w:type="dxa" w:w="2091"/>
            <w:tcMar>
              <w:top w:w="65" w:type="dxa"/>
              <w:start w:w="80" w:type="dxa"/>
              <w:bottom w:w="65" w:type="dxa"/>
              <w:end w:w="80" w:type="dxa"/>
            </w:tcMar>
            <w:vAlign w:val="top"/>
          </w:tcPr>
          <w:p>
            <w:pPr>
              <w:spacing w:after="0"/>
            </w:pPr>
            <w:r>
              <w:rPr>
                <w:sz w:val="12"/>
              </w:rPr>
              <w:t>Useful consumer experience in a concrete market without broker disintermediation.</w:t>
            </w:r>
          </w:p>
        </w:tc>
        <w:tc>
          <w:tcPr>
            <w:tcW w:type="dxa" w:w="2091"/>
            <w:tcMar>
              <w:top w:w="65" w:type="dxa"/>
              <w:start w:w="80" w:type="dxa"/>
              <w:bottom w:w="65" w:type="dxa"/>
              <w:end w:w="80" w:type="dxa"/>
            </w:tcMar>
            <w:vAlign w:val="top"/>
          </w:tcPr>
          <w:p>
            <w:pPr>
              <w:spacing w:after="0"/>
            </w:pPr>
            <w:r>
              <w:rPr>
                <w:sz w:val="12"/>
              </w:rPr>
              <w:t>Conditional option</w:t>
            </w:r>
          </w:p>
        </w:tc>
      </w:tr>
      <w:tr>
        <w:trPr>
          <w:cantSplit/>
        </w:trPr>
        <w:tc>
          <w:tcPr>
            <w:tcW w:type="dxa" w:w="2091"/>
            <w:tcMar>
              <w:top w:w="65" w:type="dxa"/>
              <w:start w:w="80" w:type="dxa"/>
              <w:bottom w:w="65" w:type="dxa"/>
              <w:end w:w="80" w:type="dxa"/>
            </w:tcMar>
            <w:vAlign w:val="top"/>
          </w:tcPr>
          <w:p>
            <w:pPr>
              <w:spacing w:after="0"/>
            </w:pPr>
            <w:r>
              <w:rPr>
                <w:sz w:val="12"/>
              </w:rPr>
              <w:t>R9</w:t>
            </w:r>
          </w:p>
        </w:tc>
        <w:tc>
          <w:tcPr>
            <w:tcW w:type="dxa" w:w="2091"/>
            <w:tcMar>
              <w:top w:w="65" w:type="dxa"/>
              <w:start w:w="80" w:type="dxa"/>
              <w:bottom w:w="65" w:type="dxa"/>
              <w:end w:w="80" w:type="dxa"/>
            </w:tcMar>
            <w:vAlign w:val="top"/>
          </w:tcPr>
          <w:p>
            <w:pPr>
              <w:spacing w:after="0"/>
            </w:pPr>
            <w:r>
              <w:rPr>
                <w:sz w:val="12"/>
              </w:rPr>
              <w:t>Governed improvement expansion</w:t>
            </w:r>
          </w:p>
        </w:tc>
        <w:tc>
          <w:tcPr>
            <w:tcW w:type="dxa" w:w="2091"/>
            <w:tcMar>
              <w:top w:w="65" w:type="dxa"/>
              <w:start w:w="80" w:type="dxa"/>
              <w:bottom w:w="65" w:type="dxa"/>
              <w:end w:w="80" w:type="dxa"/>
            </w:tcMar>
            <w:vAlign w:val="top"/>
          </w:tcPr>
          <w:p>
            <w:pPr>
              <w:spacing w:after="0"/>
            </w:pPr>
            <w:r>
              <w:rPr>
                <w:sz w:val="12"/>
              </w:rPr>
              <w:t>Platform learning inbox/pattern registry, evidence-gated proposals, eval/canary/rollback.</w:t>
            </w:r>
          </w:p>
        </w:tc>
        <w:tc>
          <w:tcPr>
            <w:tcW w:type="dxa" w:w="2091"/>
            <w:tcMar>
              <w:top w:w="65" w:type="dxa"/>
              <w:start w:w="80" w:type="dxa"/>
              <w:bottom w:w="65" w:type="dxa"/>
              <w:end w:w="80" w:type="dxa"/>
            </w:tcMar>
            <w:vAlign w:val="top"/>
          </w:tcPr>
          <w:p>
            <w:pPr>
              <w:spacing w:after="0"/>
            </w:pPr>
            <w:r>
              <w:rPr>
                <w:sz w:val="12"/>
              </w:rPr>
              <w:t>Measured improvements can be safely retained/rolled back; no silent self-modification.</w:t>
            </w:r>
          </w:p>
        </w:tc>
        <w:tc>
          <w:tcPr>
            <w:tcW w:type="dxa" w:w="2091"/>
            <w:tcMar>
              <w:top w:w="65" w:type="dxa"/>
              <w:start w:w="80" w:type="dxa"/>
              <w:bottom w:w="65" w:type="dxa"/>
              <w:end w:w="80" w:type="dxa"/>
            </w:tcMar>
            <w:vAlign w:val="top"/>
          </w:tcPr>
          <w:p>
            <w:pPr>
              <w:spacing w:after="0"/>
            </w:pPr>
            <w:r>
              <w:rPr>
                <w:sz w:val="12"/>
              </w:rPr>
              <w:t>Progressive</w:t>
            </w:r>
          </w:p>
        </w:tc>
      </w:tr>
    </w:tbl>
    <w:p>
      <w:pPr>
        <w:pStyle w:val="Heading1"/>
      </w:pPr>
      <w:r>
        <w:t>7. Why Relationship Operations should be next</w:t>
      </w:r>
    </w:p>
    <w:p>
      <w:pPr>
        <w:pStyle w:val="ListBullet"/>
      </w:pPr>
      <w:r>
        <w:t>It is closest to the current commercial wedge: lead response, profiling, matching, follow-up and visit progression already exist in Gu.</w:t>
      </w:r>
    </w:p>
    <w:p>
      <w:pPr>
        <w:pStyle w:val="ListBullet"/>
      </w:pPr>
      <w:r>
        <w:t>It exercises the foundations already built: durable Cases, Work Items, events/wake-ups, human involvement, evidence, contextual UI and outcome tracking.</w:t>
      </w:r>
    </w:p>
    <w:p>
      <w:pPr>
        <w:pStyle w:val="ListBullet"/>
      </w:pPr>
      <w:r>
        <w:t>It directly targets the Visit Rate / visit progression economic milestone rather than an internal platform capability.</w:t>
      </w:r>
    </w:p>
    <w:p>
      <w:pPr>
        <w:pStyle w:val="ListBullet"/>
      </w:pPr>
      <w:r>
        <w:t>It provides the downstream signals Demand Operations later needs.</w:t>
      </w:r>
    </w:p>
    <w:p>
      <w:pPr>
        <w:pStyle w:val="ListBullet"/>
      </w:pPr>
      <w:r>
        <w:t>It creates repeated cross-Case knowledge needs that can justify the first Business Brain slice with evidence rather than architecture enthusiasm.</w:t>
      </w:r>
    </w:p>
    <w:p>
      <w:pPr>
        <w:pStyle w:val="Heading1"/>
      </w:pPr>
      <w:r>
        <w:t>8. Relationship Operations v1 — proposed scope guard</w:t>
      </w:r>
    </w:p>
    <w:tbl>
      <w:tblPr>
        <w:tblStyle w:val="TableGrid"/>
        <w:tblW w:type="auto" w:w="0"/>
        <w:jc w:val="center"/>
        <w:tblLayout w:type="autofit"/>
        <w:tblLook w:firstColumn="1" w:firstRow="1" w:lastColumn="0" w:lastRow="0" w:noHBand="0" w:noVBand="1" w:val="04A0"/>
      </w:tblPr>
      <w:tblGrid>
        <w:gridCol w:w="5227"/>
        <w:gridCol w:w="5227"/>
      </w:tblGrid>
      <w:tr>
        <w:trPr>
          <w:tblHeader/>
          <w:cantSplit/>
        </w:trPr>
        <w:tc>
          <w:tcPr>
            <w:tcW w:type="dxa" w:w="5227"/>
            <w:shd w:fill="1F4E79"/>
            <w:tcMar>
              <w:top w:w="65" w:type="dxa"/>
              <w:start w:w="80" w:type="dxa"/>
              <w:bottom w:w="65" w:type="dxa"/>
              <w:end w:w="80" w:type="dxa"/>
            </w:tcMar>
            <w:vAlign w:val="center"/>
          </w:tcPr>
          <w:p>
            <w:r>
              <w:rPr>
                <w:b/>
                <w:color w:val="FFFFFF"/>
                <w:sz w:val="15"/>
              </w:rPr>
              <w:t>Must own durably</w:t>
            </w:r>
          </w:p>
        </w:tc>
        <w:tc>
          <w:tcPr>
            <w:tcW w:type="dxa" w:w="5227"/>
            <w:shd w:fill="1F4E79"/>
            <w:tcMar>
              <w:top w:w="65" w:type="dxa"/>
              <w:start w:w="80" w:type="dxa"/>
              <w:bottom w:w="65" w:type="dxa"/>
              <w:end w:w="80" w:type="dxa"/>
            </w:tcMar>
            <w:vAlign w:val="center"/>
          </w:tcPr>
          <w:p>
            <w:r>
              <w:rPr>
                <w:b/>
                <w:color w:val="FFFFFF"/>
                <w:sz w:val="15"/>
              </w:rPr>
              <w:t>Must not become</w:t>
            </w:r>
          </w:p>
        </w:tc>
      </w:tr>
      <w:tr>
        <w:trPr>
          <w:cantSplit/>
        </w:trPr>
        <w:tc>
          <w:tcPr>
            <w:tcW w:type="dxa" w:w="5227"/>
            <w:tcMar>
              <w:top w:w="65" w:type="dxa"/>
              <w:start w:w="80" w:type="dxa"/>
              <w:bottom w:w="65" w:type="dxa"/>
              <w:end w:w="80" w:type="dxa"/>
            </w:tcMar>
            <w:vAlign w:val="top"/>
          </w:tcPr>
          <w:p>
            <w:pPr>
              <w:spacing w:after="0"/>
            </w:pPr>
            <w:r>
              <w:rPr>
                <w:sz w:val="15"/>
              </w:rPr>
              <w:t>Opportunity identity, current intent, material changes, commitments, presented/matched properties, visit progression, next-work triggers, human decisions/evidence.</w:t>
            </w:r>
          </w:p>
        </w:tc>
        <w:tc>
          <w:tcPr>
            <w:tcW w:type="dxa" w:w="5227"/>
            <w:tcMar>
              <w:top w:w="65" w:type="dxa"/>
              <w:start w:w="80" w:type="dxa"/>
              <w:bottom w:w="65" w:type="dxa"/>
              <w:end w:w="80" w:type="dxa"/>
            </w:tcMar>
            <w:vAlign w:val="top"/>
          </w:tcPr>
          <w:p>
            <w:pPr>
              <w:spacing w:after="0"/>
            </w:pPr>
            <w:r>
              <w:rPr>
                <w:sz w:val="15"/>
              </w:rPr>
              <w:t>A second CRM copy; a rigid funnel; a transaction mega-case; a transcript store; a Case for every bounded lead question.</w:t>
            </w:r>
          </w:p>
        </w:tc>
      </w:tr>
    </w:tbl>
    <w:p/>
    <w:tbl>
      <w:tblPr>
        <w:tblStyle w:val="TableGrid"/>
        <w:tblW w:type="auto" w:w="0"/>
        <w:tblLook w:firstColumn="1" w:firstRow="1" w:lastColumn="0" w:lastRow="0" w:noHBand="0" w:noVBand="1" w:val="04A0"/>
      </w:tblPr>
      <w:tblGrid>
        <w:gridCol w:w="10454"/>
      </w:tblGrid>
      <w:tr>
        <w:tc>
          <w:tcPr>
            <w:tcW w:type="dxa" w:w="10454"/>
            <w:shd w:fill="D9EAF7"/>
            <w:tcMar>
              <w:top w:w="100" w:type="dxa"/>
              <w:start w:w="120" w:type="dxa"/>
              <w:bottom w:w="100" w:type="dxa"/>
              <w:end w:w="120" w:type="dxa"/>
            </w:tcMar>
          </w:tcPr>
          <w:p>
            <w:r>
              <w:rPr>
                <w:b/>
                <w:color w:val="1F4E79"/>
                <w:sz w:val="18"/>
              </w:rPr>
              <w:t xml:space="preserve">Absorption rule.  </w:t>
            </w:r>
            <w:r>
              <w:rPr>
                <w:sz w:val="18"/>
              </w:rPr>
              <w:t>Preserve proven Traditional Gu lead engagement, matching, CRM/property integrations and WhatsApp-first semantics. Move only durable responsibility, commitments, follow-up scheduling, evidence and outcome state into Gu OS primitives. Do not duplicate all legacy tables because the target architecture is cleaner.</w:t>
            </w:r>
          </w:p>
        </w:tc>
      </w:tr>
    </w:tbl>
    <w:p/>
    <w:p>
      <w:pPr>
        <w:pStyle w:val="Heading1"/>
      </w:pPr>
      <w:r>
        <w:t>9. Cross-cutting workstreams that should leave the top-level roadmap</w:t>
      </w:r>
    </w:p>
    <w:tbl>
      <w:tblPr>
        <w:tblStyle w:val="TableGrid"/>
        <w:tblW w:type="auto" w:w="0"/>
        <w:jc w:val="center"/>
        <w:tblLayout w:type="autofit"/>
        <w:tblLook w:firstColumn="1" w:firstRow="1" w:lastColumn="0" w:lastRow="0" w:noHBand="0" w:noVBand="1" w:val="04A0"/>
      </w:tblPr>
      <w:tblGrid>
        <w:gridCol w:w="5227"/>
        <w:gridCol w:w="5227"/>
      </w:tblGrid>
      <w:tr>
        <w:trPr>
          <w:tblHeader/>
          <w:cantSplit/>
        </w:trPr>
        <w:tc>
          <w:tcPr>
            <w:tcW w:type="dxa" w:w="5227"/>
            <w:shd w:fill="1F4E79"/>
            <w:tcMar>
              <w:top w:w="65" w:type="dxa"/>
              <w:start w:w="80" w:type="dxa"/>
              <w:bottom w:w="65" w:type="dxa"/>
              <w:end w:w="80" w:type="dxa"/>
            </w:tcMar>
            <w:vAlign w:val="center"/>
          </w:tcPr>
          <w:p>
            <w:r>
              <w:rPr>
                <w:b/>
                <w:color w:val="FFFFFF"/>
                <w:sz w:val="14"/>
              </w:rPr>
              <w:t>Workstream</w:t>
            </w:r>
          </w:p>
        </w:tc>
        <w:tc>
          <w:tcPr>
            <w:tcW w:type="dxa" w:w="5227"/>
            <w:shd w:fill="1F4E79"/>
            <w:tcMar>
              <w:top w:w="65" w:type="dxa"/>
              <w:start w:w="80" w:type="dxa"/>
              <w:bottom w:w="65" w:type="dxa"/>
              <w:end w:w="80" w:type="dxa"/>
            </w:tcMar>
            <w:vAlign w:val="center"/>
          </w:tcPr>
          <w:p>
            <w:r>
              <w:rPr>
                <w:b/>
                <w:color w:val="FFFFFF"/>
                <w:sz w:val="14"/>
              </w:rPr>
              <w:t>Trigger / proper owner</w:t>
            </w:r>
          </w:p>
        </w:tc>
      </w:tr>
      <w:tr>
        <w:trPr>
          <w:cantSplit/>
        </w:trPr>
        <w:tc>
          <w:tcPr>
            <w:tcW w:type="dxa" w:w="5227"/>
            <w:tcMar>
              <w:top w:w="65" w:type="dxa"/>
              <w:start w:w="80" w:type="dxa"/>
              <w:bottom w:w="65" w:type="dxa"/>
              <w:end w:w="80" w:type="dxa"/>
            </w:tcMar>
            <w:vAlign w:val="top"/>
          </w:tcPr>
          <w:p>
            <w:pPr>
              <w:spacing w:after="0"/>
            </w:pPr>
            <w:r>
              <w:rPr>
                <w:sz w:val="14"/>
              </w:rPr>
              <w:t>Private Skill package lifecycle / ADR-0011</w:t>
            </w:r>
          </w:p>
        </w:tc>
        <w:tc>
          <w:tcPr>
            <w:tcW w:type="dxa" w:w="5227"/>
            <w:tcMar>
              <w:top w:w="65" w:type="dxa"/>
              <w:start w:w="80" w:type="dxa"/>
              <w:bottom w:w="65" w:type="dxa"/>
              <w:end w:w="80" w:type="dxa"/>
            </w:tcMar>
            <w:vAlign w:val="top"/>
          </w:tcPr>
          <w:p>
            <w:pPr>
              <w:spacing w:after="0"/>
            </w:pPr>
            <w:r>
              <w:rPr>
                <w:sz w:val="14"/>
              </w:rPr>
              <w:t>Technical capability backlog; implement when package/version/rollback needs block a real workflow.</w:t>
            </w:r>
          </w:p>
        </w:tc>
      </w:tr>
      <w:tr>
        <w:trPr>
          <w:cantSplit/>
        </w:trPr>
        <w:tc>
          <w:tcPr>
            <w:tcW w:type="dxa" w:w="5227"/>
            <w:tcMar>
              <w:top w:w="65" w:type="dxa"/>
              <w:start w:w="80" w:type="dxa"/>
              <w:bottom w:w="65" w:type="dxa"/>
              <w:end w:w="80" w:type="dxa"/>
            </w:tcMar>
            <w:vAlign w:val="top"/>
          </w:tcPr>
          <w:p>
            <w:pPr>
              <w:spacing w:after="0"/>
            </w:pPr>
            <w:r>
              <w:rPr>
                <w:sz w:val="14"/>
              </w:rPr>
              <w:t>Dynamic multi-skill / subagents</w:t>
            </w:r>
          </w:p>
        </w:tc>
        <w:tc>
          <w:tcPr>
            <w:tcW w:type="dxa" w:w="5227"/>
            <w:tcMar>
              <w:top w:w="65" w:type="dxa"/>
              <w:start w:w="80" w:type="dxa"/>
              <w:bottom w:w="65" w:type="dxa"/>
              <w:end w:w="80" w:type="dxa"/>
            </w:tcMar>
            <w:vAlign w:val="top"/>
          </w:tcPr>
          <w:p>
            <w:pPr>
              <w:spacing w:after="0"/>
            </w:pPr>
            <w:r>
              <w:rPr>
                <w:sz w:val="14"/>
              </w:rPr>
              <w:t>Execution pattern; introduce only when observed repeated demand cannot be handled by dominant Skill + references/composites/capability dispatch.</w:t>
            </w:r>
          </w:p>
        </w:tc>
      </w:tr>
      <w:tr>
        <w:trPr>
          <w:cantSplit/>
        </w:trPr>
        <w:tc>
          <w:tcPr>
            <w:tcW w:type="dxa" w:w="5227"/>
            <w:tcMar>
              <w:top w:w="65" w:type="dxa"/>
              <w:start w:w="80" w:type="dxa"/>
              <w:bottom w:w="65" w:type="dxa"/>
              <w:end w:w="80" w:type="dxa"/>
            </w:tcMar>
            <w:vAlign w:val="top"/>
          </w:tcPr>
          <w:p>
            <w:pPr>
              <w:spacing w:after="0"/>
            </w:pPr>
            <w:r>
              <w:rPr>
                <w:sz w:val="14"/>
              </w:rPr>
              <w:t>Voice / cross-channel general antecedents</w:t>
            </w:r>
          </w:p>
        </w:tc>
        <w:tc>
          <w:tcPr>
            <w:tcW w:type="dxa" w:w="5227"/>
            <w:tcMar>
              <w:top w:w="65" w:type="dxa"/>
              <w:start w:w="80" w:type="dxa"/>
              <w:bottom w:w="65" w:type="dxa"/>
              <w:end w:w="80" w:type="dxa"/>
            </w:tcMar>
            <w:vAlign w:val="top"/>
          </w:tcPr>
          <w:p>
            <w:pPr>
              <w:spacing w:after="0"/>
            </w:pPr>
            <w:r>
              <w:rPr>
                <w:sz w:val="14"/>
              </w:rPr>
              <w:t>Product capability gated by live workflow/channel evidence; does not redefine Case or decision continuity.</w:t>
            </w:r>
          </w:p>
        </w:tc>
      </w:tr>
      <w:tr>
        <w:trPr>
          <w:cantSplit/>
        </w:trPr>
        <w:tc>
          <w:tcPr>
            <w:tcW w:type="dxa" w:w="5227"/>
            <w:tcMar>
              <w:top w:w="65" w:type="dxa"/>
              <w:start w:w="80" w:type="dxa"/>
              <w:bottom w:w="65" w:type="dxa"/>
              <w:end w:w="80" w:type="dxa"/>
            </w:tcMar>
            <w:vAlign w:val="top"/>
          </w:tcPr>
          <w:p>
            <w:pPr>
              <w:spacing w:after="0"/>
            </w:pPr>
            <w:r>
              <w:rPr>
                <w:sz w:val="14"/>
              </w:rPr>
              <w:t>Sandbox / generated executable artifacts</w:t>
            </w:r>
          </w:p>
        </w:tc>
        <w:tc>
          <w:tcPr>
            <w:tcW w:type="dxa" w:w="5227"/>
            <w:tcMar>
              <w:top w:w="65" w:type="dxa"/>
              <w:start w:w="80" w:type="dxa"/>
              <w:bottom w:w="65" w:type="dxa"/>
              <w:end w:w="80" w:type="dxa"/>
            </w:tcMar>
            <w:vAlign w:val="top"/>
          </w:tcPr>
          <w:p>
            <w:pPr>
              <w:spacing w:after="0"/>
            </w:pPr>
            <w:r>
              <w:rPr>
                <w:sz w:val="14"/>
              </w:rPr>
              <w:t>Security/execution environment capability, triggered by a product need; generated code never grants authority.</w:t>
            </w:r>
          </w:p>
        </w:tc>
      </w:tr>
      <w:tr>
        <w:trPr>
          <w:cantSplit/>
        </w:trPr>
        <w:tc>
          <w:tcPr>
            <w:tcW w:type="dxa" w:w="5227"/>
            <w:tcMar>
              <w:top w:w="65" w:type="dxa"/>
              <w:start w:w="80" w:type="dxa"/>
              <w:bottom w:w="65" w:type="dxa"/>
              <w:end w:w="80" w:type="dxa"/>
            </w:tcMar>
            <w:vAlign w:val="top"/>
          </w:tcPr>
          <w:p>
            <w:pPr>
              <w:spacing w:after="0"/>
            </w:pPr>
            <w:r>
              <w:rPr>
                <w:sz w:val="14"/>
              </w:rPr>
              <w:t>Full Brain ingestion / graph / pattern mining</w:t>
            </w:r>
          </w:p>
        </w:tc>
        <w:tc>
          <w:tcPr>
            <w:tcW w:type="dxa" w:w="5227"/>
            <w:tcMar>
              <w:top w:w="65" w:type="dxa"/>
              <w:start w:w="80" w:type="dxa"/>
              <w:bottom w:w="65" w:type="dxa"/>
              <w:end w:w="80" w:type="dxa"/>
            </w:tcMar>
            <w:vAlign w:val="top"/>
          </w:tcPr>
          <w:p>
            <w:pPr>
              <w:spacing w:after="0"/>
            </w:pPr>
            <w:r>
              <w:rPr>
                <w:sz w:val="14"/>
              </w:rPr>
              <w:t>Brain canonical plan; start from one product-backed knowledge need.</w:t>
            </w:r>
          </w:p>
        </w:tc>
      </w:tr>
      <w:tr>
        <w:trPr>
          <w:cantSplit/>
        </w:trPr>
        <w:tc>
          <w:tcPr>
            <w:tcW w:type="dxa" w:w="5227"/>
            <w:tcMar>
              <w:top w:w="65" w:type="dxa"/>
              <w:start w:w="80" w:type="dxa"/>
              <w:bottom w:w="65" w:type="dxa"/>
              <w:end w:w="80" w:type="dxa"/>
            </w:tcMar>
            <w:vAlign w:val="top"/>
          </w:tcPr>
          <w:p>
            <w:pPr>
              <w:spacing w:after="0"/>
            </w:pPr>
            <w:r>
              <w:rPr>
                <w:sz w:val="14"/>
              </w:rPr>
              <w:t>External inspiration mappings</w:t>
            </w:r>
          </w:p>
        </w:tc>
        <w:tc>
          <w:tcPr>
            <w:tcW w:type="dxa" w:w="5227"/>
            <w:tcMar>
              <w:top w:w="65" w:type="dxa"/>
              <w:start w:w="80" w:type="dxa"/>
              <w:bottom w:w="65" w:type="dxa"/>
              <w:end w:w="80" w:type="dxa"/>
            </w:tcMar>
            <w:vAlign w:val="top"/>
          </w:tcPr>
          <w:p>
            <w:pPr>
              <w:spacing w:after="0"/>
            </w:pPr>
            <w:r>
              <w:rPr>
                <w:sz w:val="14"/>
              </w:rPr>
              <w:t>Reference/analysis docs, not roadmap authority.</w:t>
            </w:r>
          </w:p>
        </w:tc>
      </w:tr>
    </w:tbl>
    <w:p>
      <w:pPr>
        <w:pStyle w:val="Heading1"/>
      </w:pPr>
      <w:r>
        <w:t>10. Recommended repository change after approval</w:t>
      </w:r>
    </w:p>
    <w:tbl>
      <w:tblPr>
        <w:tblStyle w:val="TableGrid"/>
        <w:tblW w:type="auto" w:w="0"/>
        <w:jc w:val="center"/>
        <w:tblLayout w:type="autofit"/>
        <w:tblLook w:firstColumn="1" w:firstRow="1" w:lastColumn="0" w:lastRow="0" w:noHBand="0" w:noVBand="1" w:val="04A0"/>
      </w:tblPr>
      <w:tblGrid>
        <w:gridCol w:w="5227"/>
        <w:gridCol w:w="5227"/>
      </w:tblGrid>
      <w:tr>
        <w:trPr>
          <w:tblHeader/>
          <w:cantSplit/>
        </w:trPr>
        <w:tc>
          <w:tcPr>
            <w:tcW w:type="dxa" w:w="5227"/>
            <w:shd w:fill="1F4E79"/>
            <w:tcMar>
              <w:top w:w="65" w:type="dxa"/>
              <w:start w:w="80" w:type="dxa"/>
              <w:bottom w:w="65" w:type="dxa"/>
              <w:end w:w="80" w:type="dxa"/>
            </w:tcMar>
            <w:vAlign w:val="center"/>
          </w:tcPr>
          <w:p>
            <w:r>
              <w:rPr>
                <w:b/>
                <w:color w:val="FFFFFF"/>
                <w:sz w:val="15"/>
              </w:rPr>
              <w:t>Action</w:t>
            </w:r>
          </w:p>
        </w:tc>
        <w:tc>
          <w:tcPr>
            <w:tcW w:type="dxa" w:w="5227"/>
            <w:shd w:fill="1F4E79"/>
            <w:tcMar>
              <w:top w:w="65" w:type="dxa"/>
              <w:start w:w="80" w:type="dxa"/>
              <w:bottom w:w="65" w:type="dxa"/>
              <w:end w:w="80" w:type="dxa"/>
            </w:tcMar>
            <w:vAlign w:val="center"/>
          </w:tcPr>
          <w:p>
            <w:r>
              <w:rPr>
                <w:b/>
                <w:color w:val="FFFFFF"/>
                <w:sz w:val="15"/>
              </w:rPr>
              <w:t>Recommendation</w:t>
            </w:r>
          </w:p>
        </w:tc>
      </w:tr>
      <w:tr>
        <w:trPr>
          <w:cantSplit/>
        </w:trPr>
        <w:tc>
          <w:tcPr>
            <w:tcW w:type="dxa" w:w="5227"/>
            <w:tcMar>
              <w:top w:w="65" w:type="dxa"/>
              <w:start w:w="80" w:type="dxa"/>
              <w:bottom w:w="65" w:type="dxa"/>
              <w:end w:w="80" w:type="dxa"/>
            </w:tcMar>
            <w:vAlign w:val="top"/>
          </w:tcPr>
          <w:p>
            <w:pPr>
              <w:spacing w:after="0"/>
            </w:pPr>
            <w:r>
              <w:rPr>
                <w:sz w:val="14"/>
              </w:rPr>
              <w:t>Create new canonical roadmap</w:t>
            </w:r>
          </w:p>
        </w:tc>
        <w:tc>
          <w:tcPr>
            <w:tcW w:type="dxa" w:w="5227"/>
            <w:tcMar>
              <w:top w:w="65" w:type="dxa"/>
              <w:start w:w="80" w:type="dxa"/>
              <w:bottom w:w="65" w:type="dxa"/>
              <w:end w:w="80" w:type="dxa"/>
            </w:tcMar>
            <w:vAlign w:val="top"/>
          </w:tcPr>
          <w:p>
            <w:pPr>
              <w:spacing w:after="0"/>
            </w:pPr>
            <w:r>
              <w:rPr>
                <w:sz w:val="14"/>
              </w:rPr>
              <w:t>`docs/roadmap/gu-os-evolution-roadmap.md`</w:t>
            </w:r>
          </w:p>
        </w:tc>
      </w:tr>
      <w:tr>
        <w:trPr>
          <w:cantSplit/>
        </w:trPr>
        <w:tc>
          <w:tcPr>
            <w:tcW w:type="dxa" w:w="5227"/>
            <w:tcMar>
              <w:top w:w="65" w:type="dxa"/>
              <w:start w:w="80" w:type="dxa"/>
              <w:bottom w:w="65" w:type="dxa"/>
              <w:end w:w="80" w:type="dxa"/>
            </w:tcMar>
            <w:vAlign w:val="top"/>
          </w:tcPr>
          <w:p>
            <w:pPr>
              <w:spacing w:after="0"/>
            </w:pPr>
            <w:r>
              <w:rPr>
                <w:sz w:val="14"/>
              </w:rPr>
              <w:t>Update docs authority map</w:t>
            </w:r>
          </w:p>
        </w:tc>
        <w:tc>
          <w:tcPr>
            <w:tcW w:type="dxa" w:w="5227"/>
            <w:tcMar>
              <w:top w:w="65" w:type="dxa"/>
              <w:start w:w="80" w:type="dxa"/>
              <w:bottom w:w="65" w:type="dxa"/>
              <w:end w:w="80" w:type="dxa"/>
            </w:tcMar>
            <w:vAlign w:val="top"/>
          </w:tcPr>
          <w:p>
            <w:pPr>
              <w:spacing w:after="0"/>
            </w:pPr>
            <w:r>
              <w:rPr>
                <w:sz w:val="14"/>
              </w:rPr>
              <w:t>Point Product sequencing in `docs/README.md` to the new roadmap.</w:t>
            </w:r>
          </w:p>
        </w:tc>
      </w:tr>
      <w:tr>
        <w:trPr>
          <w:cantSplit/>
        </w:trPr>
        <w:tc>
          <w:tcPr>
            <w:tcW w:type="dxa" w:w="5227"/>
            <w:tcMar>
              <w:top w:w="65" w:type="dxa"/>
              <w:start w:w="80" w:type="dxa"/>
              <w:bottom w:w="65" w:type="dxa"/>
              <w:end w:w="80" w:type="dxa"/>
            </w:tcMar>
            <w:vAlign w:val="top"/>
          </w:tcPr>
          <w:p>
            <w:pPr>
              <w:spacing w:after="0"/>
            </w:pPr>
            <w:r>
              <w:rPr>
                <w:sz w:val="14"/>
              </w:rPr>
              <w:t>Preserve old links/history</w:t>
            </w:r>
          </w:p>
        </w:tc>
        <w:tc>
          <w:tcPr>
            <w:tcW w:type="dxa" w:w="5227"/>
            <w:tcMar>
              <w:top w:w="65" w:type="dxa"/>
              <w:start w:w="80" w:type="dxa"/>
              <w:bottom w:w="65" w:type="dxa"/>
              <w:end w:w="80" w:type="dxa"/>
            </w:tcMar>
            <w:vAlign w:val="top"/>
          </w:tcPr>
          <w:p>
            <w:pPr>
              <w:spacing w:after="0"/>
            </w:pPr>
            <w:r>
              <w:rPr>
                <w:sz w:val="14"/>
              </w:rPr>
              <w:t>Replace `docs/business-brain-evolution-roadmap.md` with a short supersession stub pointing to new roadmap + Brain plan.</w:t>
            </w:r>
          </w:p>
        </w:tc>
      </w:tr>
      <w:tr>
        <w:trPr>
          <w:cantSplit/>
        </w:trPr>
        <w:tc>
          <w:tcPr>
            <w:tcW w:type="dxa" w:w="5227"/>
            <w:tcMar>
              <w:top w:w="65" w:type="dxa"/>
              <w:start w:w="80" w:type="dxa"/>
              <w:bottom w:w="65" w:type="dxa"/>
              <w:end w:w="80" w:type="dxa"/>
            </w:tcMar>
            <w:vAlign w:val="top"/>
          </w:tcPr>
          <w:p>
            <w:pPr>
              <w:spacing w:after="0"/>
            </w:pPr>
            <w:r>
              <w:rPr>
                <w:sz w:val="14"/>
              </w:rPr>
              <w:t>Historical preservation</w:t>
            </w:r>
          </w:p>
        </w:tc>
        <w:tc>
          <w:tcPr>
            <w:tcW w:type="dxa" w:w="5227"/>
            <w:tcMar>
              <w:top w:w="65" w:type="dxa"/>
              <w:start w:w="80" w:type="dxa"/>
              <w:bottom w:w="65" w:type="dxa"/>
              <w:end w:w="80" w:type="dxa"/>
            </w:tcMar>
            <w:vAlign w:val="top"/>
          </w:tcPr>
          <w:p>
            <w:pPr>
              <w:spacing w:after="0"/>
            </w:pPr>
            <w:r>
              <w:rPr>
                <w:sz w:val="14"/>
              </w:rPr>
              <w:t>Use Git history as the full archive; do not duplicate the huge old roadmap into another file unless a real archival requirement appears.</w:t>
            </w:r>
          </w:p>
        </w:tc>
      </w:tr>
      <w:tr>
        <w:trPr>
          <w:cantSplit/>
        </w:trPr>
        <w:tc>
          <w:tcPr>
            <w:tcW w:type="dxa" w:w="5227"/>
            <w:tcMar>
              <w:top w:w="65" w:type="dxa"/>
              <w:start w:w="80" w:type="dxa"/>
              <w:bottom w:w="65" w:type="dxa"/>
              <w:end w:w="80" w:type="dxa"/>
            </w:tcMar>
            <w:vAlign w:val="top"/>
          </w:tcPr>
          <w:p>
            <w:pPr>
              <w:spacing w:after="0"/>
            </w:pPr>
            <w:r>
              <w:rPr>
                <w:sz w:val="14"/>
              </w:rPr>
              <w:t>Update incoming links</w:t>
            </w:r>
          </w:p>
        </w:tc>
        <w:tc>
          <w:tcPr>
            <w:tcW w:type="dxa" w:w="5227"/>
            <w:tcMar>
              <w:top w:w="65" w:type="dxa"/>
              <w:start w:w="80" w:type="dxa"/>
              <w:bottom w:w="65" w:type="dxa"/>
              <w:end w:w="80" w:type="dxa"/>
            </w:tcMar>
            <w:vAlign w:val="top"/>
          </w:tcPr>
          <w:p>
            <w:pPr>
              <w:spacing w:after="0"/>
            </w:pPr>
            <w:r>
              <w:rPr>
                <w:sz w:val="14"/>
              </w:rPr>
              <w:t>Migrate high-value links over time; the stub prevents dead ends.</w:t>
            </w:r>
          </w:p>
        </w:tc>
      </w:tr>
    </w:tbl>
    <w:p>
      <w:pPr>
        <w:pStyle w:val="Heading1"/>
      </w:pPr>
      <w:r>
        <w:t>11. Decisions to approve before replacing the canonical roadmap</w:t>
      </w:r>
    </w:p>
    <w:p>
      <w:pPr>
        <w:pStyle w:val="ListNumber"/>
      </w:pPr>
      <w:r>
        <w:t>Accept R1 Relationship Operations as the primary product increment after R0 closure.</w:t>
      </w:r>
    </w:p>
    <w:p>
      <w:pPr>
        <w:pStyle w:val="ListNumber"/>
      </w:pPr>
      <w:r>
        <w:t>Accept that R2 outcome/repeatability instrumentation starts during R1 rather than after it.</w:t>
      </w:r>
    </w:p>
    <w:p>
      <w:pPr>
        <w:pStyle w:val="ListNumber"/>
      </w:pPr>
      <w:r>
        <w:t>Treat Organization/multi-seat as evidence-gated instead of automatically 'V3'.</w:t>
      </w:r>
    </w:p>
    <w:p>
      <w:pPr>
        <w:pStyle w:val="ListNumber"/>
      </w:pPr>
      <w:r>
        <w:t>Treat full Business Brain as product-demand-driven rather than the next automatic phase after workflows.</w:t>
      </w:r>
    </w:p>
    <w:p>
      <w:pPr>
        <w:pStyle w:val="ListNumber"/>
      </w:pPr>
      <w:r>
        <w:t>Create `docs/roadmap/gu-os-evolution-roadmap.md` and turn the current roadmap into a supersession stub.</w:t>
      </w:r>
    </w:p>
    <w:p>
      <w:pPr>
        <w:pStyle w:val="Heading1"/>
      </w:pPr>
      <w:r>
        <w:t>Appendix A — Source-role reconciliation</w:t>
      </w:r>
    </w:p>
    <w:tbl>
      <w:tblPr>
        <w:tblStyle w:val="TableGrid"/>
        <w:tblW w:type="auto" w:w="0"/>
        <w:jc w:val="center"/>
        <w:tblLayout w:type="autofit"/>
        <w:tblLook w:firstColumn="1" w:firstRow="1" w:lastColumn="0" w:lastRow="0" w:noHBand="0" w:noVBand="1" w:val="04A0"/>
      </w:tblPr>
      <w:tblGrid>
        <w:gridCol w:w="5227"/>
        <w:gridCol w:w="5227"/>
      </w:tblGrid>
      <w:tr>
        <w:trPr>
          <w:tblHeader/>
          <w:cantSplit/>
        </w:trPr>
        <w:tc>
          <w:tcPr>
            <w:tcW w:type="dxa" w:w="5227"/>
            <w:shd w:fill="1F4E79"/>
            <w:tcMar>
              <w:top w:w="65" w:type="dxa"/>
              <w:start w:w="80" w:type="dxa"/>
              <w:bottom w:w="65" w:type="dxa"/>
              <w:end w:w="80" w:type="dxa"/>
            </w:tcMar>
            <w:vAlign w:val="center"/>
          </w:tcPr>
          <w:p>
            <w:r>
              <w:rPr>
                <w:b/>
                <w:color w:val="FFFFFF"/>
                <w:sz w:val="15"/>
              </w:rPr>
              <w:t>Source</w:t>
            </w:r>
          </w:p>
        </w:tc>
        <w:tc>
          <w:tcPr>
            <w:tcW w:type="dxa" w:w="5227"/>
            <w:shd w:fill="1F4E79"/>
            <w:tcMar>
              <w:top w:w="65" w:type="dxa"/>
              <w:start w:w="80" w:type="dxa"/>
              <w:bottom w:w="65" w:type="dxa"/>
              <w:end w:w="80" w:type="dxa"/>
            </w:tcMar>
            <w:vAlign w:val="center"/>
          </w:tcPr>
          <w:p>
            <w:r>
              <w:rPr>
                <w:b/>
                <w:color w:val="FFFFFF"/>
                <w:sz w:val="15"/>
              </w:rPr>
              <w:t>What it owns after this revalidation</w:t>
            </w:r>
          </w:p>
        </w:tc>
      </w:tr>
      <w:tr>
        <w:trPr>
          <w:cantSplit/>
        </w:trPr>
        <w:tc>
          <w:tcPr>
            <w:tcW w:type="dxa" w:w="5227"/>
            <w:tcMar>
              <w:top w:w="65" w:type="dxa"/>
              <w:start w:w="80" w:type="dxa"/>
              <w:bottom w:w="65" w:type="dxa"/>
              <w:end w:w="80" w:type="dxa"/>
            </w:tcMar>
            <w:vAlign w:val="top"/>
          </w:tcPr>
          <w:p>
            <w:pPr>
              <w:spacing w:after="0"/>
            </w:pPr>
            <w:r>
              <w:rPr>
                <w:sz w:val="14"/>
              </w:rPr>
              <w:t>docs/product/PRD.md</w:t>
            </w:r>
          </w:p>
        </w:tc>
        <w:tc>
          <w:tcPr>
            <w:tcW w:type="dxa" w:w="5227"/>
            <w:tcMar>
              <w:top w:w="65" w:type="dxa"/>
              <w:start w:w="80" w:type="dxa"/>
              <w:bottom w:w="65" w:type="dxa"/>
              <w:end w:w="80" w:type="dxa"/>
            </w:tcMar>
            <w:vAlign w:val="top"/>
          </w:tcPr>
          <w:p>
            <w:pPr>
              <w:spacing w:after="0"/>
            </w:pPr>
            <w:r>
              <w:rPr>
                <w:sz w:val="14"/>
              </w:rPr>
              <w:t>Product intent, target users, product model, domains, success and strategic boundaries.</w:t>
            </w:r>
          </w:p>
        </w:tc>
      </w:tr>
      <w:tr>
        <w:trPr>
          <w:cantSplit/>
        </w:trPr>
        <w:tc>
          <w:tcPr>
            <w:tcW w:type="dxa" w:w="5227"/>
            <w:tcMar>
              <w:top w:w="65" w:type="dxa"/>
              <w:start w:w="80" w:type="dxa"/>
              <w:bottom w:w="65" w:type="dxa"/>
              <w:end w:w="80" w:type="dxa"/>
            </w:tcMar>
            <w:vAlign w:val="top"/>
          </w:tcPr>
          <w:p>
            <w:pPr>
              <w:spacing w:after="0"/>
            </w:pPr>
            <w:r>
              <w:rPr>
                <w:sz w:val="14"/>
              </w:rPr>
              <w:t>docs/principles/gu-os-principles-and-design-doctrine.md</w:t>
            </w:r>
          </w:p>
        </w:tc>
        <w:tc>
          <w:tcPr>
            <w:tcW w:type="dxa" w:w="5227"/>
            <w:tcMar>
              <w:top w:w="65" w:type="dxa"/>
              <w:start w:w="80" w:type="dxa"/>
              <w:bottom w:w="65" w:type="dxa"/>
              <w:end w:w="80" w:type="dxa"/>
            </w:tcMar>
            <w:vAlign w:val="top"/>
          </w:tcPr>
          <w:p>
            <w:pPr>
              <w:spacing w:after="0"/>
            </w:pPr>
            <w:r>
              <w:rPr>
                <w:sz w:val="14"/>
              </w:rPr>
              <w:t>Recurring values/principles/invariants/patterns.</w:t>
            </w:r>
          </w:p>
        </w:tc>
      </w:tr>
      <w:tr>
        <w:trPr>
          <w:cantSplit/>
        </w:trPr>
        <w:tc>
          <w:tcPr>
            <w:tcW w:type="dxa" w:w="5227"/>
            <w:tcMar>
              <w:top w:w="65" w:type="dxa"/>
              <w:start w:w="80" w:type="dxa"/>
              <w:bottom w:w="65" w:type="dxa"/>
              <w:end w:w="80" w:type="dxa"/>
            </w:tcMar>
            <w:vAlign w:val="top"/>
          </w:tcPr>
          <w:p>
            <w:pPr>
              <w:spacing w:after="0"/>
            </w:pPr>
            <w:r>
              <w:rPr>
                <w:sz w:val="14"/>
              </w:rPr>
              <w:t>docs/roadmap/gu-os-evolution-roadmap.md</w:t>
            </w:r>
          </w:p>
        </w:tc>
        <w:tc>
          <w:tcPr>
            <w:tcW w:type="dxa" w:w="5227"/>
            <w:tcMar>
              <w:top w:w="65" w:type="dxa"/>
              <w:start w:w="80" w:type="dxa"/>
              <w:bottom w:w="65" w:type="dxa"/>
              <w:end w:w="80" w:type="dxa"/>
            </w:tcMar>
            <w:vAlign w:val="top"/>
          </w:tcPr>
          <w:p>
            <w:pPr>
              <w:spacing w:after="0"/>
            </w:pPr>
            <w:r>
              <w:rPr>
                <w:sz w:val="14"/>
              </w:rPr>
              <w:t>Sequencing, dependencies, status, graduation evidence.</w:t>
            </w:r>
          </w:p>
        </w:tc>
      </w:tr>
      <w:tr>
        <w:trPr>
          <w:cantSplit/>
        </w:trPr>
        <w:tc>
          <w:tcPr>
            <w:tcW w:type="dxa" w:w="5227"/>
            <w:tcMar>
              <w:top w:w="65" w:type="dxa"/>
              <w:start w:w="80" w:type="dxa"/>
              <w:bottom w:w="65" w:type="dxa"/>
              <w:end w:w="80" w:type="dxa"/>
            </w:tcMar>
            <w:vAlign w:val="top"/>
          </w:tcPr>
          <w:p>
            <w:pPr>
              <w:spacing w:after="0"/>
            </w:pPr>
            <w:r>
              <w:rPr>
                <w:sz w:val="14"/>
              </w:rPr>
              <w:t>docs/manuals/architecture-manual.md + topic plans</w:t>
            </w:r>
          </w:p>
        </w:tc>
        <w:tc>
          <w:tcPr>
            <w:tcW w:type="dxa" w:w="5227"/>
            <w:tcMar>
              <w:top w:w="65" w:type="dxa"/>
              <w:start w:w="80" w:type="dxa"/>
              <w:bottom w:w="65" w:type="dxa"/>
              <w:end w:w="80" w:type="dxa"/>
            </w:tcMar>
            <w:vAlign w:val="top"/>
          </w:tcPr>
          <w:p>
            <w:pPr>
              <w:spacing w:after="0"/>
            </w:pPr>
            <w:r>
              <w:rPr>
                <w:sz w:val="14"/>
              </w:rPr>
              <w:t>Integrated and subsystem architecture.</w:t>
            </w:r>
          </w:p>
        </w:tc>
      </w:tr>
      <w:tr>
        <w:trPr>
          <w:cantSplit/>
        </w:trPr>
        <w:tc>
          <w:tcPr>
            <w:tcW w:type="dxa" w:w="5227"/>
            <w:tcMar>
              <w:top w:w="65" w:type="dxa"/>
              <w:start w:w="80" w:type="dxa"/>
              <w:bottom w:w="65" w:type="dxa"/>
              <w:end w:w="80" w:type="dxa"/>
            </w:tcMar>
            <w:vAlign w:val="top"/>
          </w:tcPr>
          <w:p>
            <w:pPr>
              <w:spacing w:after="0"/>
            </w:pPr>
            <w:r>
              <w:rPr>
                <w:sz w:val="14"/>
              </w:rPr>
              <w:t>docs/manuals/gu-os-flexible-workflows-detailed-implementation-plan.md</w:t>
            </w:r>
          </w:p>
        </w:tc>
        <w:tc>
          <w:tcPr>
            <w:tcW w:type="dxa" w:w="5227"/>
            <w:tcMar>
              <w:top w:w="65" w:type="dxa"/>
              <w:start w:w="80" w:type="dxa"/>
              <w:bottom w:w="65" w:type="dxa"/>
              <w:end w:w="80" w:type="dxa"/>
            </w:tcMar>
            <w:vAlign w:val="top"/>
          </w:tcPr>
          <w:p>
            <w:pPr>
              <w:spacing w:after="0"/>
            </w:pPr>
            <w:r>
              <w:rPr>
                <w:sz w:val="14"/>
              </w:rPr>
              <w:t>Executable engineering history/checklist for Flexible Workflows/Studio/Durable Tasks.</w:t>
            </w:r>
          </w:p>
        </w:tc>
      </w:tr>
      <w:tr>
        <w:trPr>
          <w:cantSplit/>
        </w:trPr>
        <w:tc>
          <w:tcPr>
            <w:tcW w:type="dxa" w:w="5227"/>
            <w:tcMar>
              <w:top w:w="65" w:type="dxa"/>
              <w:start w:w="80" w:type="dxa"/>
              <w:bottom w:w="65" w:type="dxa"/>
              <w:end w:w="80" w:type="dxa"/>
            </w:tcMar>
            <w:vAlign w:val="top"/>
          </w:tcPr>
          <w:p>
            <w:pPr>
              <w:spacing w:after="0"/>
            </w:pPr>
            <w:r>
              <w:rPr>
                <w:sz w:val="14"/>
              </w:rPr>
              <w:t>docs/brain/gbrain-evaluation-and-plan.md</w:t>
            </w:r>
          </w:p>
        </w:tc>
        <w:tc>
          <w:tcPr>
            <w:tcW w:type="dxa" w:w="5227"/>
            <w:tcMar>
              <w:top w:w="65" w:type="dxa"/>
              <w:start w:w="80" w:type="dxa"/>
              <w:bottom w:w="65" w:type="dxa"/>
              <w:end w:w="80" w:type="dxa"/>
            </w:tcMar>
            <w:vAlign w:val="top"/>
          </w:tcPr>
          <w:p>
            <w:pPr>
              <w:spacing w:after="0"/>
            </w:pPr>
            <w:r>
              <w:rPr>
                <w:sz w:val="14"/>
              </w:rPr>
              <w:t>Brain design/implementation blocks; not parent product sequencing.</w:t>
            </w:r>
          </w:p>
        </w:tc>
      </w:tr>
      <w:tr>
        <w:trPr>
          <w:cantSplit/>
        </w:trPr>
        <w:tc>
          <w:tcPr>
            <w:tcW w:type="dxa" w:w="5227"/>
            <w:tcMar>
              <w:top w:w="65" w:type="dxa"/>
              <w:start w:w="80" w:type="dxa"/>
              <w:bottom w:w="65" w:type="dxa"/>
              <w:end w:w="80" w:type="dxa"/>
            </w:tcMar>
            <w:vAlign w:val="top"/>
          </w:tcPr>
          <w:p>
            <w:pPr>
              <w:spacing w:after="0"/>
            </w:pPr>
            <w:r>
              <w:rPr>
                <w:sz w:val="14"/>
              </w:rPr>
              <w:t>Tests/evals/readiness/code/migrations</w:t>
            </w:r>
          </w:p>
        </w:tc>
        <w:tc>
          <w:tcPr>
            <w:tcW w:type="dxa" w:w="5227"/>
            <w:tcMar>
              <w:top w:w="65" w:type="dxa"/>
              <w:start w:w="80" w:type="dxa"/>
              <w:bottom w:w="65" w:type="dxa"/>
              <w:end w:w="80" w:type="dxa"/>
            </w:tcMar>
            <w:vAlign w:val="top"/>
          </w:tcPr>
          <w:p>
            <w:pPr>
              <w:spacing w:after="0"/>
            </w:pPr>
            <w:r>
              <w:rPr>
                <w:sz w:val="14"/>
              </w:rPr>
              <w:t>Implemented reality and verification evidence.</w:t>
            </w:r>
          </w:p>
        </w:tc>
      </w:tr>
    </w:tbl>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Internal working document | v0.1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4"/>
      </w:rPr>
      <w:t>UNGGA | GU OS ROADMAP REVALIDATION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555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OS Roadmap Revalidation &amp; Proposed Sequencing v0.1</dc:title>
  <dc:subject>Revalidation of business-brain-evolution-roadmap against Product PRD, Principles &amp; Design Doctrine, and August 2026 repo implementation status</dc:subject>
  <dc:creator>Ungga / Gu OS</dc:creator>
  <cp:keywords/>
  <dc:description>generated by python-docx</dc:description>
  <cp:lastModifiedBy/>
  <cp:revision>1</cp:revision>
  <dcterms:created xsi:type="dcterms:W3CDTF">2013-12-23T23:15:00Z</dcterms:created>
  <dcterms:modified xsi:type="dcterms:W3CDTF">2013-12-23T23:15:00Z</dcterms:modified>
  <cp:category/>
</cp:coreProperties>
</file>