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5C2DD2"/>
          <w:sz w:val="22"/>
        </w:rPr>
        <w:t>GU OS RUNTIME</w:t>
      </w:r>
    </w:p>
    <w:p>
      <w:pPr>
        <w:jc w:val="center"/>
      </w:pPr>
      <w:r>
        <w:rPr>
          <w:rFonts w:ascii="Arial" w:hAnsi="Arial"/>
          <w:b/>
          <w:color w:val="1F1B30"/>
          <w:sz w:val="56"/>
        </w:rPr>
        <w:t>Agent Runtime &amp; Harness Guide</w:t>
      </w:r>
    </w:p>
    <w:p>
      <w:pPr>
        <w:jc w:val="center"/>
      </w:pPr>
      <w:r>
        <w:rPr>
          <w:rFonts w:ascii="Arial" w:hAnsi="Arial"/>
          <w:color w:val="696384"/>
          <w:sz w:val="30"/>
        </w:rPr>
        <w:t>From model call to governed execution</w:t>
      </w:r>
    </w:p>
    <w:p>
      <w:pPr>
        <w:spacing w:before="440"/>
        <w:jc w:val="center"/>
      </w:pPr>
      <w:r>
        <w:rPr>
          <w:rFonts w:ascii="Arial" w:hAnsi="Arial"/>
          <w:b/>
          <w:color w:val="5C2DD2"/>
          <w:sz w:val="24"/>
        </w:rPr>
        <w:t>Humans lead. Gu gets work done.</w:t>
      </w:r>
    </w:p>
    <w:p>
      <w:pPr>
        <w:spacing w:before="900"/>
        <w:jc w:val="center"/>
      </w:pPr>
      <w:r>
        <w:rPr>
          <w:rFonts w:ascii="Arial" w:hAnsi="Arial"/>
          <w:color w:val="696384"/>
          <w:sz w:val="18"/>
        </w:rPr>
        <w:t>v0.1 · 8 September 2026 · Product · Design · Engineering</w:t>
      </w:r>
    </w:p>
    <w:p>
      <w:pPr>
        <w:jc w:val="center"/>
      </w:pPr>
      <w:r>
        <w:rPr>
          <w:rFonts w:ascii="Arial" w:hAnsi="Arial"/>
          <w:color w:val="696384"/>
          <w:sz w:val="17"/>
        </w:rPr>
        <w:t>janotowers/Gu-OS · main @ 5a6fbb05117042e1f7c47c911e0e2bc14d068340 · verified 8 September 2026</w:t>
      </w:r>
    </w:p>
    <w:p>
      <w:r>
        <w:br w:type="page"/>
      </w:r>
    </w:p>
    <w:p>
      <w:pPr>
        <w:pStyle w:val="Title"/>
      </w:pPr>
      <w:r>
        <w:t>How to use this guide</w:t>
      </w:r>
    </w:p>
    <w:p>
      <w:r>
        <w:t>This is a team explanatory layer. Canonical architecture documents own design intent; code, migrations and tests own implementation reality. Every section therefore distinguishes implemented behavior, partial paths and target direction.</w:t>
      </w:r>
    </w:p>
    <w:p>
      <w:r>
        <w:rPr>
          <w:rFonts w:ascii="Arial" w:hAnsi="Arial"/>
          <w:b/>
          <w:color w:val="5C2DD2"/>
          <w:sz w:val="18"/>
        </w:rPr>
        <w:t xml:space="preserve">CORE IDEA  </w:t>
      </w:r>
      <w:r>
        <w:rPr>
          <w:rFonts w:ascii="Arial" w:hAnsi="Arial"/>
          <w:b/>
          <w:color w:val="1F1B30"/>
          <w:sz w:val="21"/>
        </w:rPr>
        <w:t>The model proposes. The harness compiles context, controls the loop, mediates tools, enforces authority, preserves state and produces evidence.</w:t>
      </w:r>
    </w:p>
    <w:p>
      <w:pPr>
        <w:pStyle w:val="Heading1"/>
      </w:pPr>
      <w:r>
        <w:t>1. The runtime in one map</w:t>
      </w:r>
    </w:p>
    <w:p>
      <w:r>
        <w:t>A user turn enters a bounded graph: __start__ → memory_injection → compaction → agent. The agent branches to tools or __end__; tools returns to compaction. Tool results return through compaction; a turn without a tool call ends; MAX_TOOL_ITERATIONS=10 bounds the loop.</w:t>
      </w:r>
    </w:p>
    <w:p>
      <w:pPr>
        <w:pStyle w:val="ListBullet"/>
      </w:pPr>
      <w:r>
        <w:t>Turn loop: seconds to minutes; produces a response, tool result, refusal or interrupt.</w:t>
      </w:r>
    </w:p>
    <w:p>
      <w:pPr>
        <w:pStyle w:val="ListBullet"/>
      </w:pPr>
      <w:r>
        <w:t>Work loop: hours to months; Cases, Work and schedules preserve responsibility after the conversation ends.</w:t>
      </w:r>
    </w:p>
    <w:p>
      <w:pPr>
        <w:pStyle w:val="ListBullet"/>
      </w:pPr>
      <w:r>
        <w:t>Business truth stays in the owning operational source, not in a summary or embedding.</w:t>
      </w:r>
    </w:p>
    <w:p>
      <w:pPr>
        <w:pStyle w:val="Heading1"/>
      </w:pPr>
      <w:r>
        <w:t>2. Model policy by role</w:t>
      </w:r>
    </w:p>
    <w:p>
      <w:r>
        <w:t>The runtime separates model roles so capability, cost and evidence can be calibrated independently. The current main default is openai/gpt-5.4-mini; compaction, memory flush and skill selection use smaller role-specific models with environment overrides. A default is configuration, not product doctrine.</w:t>
      </w:r>
    </w:p>
    <w:p>
      <w:pPr>
        <w:pStyle w:val="Title"/>
      </w:pPr>
      <w:r>
        <w:t>3. Context engineering</w:t>
      </w:r>
    </w:p>
    <w:p>
      <w:r>
        <w:t>Context engineering compiles only the evidence applicable to the current decision. The effective prompt can include runtime instructions, user/account context, skills and tool schemas, compacted history, recovered personal memory and state relevant to the turn.</w:t>
      </w:r>
    </w:p>
    <w:p>
      <w:pPr>
        <w:pStyle w:val="ListBullet"/>
      </w:pPr>
      <w:r>
        <w:t>Precedence: system and authority constraints outrank retrieved or conversational material.</w:t>
      </w:r>
    </w:p>
    <w:p>
      <w:pPr>
        <w:pStyle w:val="ListBullet"/>
      </w:pPr>
      <w:r>
        <w:t>Scope: include only the tenant, Case, channel and task context that applies.</w:t>
      </w:r>
    </w:p>
    <w:p>
      <w:pPr>
        <w:pStyle w:val="ListBullet"/>
      </w:pPr>
      <w:r>
        <w:t>Freshness and provenance: a retrieved item is a candidate, not automatically current truth.</w:t>
      </w:r>
    </w:p>
    <w:p>
      <w:pPr>
        <w:pStyle w:val="ListBullet"/>
      </w:pPr>
      <w:r>
        <w:t>Budget: compaction and caps keep the model context bounded.</w:t>
      </w:r>
    </w:p>
    <w:p>
      <w:r>
        <w:rPr>
          <w:rFonts w:ascii="Arial" w:hAnsi="Arial"/>
          <w:b/>
          <w:color w:val="5C2DD2"/>
          <w:sz w:val="18"/>
        </w:rPr>
        <w:t xml:space="preserve">BOUNDARY  </w:t>
      </w:r>
      <w:r>
        <w:rPr>
          <w:rFonts w:ascii="Arial" w:hAnsi="Arial"/>
          <w:b/>
          <w:color w:val="1F1B30"/>
          <w:sz w:val="21"/>
        </w:rPr>
        <w:t>Context is derived; durable state and authority govern.</w:t>
      </w:r>
    </w:p>
    <w:p>
      <w:pPr>
        <w:pStyle w:val="Heading1"/>
      </w:pPr>
      <w:r>
        <w:t>4. Compaction and continuity</w:t>
      </w:r>
    </w:p>
    <w:p>
      <w:r>
        <w:t>Microcompaction always removes older tool payloads while preserving recent operational turns. LLM compaction runs near the context threshold, writes a structured summary and keeps recent operations available. The current defaults estimate a 120k window, trigger at 80%, preserve five recent ToolMessages / operations and open a breaker after three compaction failures.</w:t>
      </w:r>
    </w:p>
    <w:p>
      <w:pPr>
        <w:pStyle w:val="ListBullet"/>
      </w:pPr>
      <w:r>
        <w:t>A summary is continuity material, not a source of authority or business truth.</w:t>
      </w:r>
    </w:p>
    <w:p>
      <w:pPr>
        <w:pStyle w:val="ListBullet"/>
      </w:pPr>
      <w:r>
        <w:t>Provider failure must degrade safely rather than create an infinite retry loop.</w:t>
      </w:r>
    </w:p>
    <w:p>
      <w:pPr>
        <w:pStyle w:val="Title"/>
      </w:pPr>
      <w:r>
        <w:t>5. Personal memory</w:t>
      </w:r>
    </w:p>
    <w:p>
      <w:r>
        <w:t>Personal memory is user/account-level memory for future collaboration. It is deliberately separated from transactional business state, Cases and systems of record.</w:t>
      </w:r>
    </w:p>
    <w:tbl>
      <w:tblPr>
        <w:tblStyle w:val="TableGrid"/>
        <w:tblW w:type="auto" w:w="0"/>
        <w:tblLayout w:type="fixed"/>
        <w:tblLook w:firstColumn="1" w:firstRow="1" w:lastColumn="0" w:lastRow="0" w:noHBand="0" w:noVBand="1" w:val="04A0"/>
      </w:tblPr>
      <w:tblGrid>
        <w:gridCol w:w="3264"/>
        <w:gridCol w:w="3264"/>
        <w:gridCol w:w="3264"/>
      </w:tblGrid>
      <w:tr>
        <w:trPr>
          <w:tblHeader w:val="true"/>
        </w:trPr>
        <w:tc>
          <w:tcPr>
            <w:tcW w:type="dxa" w:w="1800"/>
            <w:shd w:fill="EDE6FF"/>
          </w:tcPr>
          <w:p>
            <w:r>
              <w:t>Type</w:t>
            </w:r>
          </w:p>
        </w:tc>
        <w:tc>
          <w:tcPr>
            <w:tcW w:type="dxa" w:w="3024"/>
            <w:shd w:fill="EDE6FF"/>
          </w:tcPr>
          <w:p>
            <w:r>
              <w:t>Question</w:t>
            </w:r>
          </w:p>
        </w:tc>
        <w:tc>
          <w:tcPr>
            <w:tcW w:type="dxa" w:w="4680"/>
            <w:shd w:fill="EDE6FF"/>
          </w:tcPr>
          <w:p>
            <w:r>
              <w:t>What belongs</w:t>
            </w:r>
          </w:p>
        </w:tc>
      </w:tr>
      <w:tr>
        <w:tc>
          <w:tcPr>
            <w:tcW w:type="dxa" w:w="1800"/>
            <w:vAlign w:val="center"/>
          </w:tcPr>
          <w:p>
            <w:r>
              <w:t>Episodic</w:t>
            </w:r>
          </w:p>
        </w:tc>
        <w:tc>
          <w:tcPr>
            <w:tcW w:type="dxa" w:w="3024"/>
            <w:vAlign w:val="center"/>
          </w:tcPr>
          <w:p>
            <w:r>
              <w:t>What happened to the user?</w:t>
            </w:r>
          </w:p>
        </w:tc>
        <w:tc>
          <w:tcPr>
            <w:tcW w:type="dxa" w:w="4680"/>
            <w:vAlign w:val="center"/>
          </w:tcPr>
          <w:p>
            <w:r>
              <w:t>Concrete personal events useful later, with time and provenance.</w:t>
            </w:r>
          </w:p>
        </w:tc>
      </w:tr>
      <w:tr>
        <w:tc>
          <w:tcPr>
            <w:tcW w:type="dxa" w:w="1800"/>
            <w:vAlign w:val="center"/>
          </w:tcPr>
          <w:p>
            <w:r>
              <w:t>Semantic</w:t>
            </w:r>
          </w:p>
        </w:tc>
        <w:tc>
          <w:tcPr>
            <w:tcW w:type="dxa" w:w="3024"/>
            <w:vAlign w:val="center"/>
          </w:tcPr>
          <w:p>
            <w:r>
              <w:t>What does the user know or prefer?</w:t>
            </w:r>
          </w:p>
        </w:tc>
        <w:tc>
          <w:tcPr>
            <w:tcW w:type="dxa" w:w="4680"/>
            <w:vAlign w:val="center"/>
          </w:tcPr>
          <w:p>
            <w:r>
              <w:t>Durable preferences, relationships and context; not duplicate profile or live business state.</w:t>
            </w:r>
          </w:p>
        </w:tc>
      </w:tr>
      <w:tr>
        <w:tc>
          <w:tcPr>
            <w:tcW w:type="dxa" w:w="1800"/>
            <w:vAlign w:val="center"/>
          </w:tcPr>
          <w:p>
            <w:r>
              <w:t>Procedural</w:t>
            </w:r>
          </w:p>
        </w:tc>
        <w:tc>
          <w:tcPr>
            <w:tcW w:type="dxa" w:w="3024"/>
            <w:vAlign w:val="center"/>
          </w:tcPr>
          <w:p>
            <w:r>
              <w:t>How does the user want to collaborate?</w:t>
            </w:r>
          </w:p>
        </w:tc>
        <w:tc>
          <w:tcPr>
            <w:tcW w:type="dxa" w:w="4680"/>
            <w:vAlign w:val="center"/>
          </w:tcPr>
          <w:p>
            <w:r>
              <w:t>Interaction preferences; not a Skill or system instruction.</w:t>
            </w:r>
          </w:p>
        </w:tc>
      </w:tr>
    </w:tbl>
    <w:p>
      <w:pPr>
        <w:pStyle w:val="Heading1"/>
      </w:pPr>
      <w:r>
        <w:t>6. Flush, embeddings and retrieval</w:t>
      </w:r>
    </w:p>
    <w:p>
      <w:r>
        <w:t>Memory flush runs after the interactive turn, outside the graph. It selects a message range from a watermark, extracts conservative episodic/semantic/procedural candidates, deduplicates by content hash and persists embeddings. A model or parse failure, or failure of every candidate write, leaves the watermark unchanged. Partial write failures do not prevent advancement; a valid empty extraction also advances it. Therefore this is best-effort memory, not an all-or-nothing transaction or guaranteed replay of each failed candidate.</w:t>
      </w:r>
    </w:p>
    <w:p>
      <w:pPr>
        <w:pStyle w:val="ListBullet"/>
      </w:pPr>
      <w:r>
        <w:t>Minimum 3 messages; cold-start cap 50; subsequent catch-up cap 200; individual message text is bounded.</w:t>
      </w:r>
    </w:p>
    <w:p>
      <w:pPr>
        <w:pStyle w:val="ListBullet"/>
      </w:pPr>
      <w:r>
        <w:t>Topic shift, count, idle and catch-up conditions can trigger extraction.</w:t>
      </w:r>
    </w:p>
    <w:p>
      <w:pPr>
        <w:pStyle w:val="ListBullet"/>
      </w:pPr>
      <w:r>
        <w:t>Retrieval uses similarity to locate candidates; user ownership, threshold, cap, provenance and policy determine use.</w:t>
      </w:r>
    </w:p>
    <w:p>
      <w:r>
        <w:t>In a normal interactive turn, memory_injection embeds the latest HumanMessage, compares it with the previous input to detect topic shift, retrieves user-scoped candidates and prepends a bounded memory block to the existing SystemMessage while retaining its ID. Defaults are top-K 8, match threshold 0.5, topic-shift threshold 0.55 and a 1,500-character block. Embedding or retrieval failure returns an empty update so the conversation continues. Resume skips repeat injection; cron is guarded separately. These availability choices reduce blocking but require monitoring to reveal degraded recall.</w:t>
      </w:r>
    </w:p>
    <w:p>
      <w:r>
        <w:t>Embeddings are numerical search representations, not the memory itself. The durable record carries content, type and user ownership; the vector helps locate candidates. Compaction summarizes recent execution context, whereas flush extracts reusable personal facts across turns. Neither mechanism owns Case state or transactional truth. Business Brain is a distinct target for governed organizational knowledge; personal memory must not silently become shared organizational knowledge.</w:t>
      </w:r>
    </w:p>
    <w:p>
      <w:r>
        <w:rPr>
          <w:rFonts w:ascii="Arial" w:hAnsi="Arial"/>
          <w:b/>
          <w:color w:val="5C2DD2"/>
          <w:sz w:val="18"/>
        </w:rPr>
        <w:t xml:space="preserve">TRADE-OFF  </w:t>
      </w:r>
      <w:r>
        <w:rPr>
          <w:rFonts w:ascii="Arial" w:hAnsi="Arial"/>
          <w:b/>
          <w:color w:val="1F1B30"/>
          <w:sz w:val="21"/>
        </w:rPr>
        <w:t>Flush outside the graph lowers interactive latency and supports idempotency, but creates deliberate eventual consistency that needs logs, retry and regression tests.</w:t>
      </w:r>
    </w:p>
    <w:p>
      <w:pPr>
        <w:pStyle w:val="Title"/>
      </w:pPr>
      <w:r>
        <w:t>7. Tools and capabilities</w:t>
      </w:r>
    </w:p>
    <w:p>
      <w:r>
        <w:t>The tool path is a chain: capability request → catalog definition → schema and availability → risk/approval policy → adapter validation → provider/system call → normalized result → provenance/refusal → ToolMessage → verification or next step.</w:t>
      </w:r>
    </w:p>
    <w:p>
      <w:pPr>
        <w:pStyle w:val="ListBullet"/>
      </w:pPr>
      <w:r>
        <w:t>Catalog risk levels are low, medium and high; unknown tools are treated as high.</w:t>
      </w:r>
    </w:p>
    <w:p>
      <w:pPr>
        <w:pStyle w:val="ListBullet"/>
      </w:pPr>
      <w:r>
        <w:t>Medium/high actions request confirmation. Scheduled-task policy may narrow auto→approval→deny, never broaden authority.</w:t>
      </w:r>
    </w:p>
    <w:p>
      <w:pPr>
        <w:pStyle w:val="ListBullet"/>
      </w:pPr>
      <w:r>
        <w:t>Tool availability is not authorization. Tenant, operation, arguments and current policy still govern.</w:t>
      </w:r>
    </w:p>
    <w:p>
      <w:pPr>
        <w:pStyle w:val="Heading1"/>
      </w:pPr>
      <w:r>
        <w:t>8. Loop control and recovery</w:t>
      </w:r>
    </w:p>
    <w:p>
      <w:pPr>
        <w:pStyle w:val="ListBullet"/>
      </w:pPr>
      <w:r>
        <w:t>Budgets limit tool iterations, provider time and context growth.</w:t>
      </w:r>
    </w:p>
    <w:p>
      <w:pPr>
        <w:pStyle w:val="ListBullet"/>
      </w:pPr>
      <w:r>
        <w:t>Same-turn dedupe and domain idempotency prevent repeated effects.</w:t>
      </w:r>
    </w:p>
    <w:p>
      <w:pPr>
        <w:pStyle w:val="ListBullet"/>
      </w:pPr>
      <w:r>
        <w:t>Checkpoints preserve pending actions; resume reuses the thread without replaying memory injection.</w:t>
      </w:r>
    </w:p>
    <w:p>
      <w:pPr>
        <w:pStyle w:val="ListBullet"/>
      </w:pPr>
      <w:r>
        <w:t>Circuit breakers stop repeated compaction/provider failure.</w:t>
      </w:r>
    </w:p>
    <w:p>
      <w:pPr>
        <w:pStyle w:val="ListBullet"/>
      </w:pPr>
      <w:r>
        <w:t>Retry is legitimate only when evidence, state or strategy changes.</w:t>
      </w:r>
    </w:p>
    <w:p>
      <w:pPr>
        <w:pStyle w:val="Title"/>
      </w:pPr>
      <w:r>
        <w:t>9. Planning and decomposition</w:t>
      </w:r>
    </w:p>
    <w:p>
      <w:r>
        <w:t>The product runtime and coding-agent development loop are different systems. In a conversational turn, the model may choose a next tool or sequence; graph guards and tool policy constrain execution. Durable Work, workflow definitions and Cases carry longer-lived plans and responsibility. A model’s temporary plan is not a new approved workflow or authorization. The development methodology’s Slice Plan and JIT Tasks govern building Gu OS, not a mandatory protocol used by every Gu product request.</w:t>
      </w:r>
    </w:p>
    <w:p>
      <w:r>
        <w:t>The design benefit is progressive decomposition: choose the next useful step from current evidence instead of prescribing every future action. Its cost is variability, so consequential transitions need structured outputs, deterministic validation and explicit evidence. Where the repository records a rationale, the owning ADR or topic source governs it; the benefits and costs explained here are engineering interpretation, not invented historical decisions.</w:t>
      </w:r>
    </w:p>
    <w:p>
      <w:pPr>
        <w:pStyle w:val="Heading1"/>
      </w:pPr>
      <w:r>
        <w:t>10. Permission, safety and HITL</w:t>
      </w:r>
    </w:p>
    <w:p>
      <w:r>
        <w:t>Human participation is part of the operating model, not an exception. Gu OS distinguishes information needed from the person, permission to perform an effect, and human judgment required for ambiguity or consequence.</w:t>
      </w:r>
    </w:p>
    <w:p>
      <w:pPr>
        <w:pStyle w:val="ListBullet"/>
      </w:pPr>
      <w:r>
        <w:t>Low risk can execute under policy; medium/high risk pauses with clear action and arguments.</w:t>
      </w:r>
    </w:p>
    <w:p>
      <w:pPr>
        <w:pStyle w:val="ListBullet"/>
      </w:pPr>
      <w:r>
        <w:t>Denials and refusals are first-class outcomes with provenance.</w:t>
      </w:r>
    </w:p>
    <w:p>
      <w:pPr>
        <w:pStyle w:val="ListBullet"/>
      </w:pPr>
      <w:r>
        <w:t>Model confidence never substitutes for permission or accountable ownership.</w:t>
      </w:r>
    </w:p>
    <w:p>
      <w:pPr>
        <w:pStyle w:val="Heading1"/>
      </w:pPr>
      <w:r>
        <w:t>11. Execution environments</w:t>
      </w:r>
    </w:p>
    <w:p>
      <w:r>
        <w:t>Web and Telegram are interactive surfaces. Scheduled tasks and heartbeat execute without a person waiting on the same turn. Channel changes delivery, approval and retry surfaces; it must not silently change authority.</w:t>
      </w:r>
    </w:p>
    <w:p>
      <w:pPr>
        <w:pStyle w:val="ListBullet"/>
      </w:pPr>
      <w:r>
        <w:t>Interactive: auth/session, streaming or messaging, HITL surface, cross-channel identity and post-turn flush.</w:t>
      </w:r>
    </w:p>
    <w:p>
      <w:pPr>
        <w:pStyle w:val="ListBullet"/>
      </w:pPr>
      <w:r>
        <w:t>Asynchronous: persisted schedule, risk-scoped policy, wake-up/checklist state, delivery evidence and no blanket auto-approval.</w:t>
      </w:r>
    </w:p>
    <w:p>
      <w:pPr>
        <w:pStyle w:val="Title"/>
      </w:pPr>
      <w:r>
        <w:t>12. Durable roots and system relationships</w:t>
      </w:r>
    </w:p>
    <w:p>
      <w:r>
        <w:t>A tool call owns an immediate bounded effect. Work or a schedule owns waiting and retry. A Case owns durable responsibility, participants, policy and evidence. An Operating Domain supplies business semantics while reusing the common kernel. Personal memory is not an operational root.</w:t>
      </w:r>
    </w:p>
    <w:p>
      <w:pPr>
        <w:pStyle w:val="Heading1"/>
      </w:pPr>
      <w:r>
        <w:t>13. Observability and evidence</w:t>
      </w:r>
    </w:p>
    <w:p>
      <w:pPr>
        <w:pStyle w:val="ListBullet"/>
      </w:pPr>
      <w:r>
        <w:t>Runtime evidence: model role/id, latency/tokens, graph path, tool call/result, interrupt and refusal.</w:t>
      </w:r>
    </w:p>
    <w:p>
      <w:pPr>
        <w:pStyle w:val="ListBullet"/>
      </w:pPr>
      <w:r>
        <w:t>Verification evidence: tests/evals, hosted path, negative tenancy/authority checks and replay.</w:t>
      </w:r>
    </w:p>
    <w:p>
      <w:pPr>
        <w:pStyle w:val="ListBullet"/>
      </w:pPr>
      <w:r>
        <w:t>Outcome evidence: what changed for the user or business, not only activity.</w:t>
      </w:r>
    </w:p>
    <w:p>
      <w:pPr>
        <w:pStyle w:val="ListBullet"/>
      </w:pPr>
      <w:r>
        <w:t>Known gap: memory selftests exist but are not included in the aggregate root test:selftests suite.</w:t>
      </w:r>
    </w:p>
    <w:p>
      <w:pPr>
        <w:pStyle w:val="Heading1"/>
      </w:pPr>
      <w:r>
        <w:t>14. Current / partial / target</w:t>
      </w:r>
    </w:p>
    <w:p>
      <w:pPr>
        <w:pStyle w:val="ListBullet"/>
      </w:pPr>
      <w:r>
        <w:t>Current: graph, compaction, tool loop/HITL, personal memory/retrieval/flush, risk catalog, checkpoints and durable work foundations.</w:t>
      </w:r>
    </w:p>
    <w:p>
      <w:pPr>
        <w:pStyle w:val="ListBullet"/>
      </w:pPr>
      <w:r>
        <w:t>Partial: Organization runtime adoption, operation-level policy consistency, broader replay/observability and cross-surface context compilation.</w:t>
      </w:r>
    </w:p>
    <w:p>
      <w:pPr>
        <w:pStyle w:val="ListBullet"/>
      </w:pPr>
      <w:r>
        <w:t>Target: governed capability orchestration, organizational context and cognition, multi-seat operation and recovery across durable work loops.</w:t>
      </w:r>
    </w:p>
    <w:p>
      <w:pPr>
        <w:pStyle w:val="Heading1"/>
      </w:pPr>
      <w:r>
        <w:t>Sources that govern this guide</w:t>
      </w:r>
    </w:p>
    <w:p>
      <w:pPr>
        <w:pStyle w:val="ListBullet"/>
        <w:spacing w:after="20" w:line="240" w:lineRule="auto"/>
      </w:pPr>
      <w:r>
        <w:rPr>
          <w:rFonts w:ascii="Arial" w:hAnsi="Arial"/>
          <w:color w:val="1F1B30"/>
          <w:sz w:val="17"/>
        </w:rPr>
        <w:t>docs/architecture.md</w:t>
      </w:r>
    </w:p>
    <w:p>
      <w:pPr>
        <w:pStyle w:val="ListBullet"/>
        <w:spacing w:after="20" w:line="240" w:lineRule="auto"/>
      </w:pPr>
      <w:r>
        <w:rPr>
          <w:rFonts w:ascii="Arial" w:hAnsi="Arial"/>
          <w:color w:val="1F1B30"/>
          <w:sz w:val="17"/>
        </w:rPr>
        <w:t>docs/manuals/architecture-manual.md</w:t>
      </w:r>
    </w:p>
    <w:p>
      <w:pPr>
        <w:pStyle w:val="ListBullet"/>
        <w:spacing w:after="20" w:line="240" w:lineRule="auto"/>
      </w:pPr>
      <w:r>
        <w:rPr>
          <w:rFonts w:ascii="Arial" w:hAnsi="Arial"/>
          <w:color w:val="1F1B30"/>
          <w:sz w:val="17"/>
        </w:rPr>
        <w:t>docs/memory/short_memory_plan.md</w:t>
      </w:r>
    </w:p>
    <w:p>
      <w:pPr>
        <w:pStyle w:val="ListBullet"/>
        <w:spacing w:after="20" w:line="240" w:lineRule="auto"/>
      </w:pPr>
      <w:r>
        <w:rPr>
          <w:rFonts w:ascii="Arial" w:hAnsi="Arial"/>
          <w:color w:val="1F1B30"/>
          <w:sz w:val="17"/>
        </w:rPr>
        <w:t>docs/memory/long_term_memory_plan.md</w:t>
      </w:r>
    </w:p>
    <w:p>
      <w:pPr>
        <w:pStyle w:val="ListBullet"/>
        <w:spacing w:after="20" w:line="240" w:lineRule="auto"/>
      </w:pPr>
      <w:r>
        <w:rPr>
          <w:rFonts w:ascii="Arial" w:hAnsi="Arial"/>
          <w:color w:val="1F1B30"/>
          <w:sz w:val="17"/>
        </w:rPr>
        <w:t>docs/tools-design/hitl.md</w:t>
      </w:r>
    </w:p>
    <w:p>
      <w:pPr>
        <w:pStyle w:val="ListBullet"/>
        <w:spacing w:after="20" w:line="240" w:lineRule="auto"/>
      </w:pPr>
      <w:r>
        <w:rPr>
          <w:rFonts w:ascii="Arial" w:hAnsi="Arial"/>
          <w:color w:val="1F1B30"/>
          <w:sz w:val="17"/>
        </w:rPr>
        <w:t>docs/tools-design/scheduled-tasks.md</w:t>
      </w:r>
    </w:p>
    <w:p>
      <w:pPr>
        <w:pStyle w:val="ListBullet"/>
        <w:spacing w:after="20" w:line="240" w:lineRule="auto"/>
      </w:pPr>
      <w:r>
        <w:rPr>
          <w:rFonts w:ascii="Arial" w:hAnsi="Arial"/>
          <w:color w:val="1F1B30"/>
          <w:sz w:val="17"/>
        </w:rPr>
        <w:t>docs/tools-design/skill-routing.md</w:t>
      </w:r>
    </w:p>
    <w:p>
      <w:pPr>
        <w:pStyle w:val="ListBullet"/>
        <w:spacing w:after="20" w:line="240" w:lineRule="auto"/>
      </w:pPr>
      <w:r>
        <w:rPr>
          <w:rFonts w:ascii="Arial" w:hAnsi="Arial"/>
          <w:color w:val="1F1B30"/>
          <w:sz w:val="17"/>
        </w:rPr>
        <w:t>docs/operational-cases/architecture.md</w:t>
      </w:r>
    </w:p>
    <w:p>
      <w:pPr>
        <w:pStyle w:val="ListBullet"/>
        <w:spacing w:after="20" w:line="240" w:lineRule="auto"/>
      </w:pPr>
      <w:r>
        <w:rPr>
          <w:rFonts w:ascii="Arial" w:hAnsi="Arial"/>
          <w:color w:val="1F1B30"/>
          <w:sz w:val="17"/>
        </w:rPr>
        <w:t>packages/agent/src/graph.ts</w:t>
      </w:r>
    </w:p>
    <w:p>
      <w:pPr>
        <w:pStyle w:val="ListBullet"/>
        <w:spacing w:after="20" w:line="240" w:lineRule="auto"/>
      </w:pPr>
      <w:r>
        <w:rPr>
          <w:rFonts w:ascii="Arial" w:hAnsi="Arial"/>
          <w:color w:val="1F1B30"/>
          <w:sz w:val="17"/>
        </w:rPr>
        <w:t>packages/agent/src/model.ts</w:t>
      </w:r>
    </w:p>
    <w:p>
      <w:pPr>
        <w:pStyle w:val="ListBullet"/>
        <w:spacing w:after="20" w:line="240" w:lineRule="auto"/>
      </w:pPr>
      <w:r>
        <w:rPr>
          <w:rFonts w:ascii="Arial" w:hAnsi="Arial"/>
          <w:color w:val="1F1B30"/>
          <w:sz w:val="17"/>
        </w:rPr>
        <w:t>packages/agent/src/nodes/compaction_node.ts</w:t>
      </w:r>
    </w:p>
    <w:p>
      <w:pPr>
        <w:pStyle w:val="ListBullet"/>
        <w:spacing w:after="20" w:line="240" w:lineRule="auto"/>
      </w:pPr>
      <w:r>
        <w:rPr>
          <w:rFonts w:ascii="Arial" w:hAnsi="Arial"/>
          <w:color w:val="1F1B30"/>
          <w:sz w:val="17"/>
        </w:rPr>
        <w:t>packages/agent/src/nodes/memory_injection_node.ts</w:t>
      </w:r>
    </w:p>
    <w:p>
      <w:pPr>
        <w:pStyle w:val="ListBullet"/>
        <w:spacing w:after="20" w:line="240" w:lineRule="auto"/>
      </w:pPr>
      <w:r>
        <w:rPr>
          <w:rFonts w:ascii="Arial" w:hAnsi="Arial"/>
          <w:color w:val="1F1B30"/>
          <w:sz w:val="17"/>
        </w:rPr>
        <w:t>packages/agent/src/memory_flush.ts</w:t>
      </w:r>
    </w:p>
    <w:p>
      <w:pPr>
        <w:pStyle w:val="ListBullet"/>
        <w:spacing w:after="20" w:line="240" w:lineRule="auto"/>
      </w:pPr>
      <w:r>
        <w:rPr>
          <w:rFonts w:ascii="Arial" w:hAnsi="Arial"/>
          <w:color w:val="1F1B30"/>
          <w:sz w:val="17"/>
        </w:rPr>
        <w:t>packages/agent/src/tools/catalog.ts</w:t>
      </w:r>
    </w:p>
    <w:sectPr w:rsidR="00FC693F" w:rsidRPr="0006063C" w:rsidSect="00034616">
      <w:headerReference w:type="default" r:id="rId9"/>
      <w:footerReference w:type="default" r:id="rId10"/>
      <w:pgSz w:w="12240" w:h="15840"/>
      <w:pgMar w:top="1224" w:right="1224" w:bottom="1224"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6384"/>
        <w:sz w:val="15"/>
      </w:rPr>
      <w:t>UNGGA · INTERNAL · TEAM COMMUNICATION · derived, not canonical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96384"/>
        <w:sz w:val="16"/>
      </w:rPr>
      <w:t>GU OS · AGENT RUNTIME &amp; HARNESS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 w:val="num" w:pos="547"/>
        </w:tabs>
        <w:ind w:left="1800" w:hanging="360"/>
      </w:pPr>
      <w:suff w:val="tab"/>
    </w:lvl>
  </w:abstractNum>
  <w:abstractNum w:abstractNumId="1">
    <w:nsid w:val="FFFFFF7D"/>
    <w:multiLevelType w:val="singleLevel"/>
    <w:tmpl w:val="E4089024"/>
    <w:lvl w:ilvl="0">
      <w:start w:val="1"/>
      <w:numFmt w:val="decimal"/>
      <w:lvlText w:val="%1."/>
      <w:lvlJc w:val="left"/>
      <w:pPr>
        <w:tabs>
          <w:tab w:val="num" w:pos="1440"/>
          <w:tab w:val="num" w:pos="547"/>
        </w:tabs>
        <w:ind w:left="1440" w:hanging="360"/>
      </w:pPr>
      <w:suff w:val="tab"/>
    </w:lvl>
  </w:abstractNum>
  <w:abstractNum w:abstractNumId="2">
    <w:nsid w:val="FFFFFF7E"/>
    <w:multiLevelType w:val="singleLevel"/>
    <w:tmpl w:val="FB12693A"/>
    <w:lvl w:ilvl="0">
      <w:start w:val="1"/>
      <w:numFmt w:val="decimal"/>
      <w:pStyle w:val="ListNumber3"/>
      <w:lvlText w:val="%1."/>
      <w:lvlJc w:val="left"/>
      <w:pPr>
        <w:tabs>
          <w:tab w:val="num" w:pos="1080"/>
          <w:tab w:val="num" w:pos="547"/>
        </w:tabs>
        <w:ind w:left="1080" w:hanging="360"/>
      </w:pPr>
      <w:suff w:val="tab"/>
    </w:lvl>
  </w:abstractNum>
  <w:abstractNum w:abstractNumId="3">
    <w:nsid w:val="FFFFFF7F"/>
    <w:multiLevelType w:val="singleLevel"/>
    <w:tmpl w:val="38441652"/>
    <w:lvl w:ilvl="0">
      <w:start w:val="1"/>
      <w:numFmt w:val="decimal"/>
      <w:pStyle w:val="ListNumber2"/>
      <w:lvlText w:val="%1."/>
      <w:lvlJc w:val="left"/>
      <w:pPr>
        <w:tabs>
          <w:tab w:val="num" w:pos="720"/>
          <w:tab w:val="num" w:pos="547"/>
        </w:tabs>
        <w:ind w:left="720" w:hanging="360"/>
      </w:pPr>
      <w:suff w:val="tab"/>
    </w:lvl>
  </w:abstractNum>
  <w:abstractNum w:abstractNumId="4">
    <w:nsid w:val="FFFFFF81"/>
    <w:multiLevelType w:val="singleLevel"/>
    <w:tmpl w:val="171AC3A4"/>
    <w:lvl w:ilvl="0">
      <w:start w:val="1"/>
      <w:numFmt w:val="bullet"/>
      <w:lvlText w:val=""/>
      <w:lvlJc w:val="left"/>
      <w:pPr>
        <w:tabs>
          <w:tab w:val="num" w:pos="1440"/>
          <w:tab w:val="num" w:pos="547"/>
        </w:tabs>
        <w:ind w:left="1440" w:hanging="360"/>
      </w:pPr>
      <w:rPr>
        <w:rFonts w:ascii="Symbol" w:hAnsi="Symbol" w:hint="default"/>
      </w:rPr>
      <w:suff w:val="tab"/>
    </w:lvl>
  </w:abstractNum>
  <w:abstractNum w:abstractNumId="5">
    <w:nsid w:val="FFFFFF82"/>
    <w:multiLevelType w:val="singleLevel"/>
    <w:tmpl w:val="F3EAFDEC"/>
    <w:lvl w:ilvl="0">
      <w:start w:val="1"/>
      <w:numFmt w:val="bullet"/>
      <w:pStyle w:val="ListBullet3"/>
      <w:lvlText w:val=""/>
      <w:lvlJc w:val="left"/>
      <w:pPr>
        <w:tabs>
          <w:tab w:val="num" w:pos="1080"/>
          <w:tab w:val="num" w:pos="547"/>
        </w:tabs>
        <w:ind w:left="1080" w:hanging="360"/>
      </w:pPr>
      <w:rPr>
        <w:rFonts w:ascii="Symbol" w:hAnsi="Symbol" w:hint="default"/>
      </w:rPr>
      <w:suff w:val="tab"/>
    </w:lvl>
  </w:abstractNum>
  <w:abstractNum w:abstractNumId="6">
    <w:nsid w:val="FFFFFF83"/>
    <w:multiLevelType w:val="singleLevel"/>
    <w:tmpl w:val="3D1EFFD4"/>
    <w:lvl w:ilvl="0">
      <w:start w:val="1"/>
      <w:numFmt w:val="bullet"/>
      <w:pStyle w:val="ListBullet2"/>
      <w:lvlText w:val=""/>
      <w:lvlJc w:val="left"/>
      <w:pPr>
        <w:tabs>
          <w:tab w:val="num" w:pos="720"/>
          <w:tab w:val="num" w:pos="547"/>
        </w:tabs>
        <w:ind w:left="720" w:hanging="360"/>
      </w:pPr>
      <w:rPr>
        <w:rFonts w:ascii="Symbol" w:hAnsi="Symbol" w:hint="default"/>
      </w:rPr>
      <w:suff w:val="tab"/>
    </w:lvl>
  </w:abstractNum>
  <w:abstractNum w:abstractNumId="7">
    <w:nsid w:val="FFFFFF88"/>
    <w:multiLevelType w:val="singleLevel"/>
    <w:tmpl w:val="D0A62B40"/>
    <w:lvl w:ilvl="0">
      <w:start w:val="1"/>
      <w:numFmt w:val="decimal"/>
      <w:pStyle w:val="ListNumber"/>
      <w:lvlText w:val="%1."/>
      <w:lvlJc w:val="left"/>
      <w:pPr>
        <w:tabs>
          <w:tab w:val="num" w:pos="360"/>
          <w:tab w:val="num" w:pos="547"/>
        </w:tabs>
        <w:ind w:left="360" w:hanging="360"/>
      </w:pPr>
      <w:suff w:val="tab"/>
    </w:lvl>
  </w:abstractNum>
  <w:abstractNum w:abstractNumId="8">
    <w:nsid w:val="FFFFFF89"/>
    <w:multiLevelType w:val="singleLevel"/>
    <w:tmpl w:val="29761A62"/>
    <w:lvl w:ilvl="0">
      <w:start w:val="1"/>
      <w:numFmt w:val="bullet"/>
      <w:pStyle w:val="ListBullet"/>
      <w:lvlText w:val=""/>
      <w:lvlJc w:val="left"/>
      <w:pPr>
        <w:tabs>
          <w:tab w:val="num" w:pos="360"/>
          <w:tab w:val="num" w:pos="547"/>
        </w:tabs>
        <w:ind w:left="360" w:hanging="360"/>
      </w:pPr>
      <w:rPr>
        <w:rFonts w:ascii="Symbol" w:hAnsi="Symbol" w:hint="default"/>
      </w:rPr>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1B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5C2DD2"/>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5C2DD2"/>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5C2DD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5C2DD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