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0"/>
        <w:jc w:val="center"/>
      </w:pPr>
      <w:r>
        <w:t>INTERNAL DEVELOPMENT GUIDE · TEAM REFERENCE</w:t>
      </w:r>
    </w:p>
    <w:p>
      <w:pPr>
        <w:pStyle w:val="Title"/>
        <w:jc w:val="center"/>
      </w:pPr>
      <w:r>
        <w:t>How We Build Gu OS</w:t>
      </w:r>
    </w:p>
    <w:p>
      <w:pPr>
        <w:pStyle w:val="Subtitle"/>
        <w:jc w:val="center"/>
      </w:pPr>
      <w:r>
        <w:t>Agentic Product &amp; Software Development Guide</w:t>
      </w:r>
    </w:p>
    <w:p>
      <w:pPr>
        <w:spacing w:before="280" w:after="400"/>
        <w:jc w:val="center"/>
      </w:pPr>
      <w:r>
        <w:rPr>
          <w:b/>
          <w:color w:val="6C36D9"/>
          <w:sz w:val="24"/>
        </w:rPr>
        <w:t>Humans lead. Gu gets work done.</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A practical explanation of how humans and coding agents move from intent to evidence without collapsing product truth, behavior, architecture, implementation and verification.</w:t>
            </w:r>
          </w:p>
        </w:tc>
      </w:tr>
    </w:tbl>
    <w:p>
      <w:pPr>
        <w:spacing w:after="0"/>
      </w:pPr>
    </w:p>
    <w:p>
      <w:pPr>
        <w:jc w:val="center"/>
      </w:pPr>
      <w:r>
        <w:rPr>
          <w:i/>
          <w:color w:val="5B6170"/>
          <w:sz w:val="17"/>
        </w:rPr>
        <w:t>v0.2 · 8 September 2026 · Product · Design · Engineering · Technical Leadership</w:t>
      </w:r>
    </w:p>
    <w:p>
      <w:pPr>
        <w:jc w:val="center"/>
      </w:pPr>
      <w:r>
        <w:rPr>
          <w:color w:val="5B6170"/>
          <w:sz w:val="15"/>
        </w:rPr>
        <w:t>janotowers/Gu-OS · main @ 5a6fbb05117042e1f7c47c911e0e2bc14d068340 · verified 8 September 2026</w:t>
      </w:r>
    </w:p>
    <w:p>
      <w:r>
        <w:br w:type="page"/>
      </w:r>
    </w:p>
    <w:p>
      <w:pPr>
        <w:pStyle w:val="Heading1"/>
      </w:pPr>
      <w:r>
        <w:t>How to use this guide</w:t>
      </w:r>
    </w:p>
    <w:p>
      <w:r>
        <w:t>This document explains the canonical Gu OS Agentic Product &amp; Software Development Methodology. It does not replace the canonical Markdown, the Product PRD, the Doctrine, Specs, ADRs, Technical Plans, code or verification evidence.</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A distinct artifact does not automatically imply a distinct human approval gate. The method concentrates human authority at consequential boundaries and lets coding agents execute broadly inside approved scope.</w:t>
            </w:r>
          </w:p>
        </w:tc>
      </w:tr>
    </w:tbl>
    <w:p>
      <w:pPr>
        <w:spacing w:after="0"/>
      </w:pPr>
    </w:p>
    <w:p>
      <w:pPr>
        <w:pStyle w:val="Heading1"/>
      </w:pPr>
      <w:r>
        <w:t>1. Why agentic development needs an explicit method</w:t>
      </w:r>
    </w:p>
    <w:p>
      <w:r>
        <w:t>Coding agents can investigate, plan, implement, refactor and test across a large surface quickly. That leverage also makes silent product decisions, architecture drift, self-confirming verification and broad unintended changes easier. The method creates clarity at high-leverage boundaries while preserving execution speed.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735"/>
            <w:shd w:fill="21143D"/>
            <w:tcMar>
              <w:top w:w="90" w:type="dxa"/>
              <w:start w:w="120" w:type="dxa"/>
              <w:bottom w:w="90" w:type="dxa"/>
              <w:end w:w="120" w:type="dxa"/>
            </w:tcMar>
            <w:vAlign w:val="center"/>
          </w:tcPr>
          <w:p>
            <w:r>
              <w:rPr>
                <w:rFonts w:ascii="Arial" w:hAnsi="Arial"/>
                <w:b/>
                <w:color w:val="FFFFFF"/>
                <w:sz w:val="16"/>
              </w:rPr>
              <w:t>Failure mode without the method</w:t>
            </w:r>
          </w:p>
        </w:tc>
        <w:tc>
          <w:tcPr>
            <w:tcW w:type="dxa" w:w="4984"/>
            <w:shd w:fill="21143D"/>
            <w:tcMar>
              <w:top w:w="90" w:type="dxa"/>
              <w:start w:w="120" w:type="dxa"/>
              <w:bottom w:w="90" w:type="dxa"/>
              <w:end w:w="120" w:type="dxa"/>
            </w:tcMar>
            <w:vAlign w:val="center"/>
          </w:tcPr>
          <w:p>
            <w:r>
              <w:rPr>
                <w:rFonts w:ascii="Arial" w:hAnsi="Arial"/>
                <w:b/>
                <w:color w:val="FFFFFF"/>
                <w:sz w:val="16"/>
              </w:rPr>
              <w:t>Method response</w:t>
            </w:r>
          </w:p>
        </w:tc>
      </w:tr>
      <w:tr>
        <w:trPr>
          <w:cantSplit/>
        </w:trPr>
        <w:tc>
          <w:tcPr>
            <w:tcW w:type="dxa" w:w="4735"/>
            <w:tcMar>
              <w:top w:w="90" w:type="dxa"/>
              <w:start w:w="120" w:type="dxa"/>
              <w:bottom w:w="90" w:type="dxa"/>
              <w:end w:w="120" w:type="dxa"/>
            </w:tcMar>
            <w:vAlign w:val="center"/>
          </w:tcPr>
          <w:p>
            <w:pPr>
              <w:spacing w:after="0"/>
            </w:pPr>
            <w:r>
              <w:rPr>
                <w:rFonts w:ascii="Arial" w:hAnsi="Arial"/>
                <w:sz w:val="15"/>
              </w:rPr>
              <w:t>The agent invents behavior while coding.</w:t>
            </w:r>
          </w:p>
        </w:tc>
        <w:tc>
          <w:tcPr>
            <w:tcW w:type="dxa" w:w="4984"/>
            <w:tcMar>
              <w:top w:w="90" w:type="dxa"/>
              <w:start w:w="120" w:type="dxa"/>
              <w:bottom w:w="90" w:type="dxa"/>
              <w:end w:w="120" w:type="dxa"/>
            </w:tcMar>
            <w:vAlign w:val="center"/>
          </w:tcPr>
          <w:p>
            <w:pPr>
              <w:spacing w:after="0"/>
            </w:pPr>
            <w:r>
              <w:rPr>
                <w:rFonts w:ascii="Arial" w:hAnsi="Arial"/>
                <w:sz w:val="15"/>
              </w:rPr>
              <w:t>An approved Feature or Business Spec owns intended behavior.</w:t>
            </w:r>
          </w:p>
        </w:tc>
      </w:tr>
      <w:tr>
        <w:trPr>
          <w:cantSplit/>
        </w:trPr>
        <w:tc>
          <w:tcPr>
            <w:tcW w:type="dxa" w:w="4735"/>
            <w:tcMar>
              <w:top w:w="90" w:type="dxa"/>
              <w:start w:w="120" w:type="dxa"/>
              <w:bottom w:w="90" w:type="dxa"/>
              <w:end w:w="120" w:type="dxa"/>
            </w:tcMar>
            <w:vAlign w:val="center"/>
            <w:shd w:fill="F5F6F8"/>
          </w:tcPr>
          <w:p>
            <w:pPr>
              <w:spacing w:after="0"/>
            </w:pPr>
            <w:r>
              <w:rPr>
                <w:rFonts w:ascii="Arial" w:hAnsi="Arial"/>
                <w:sz w:val="15"/>
              </w:rPr>
              <w:t>A plan is treated as current implementation.</w:t>
            </w:r>
          </w:p>
        </w:tc>
        <w:tc>
          <w:tcPr>
            <w:tcW w:type="dxa" w:w="4984"/>
            <w:tcMar>
              <w:top w:w="90" w:type="dxa"/>
              <w:start w:w="120" w:type="dxa"/>
              <w:bottom w:w="90" w:type="dxa"/>
              <w:end w:w="120" w:type="dxa"/>
            </w:tcMar>
            <w:vAlign w:val="center"/>
            <w:shd w:fill="F5F6F8"/>
          </w:tcPr>
          <w:p>
            <w:pPr>
              <w:spacing w:after="0"/>
            </w:pPr>
            <w:r>
              <w:rPr>
                <w:rFonts w:ascii="Arial" w:hAnsi="Arial"/>
                <w:sz w:val="15"/>
              </w:rPr>
              <w:t>Code, migrations and configuration own implemented reality; status labels remain explicit.</w:t>
            </w:r>
          </w:p>
        </w:tc>
      </w:tr>
      <w:tr>
        <w:trPr>
          <w:cantSplit/>
        </w:trPr>
        <w:tc>
          <w:tcPr>
            <w:tcW w:type="dxa" w:w="4735"/>
            <w:tcMar>
              <w:top w:w="90" w:type="dxa"/>
              <w:start w:w="120" w:type="dxa"/>
              <w:bottom w:w="90" w:type="dxa"/>
              <w:end w:w="120" w:type="dxa"/>
            </w:tcMar>
            <w:vAlign w:val="center"/>
          </w:tcPr>
          <w:p>
            <w:pPr>
              <w:spacing w:after="0"/>
            </w:pPr>
            <w:r>
              <w:rPr>
                <w:rFonts w:ascii="Arial" w:hAnsi="Arial"/>
                <w:sz w:val="15"/>
              </w:rPr>
              <w:t>Passing unit tests are mistaken for business correctness.</w:t>
            </w:r>
          </w:p>
        </w:tc>
        <w:tc>
          <w:tcPr>
            <w:tcW w:type="dxa" w:w="4984"/>
            <w:tcMar>
              <w:top w:w="90" w:type="dxa"/>
              <w:start w:w="120" w:type="dxa"/>
              <w:bottom w:w="90" w:type="dxa"/>
              <w:end w:w="120" w:type="dxa"/>
            </w:tcMar>
            <w:vAlign w:val="center"/>
          </w:tcPr>
          <w:p>
            <w:pPr>
              <w:spacing w:after="0"/>
            </w:pPr>
            <w:r>
              <w:rPr>
                <w:rFonts w:ascii="Arial" w:hAnsi="Arial"/>
                <w:sz w:val="15"/>
              </w:rPr>
              <w:t>Verification is layered and derived from the actual contract.</w:t>
            </w:r>
          </w:p>
        </w:tc>
      </w:tr>
      <w:tr>
        <w:trPr>
          <w:cantSplit/>
        </w:trPr>
        <w:tc>
          <w:tcPr>
            <w:tcW w:type="dxa" w:w="4735"/>
            <w:tcMar>
              <w:top w:w="90" w:type="dxa"/>
              <w:start w:w="120" w:type="dxa"/>
              <w:bottom w:w="90" w:type="dxa"/>
              <w:end w:w="120" w:type="dxa"/>
            </w:tcMar>
            <w:vAlign w:val="center"/>
            <w:shd w:fill="F5F6F8"/>
          </w:tcPr>
          <w:p>
            <w:pPr>
              <w:spacing w:after="0"/>
            </w:pPr>
            <w:r>
              <w:rPr>
                <w:rFonts w:ascii="Arial" w:hAnsi="Arial"/>
                <w:sz w:val="15"/>
              </w:rPr>
              <w:t>A prompt is expected to enforce security.</w:t>
            </w:r>
          </w:p>
        </w:tc>
        <w:tc>
          <w:tcPr>
            <w:tcW w:type="dxa" w:w="4984"/>
            <w:tcMar>
              <w:top w:w="90" w:type="dxa"/>
              <w:start w:w="120" w:type="dxa"/>
              <w:bottom w:w="90" w:type="dxa"/>
              <w:end w:w="120" w:type="dxa"/>
            </w:tcMar>
            <w:vAlign w:val="center"/>
            <w:shd w:fill="F5F6F8"/>
          </w:tcPr>
          <w:p>
            <w:pPr>
              <w:spacing w:after="0"/>
            </w:pPr>
            <w:r>
              <w:rPr>
                <w:rFonts w:ascii="Arial" w:hAnsi="Arial"/>
                <w:sz w:val="15"/>
              </w:rPr>
              <w:t>Deterministic policies, permissions, tests and hooks enforce hard boundaries.</w:t>
            </w:r>
          </w:p>
        </w:tc>
      </w:tr>
      <w:tr>
        <w:trPr>
          <w:cantSplit/>
        </w:trPr>
        <w:tc>
          <w:tcPr>
            <w:tcW w:type="dxa" w:w="4735"/>
            <w:tcMar>
              <w:top w:w="90" w:type="dxa"/>
              <w:start w:w="120" w:type="dxa"/>
              <w:bottom w:w="90" w:type="dxa"/>
              <w:end w:w="120" w:type="dxa"/>
            </w:tcMar>
            <w:vAlign w:val="center"/>
          </w:tcPr>
          <w:p>
            <w:pPr>
              <w:spacing w:after="0"/>
            </w:pPr>
            <w:r>
              <w:rPr>
                <w:rFonts w:ascii="Arial" w:hAnsi="Arial"/>
                <w:sz w:val="15"/>
              </w:rPr>
              <w:t>A failed implementation is patched repeatedly.</w:t>
            </w:r>
          </w:p>
        </w:tc>
        <w:tc>
          <w:tcPr>
            <w:tcW w:type="dxa" w:w="4984"/>
            <w:tcMar>
              <w:top w:w="90" w:type="dxa"/>
              <w:start w:w="120" w:type="dxa"/>
              <w:bottom w:w="90" w:type="dxa"/>
              <w:end w:w="120" w:type="dxa"/>
            </w:tcMar>
            <w:vAlign w:val="center"/>
          </w:tcPr>
          <w:p>
            <w:pPr>
              <w:spacing w:after="0"/>
            </w:pPr>
            <w:r>
              <w:rPr>
                <w:rFonts w:ascii="Arial" w:hAnsi="Arial"/>
                <w:sz w:val="15"/>
              </w:rPr>
              <w:t>Classify the failure and repair the owning artifact.</w:t>
            </w:r>
          </w:p>
        </w:tc>
      </w:tr>
      <w:tr>
        <w:trPr>
          <w:cantSplit/>
        </w:trPr>
        <w:tc>
          <w:tcPr>
            <w:tcW w:type="dxa" w:w="4735"/>
            <w:tcMar>
              <w:top w:w="90" w:type="dxa"/>
              <w:start w:w="120" w:type="dxa"/>
              <w:bottom w:w="90" w:type="dxa"/>
              <w:end w:w="120" w:type="dxa"/>
            </w:tcMar>
            <w:vAlign w:val="center"/>
            <w:shd w:fill="F5F6F8"/>
          </w:tcPr>
          <w:p>
            <w:pPr>
              <w:spacing w:after="0"/>
            </w:pPr>
            <w:r>
              <w:rPr>
                <w:rFonts w:ascii="Arial" w:hAnsi="Arial"/>
                <w:sz w:val="15"/>
              </w:rPr>
              <w:t>Generated speed encourages irreversible releases.</w:t>
            </w:r>
          </w:p>
        </w:tc>
        <w:tc>
          <w:tcPr>
            <w:tcW w:type="dxa" w:w="4984"/>
            <w:tcMar>
              <w:top w:w="90" w:type="dxa"/>
              <w:start w:w="120" w:type="dxa"/>
              <w:bottom w:w="90" w:type="dxa"/>
              <w:end w:w="120" w:type="dxa"/>
            </w:tcMar>
            <w:vAlign w:val="center"/>
            <w:shd w:fill="F5F6F8"/>
          </w:tcPr>
          <w:p>
            <w:pPr>
              <w:spacing w:after="0"/>
            </w:pPr>
            <w:r>
              <w:rPr>
                <w:rFonts w:ascii="Arial" w:hAnsi="Arial"/>
                <w:sz w:val="15"/>
              </w:rPr>
              <w:t>Flags, additive migrations, canary and rollback preserve control.</w:t>
            </w:r>
          </w:p>
        </w:tc>
      </w:tr>
    </w:tbl>
    <w:p>
      <w:pPr>
        <w:spacing w:after="0"/>
      </w:pPr>
    </w:p>
    <w:p>
      <w:pPr>
        <w:pStyle w:val="Heading1"/>
      </w:pPr>
      <w:r>
        <w:t>2. The lifecycle at a glance</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597"/>
            <w:shd w:fill="21143D"/>
            <w:tcMar>
              <w:top w:w="90" w:type="dxa"/>
              <w:start w:w="120" w:type="dxa"/>
              <w:bottom w:w="90" w:type="dxa"/>
              <w:end w:w="120" w:type="dxa"/>
            </w:tcMar>
            <w:vAlign w:val="center"/>
          </w:tcPr>
          <w:p>
            <w:r>
              <w:rPr>
                <w:rFonts w:ascii="Arial" w:hAnsi="Arial"/>
                <w:b/>
                <w:color w:val="FFFFFF"/>
                <w:sz w:val="16"/>
              </w:rPr>
              <w:t>Frame</w:t>
            </w:r>
          </w:p>
        </w:tc>
        <w:tc>
          <w:tcPr>
            <w:tcW w:type="dxa" w:w="1095"/>
            <w:shd w:fill="21143D"/>
            <w:tcMar>
              <w:top w:w="90" w:type="dxa"/>
              <w:start w:w="120" w:type="dxa"/>
              <w:bottom w:w="90" w:type="dxa"/>
              <w:end w:w="120" w:type="dxa"/>
            </w:tcMar>
            <w:vAlign w:val="center"/>
          </w:tcPr>
          <w:p>
            <w:r>
              <w:rPr>
                <w:rFonts w:ascii="Arial" w:hAnsi="Arial"/>
                <w:b/>
                <w:color w:val="FFFFFF"/>
                <w:sz w:val="16"/>
              </w:rPr>
              <w:t>Specify</w:t>
            </w:r>
          </w:p>
        </w:tc>
        <w:tc>
          <w:tcPr>
            <w:tcW w:type="dxa" w:w="1688"/>
            <w:shd w:fill="21143D"/>
            <w:tcMar>
              <w:top w:w="90" w:type="dxa"/>
              <w:start w:w="120" w:type="dxa"/>
              <w:bottom w:w="90" w:type="dxa"/>
              <w:end w:w="120" w:type="dxa"/>
            </w:tcMar>
            <w:vAlign w:val="center"/>
          </w:tcPr>
          <w:p>
            <w:r>
              <w:rPr>
                <w:rFonts w:ascii="Arial" w:hAnsi="Arial"/>
                <w:b/>
                <w:color w:val="FFFFFF"/>
                <w:sz w:val="16"/>
              </w:rPr>
              <w:t>Design</w:t>
            </w:r>
          </w:p>
        </w:tc>
        <w:tc>
          <w:tcPr>
            <w:tcW w:type="dxa" w:w="1688"/>
            <w:shd w:fill="21143D"/>
            <w:tcMar>
              <w:top w:w="90" w:type="dxa"/>
              <w:start w:w="120" w:type="dxa"/>
              <w:bottom w:w="90" w:type="dxa"/>
              <w:end w:w="120" w:type="dxa"/>
            </w:tcMar>
            <w:vAlign w:val="center"/>
          </w:tcPr>
          <w:p>
            <w:r>
              <w:rPr>
                <w:rFonts w:ascii="Arial" w:hAnsi="Arial"/>
                <w:b/>
                <w:color w:val="FFFFFF"/>
                <w:sz w:val="16"/>
              </w:rPr>
              <w:t>Build</w:t>
            </w:r>
          </w:p>
        </w:tc>
        <w:tc>
          <w:tcPr>
            <w:tcW w:type="dxa" w:w="1688"/>
            <w:shd w:fill="21143D"/>
            <w:tcMar>
              <w:top w:w="90" w:type="dxa"/>
              <w:start w:w="120" w:type="dxa"/>
              <w:bottom w:w="90" w:type="dxa"/>
              <w:end w:w="120" w:type="dxa"/>
            </w:tcMar>
            <w:vAlign w:val="center"/>
          </w:tcPr>
          <w:p>
            <w:r>
              <w:rPr>
                <w:rFonts w:ascii="Arial" w:hAnsi="Arial"/>
                <w:b/>
                <w:color w:val="FFFFFF"/>
                <w:sz w:val="16"/>
              </w:rPr>
              <w:t>Prove</w:t>
            </w:r>
          </w:p>
        </w:tc>
        <w:tc>
          <w:tcPr>
            <w:tcW w:type="dxa" w:w="1962"/>
            <w:shd w:fill="21143D"/>
            <w:tcMar>
              <w:top w:w="90" w:type="dxa"/>
              <w:start w:w="120" w:type="dxa"/>
              <w:bottom w:w="90" w:type="dxa"/>
              <w:end w:w="120" w:type="dxa"/>
            </w:tcMar>
            <w:vAlign w:val="center"/>
          </w:tcPr>
          <w:p>
            <w:r>
              <w:rPr>
                <w:rFonts w:ascii="Arial" w:hAnsi="Arial"/>
                <w:b/>
                <w:color w:val="FFFFFF"/>
                <w:sz w:val="16"/>
              </w:rPr>
              <w:t>Operate</w:t>
            </w:r>
          </w:p>
        </w:tc>
      </w:tr>
      <w:tr>
        <w:trPr>
          <w:cantSplit/>
        </w:trPr>
        <w:tc>
          <w:tcPr>
            <w:tcW w:type="dxa" w:w="1597"/>
            <w:tcMar>
              <w:top w:w="90" w:type="dxa"/>
              <w:start w:w="120" w:type="dxa"/>
              <w:bottom w:w="90" w:type="dxa"/>
              <w:end w:w="120" w:type="dxa"/>
            </w:tcMar>
            <w:vAlign w:val="center"/>
          </w:tcPr>
          <w:p>
            <w:pPr>
              <w:spacing w:after="0"/>
            </w:pPr>
            <w:r>
              <w:rPr>
                <w:rFonts w:ascii="Arial" w:hAnsi="Arial"/>
                <w:sz w:val="15"/>
              </w:rPr>
              <w:t>Discover or Clarify</w:t>
            </w:r>
            <w:r>
              <w:br/>
            </w:r>
            <w:r>
              <w:rPr>
                <w:rFonts w:ascii="Arial" w:hAnsi="Arial"/>
                <w:sz w:val="15"/>
              </w:rPr>
              <w:t>PRD or Brief</w:t>
            </w:r>
          </w:p>
        </w:tc>
        <w:tc>
          <w:tcPr>
            <w:tcW w:type="dxa" w:w="1095"/>
            <w:tcMar>
              <w:top w:w="90" w:type="dxa"/>
              <w:start w:w="120" w:type="dxa"/>
              <w:bottom w:w="90" w:type="dxa"/>
              <w:end w:w="120" w:type="dxa"/>
            </w:tcMar>
            <w:vAlign w:val="center"/>
          </w:tcPr>
          <w:p>
            <w:pPr>
              <w:spacing w:after="0"/>
            </w:pPr>
            <w:r>
              <w:rPr>
                <w:rFonts w:ascii="Arial" w:hAnsi="Arial"/>
                <w:sz w:val="15"/>
              </w:rPr>
              <w:t>Feature or Business Spec</w:t>
            </w:r>
          </w:p>
        </w:tc>
        <w:tc>
          <w:tcPr>
            <w:tcW w:type="dxa" w:w="1688"/>
            <w:tcMar>
              <w:top w:w="90" w:type="dxa"/>
              <w:start w:w="120" w:type="dxa"/>
              <w:bottom w:w="90" w:type="dxa"/>
              <w:end w:w="120" w:type="dxa"/>
            </w:tcMar>
            <w:vAlign w:val="center"/>
          </w:tcPr>
          <w:p>
            <w:pPr>
              <w:spacing w:after="0"/>
            </w:pPr>
            <w:r>
              <w:rPr>
                <w:rFonts w:ascii="Arial" w:hAnsi="Arial"/>
                <w:sz w:val="15"/>
              </w:rPr>
              <w:t>Architecture or ADR</w:t>
            </w:r>
            <w:r>
              <w:br/>
            </w:r>
            <w:r>
              <w:rPr>
                <w:rFonts w:ascii="Arial" w:hAnsi="Arial"/>
                <w:sz w:val="15"/>
              </w:rPr>
              <w:t>Technical Plan</w:t>
            </w:r>
          </w:p>
        </w:tc>
        <w:tc>
          <w:tcPr>
            <w:tcW w:type="dxa" w:w="1688"/>
            <w:tcMar>
              <w:top w:w="90" w:type="dxa"/>
              <w:start w:w="120" w:type="dxa"/>
              <w:bottom w:w="90" w:type="dxa"/>
              <w:end w:w="120" w:type="dxa"/>
            </w:tcMar>
            <w:vAlign w:val="center"/>
          </w:tcPr>
          <w:p>
            <w:pPr>
              <w:spacing w:after="0"/>
            </w:pPr>
            <w:r>
              <w:rPr>
                <w:rFonts w:ascii="Arial" w:hAnsi="Arial"/>
                <w:sz w:val="15"/>
              </w:rPr>
              <w:t>Slice Plan → JIT Tasks</w:t>
              <w:br/>
              <w:t>Implement</w:t>
            </w:r>
            <w:r/>
            <w:r>
              <w:rPr>
                <w:rFonts w:ascii="Arial" w:hAnsi="Arial"/>
                <w:sz w:val="15"/>
              </w:rPr>
            </w:r>
          </w:p>
        </w:tc>
        <w:tc>
          <w:tcPr>
            <w:tcW w:type="dxa" w:w="1688"/>
            <w:tcMar>
              <w:top w:w="90" w:type="dxa"/>
              <w:start w:w="120" w:type="dxa"/>
              <w:bottom w:w="90" w:type="dxa"/>
              <w:end w:w="120" w:type="dxa"/>
            </w:tcMar>
            <w:vAlign w:val="center"/>
          </w:tcPr>
          <w:p>
            <w:pPr>
              <w:spacing w:after="0"/>
            </w:pPr>
            <w:r>
              <w:rPr>
                <w:rFonts w:ascii="Arial" w:hAnsi="Arial"/>
                <w:sz w:val="15"/>
              </w:rPr>
              <w:t>Verify, Classify and Repair</w:t>
            </w:r>
            <w:r>
              <w:br/>
            </w:r>
            <w:r>
              <w:rPr>
                <w:rFonts w:ascii="Arial" w:hAnsi="Arial"/>
                <w:sz w:val="15"/>
              </w:rPr>
              <w:t>Review</w:t>
            </w:r>
          </w:p>
        </w:tc>
        <w:tc>
          <w:tcPr>
            <w:tcW w:type="dxa" w:w="1962"/>
            <w:tcMar>
              <w:top w:w="90" w:type="dxa"/>
              <w:start w:w="120" w:type="dxa"/>
              <w:bottom w:w="90" w:type="dxa"/>
              <w:end w:w="120" w:type="dxa"/>
            </w:tcMar>
            <w:vAlign w:val="center"/>
          </w:tcPr>
          <w:p>
            <w:pPr>
              <w:spacing w:after="0"/>
            </w:pPr>
            <w:r>
              <w:rPr>
                <w:rFonts w:ascii="Arial" w:hAnsi="Arial"/>
                <w:sz w:val="15"/>
              </w:rPr>
              <w:t>Release safely</w:t>
            </w:r>
            <w:r>
              <w:br/>
            </w:r>
            <w:r>
              <w:rPr>
                <w:rFonts w:ascii="Arial" w:hAnsi="Arial"/>
                <w:sz w:val="15"/>
              </w:rPr>
              <w:t>Observe, Learn and Evolve</w:t>
            </w:r>
          </w:p>
        </w:tc>
      </w:tr>
    </w:tbl>
    <w:p>
      <w:pPr>
        <w:spacing w:after="0"/>
      </w:pPr>
    </w:p>
    <w:p>
      <w:r>
        <w:t>This is not a waterfall. Evidence can send the work back to the artifact that owns the defect. The discipline is explicit correction, not one-way paperwork.</w:t>
      </w:r>
    </w:p>
    <w:p>
      <w:pPr>
        <w:pStyle w:val="Heading1"/>
      </w:pPr>
      <w:r>
        <w:t>3. Artifact architecture: each truth has an owner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32"/>
            <w:shd w:fill="21143D"/>
            <w:tcMar>
              <w:top w:w="90" w:type="dxa"/>
              <w:start w:w="120" w:type="dxa"/>
              <w:bottom w:w="90" w:type="dxa"/>
              <w:end w:w="120" w:type="dxa"/>
            </w:tcMar>
            <w:vAlign w:val="center"/>
          </w:tcPr>
          <w:p>
            <w:r>
              <w:rPr>
                <w:rFonts w:ascii="Arial" w:hAnsi="Arial"/>
                <w:b/>
                <w:color w:val="FFFFFF"/>
                <w:sz w:val="16"/>
              </w:rPr>
              <w:t>Truth</w:t>
            </w:r>
          </w:p>
        </w:tc>
        <w:tc>
          <w:tcPr>
            <w:tcW w:type="dxa" w:w="3421"/>
            <w:shd w:fill="21143D"/>
            <w:tcMar>
              <w:top w:w="90" w:type="dxa"/>
              <w:start w:w="120" w:type="dxa"/>
              <w:bottom w:w="90" w:type="dxa"/>
              <w:end w:w="120" w:type="dxa"/>
            </w:tcMar>
            <w:vAlign w:val="center"/>
          </w:tcPr>
          <w:p>
            <w:r>
              <w:rPr>
                <w:rFonts w:ascii="Arial" w:hAnsi="Arial"/>
                <w:b/>
                <w:color w:val="FFFFFF"/>
                <w:sz w:val="16"/>
              </w:rPr>
              <w:t>Owner</w:t>
            </w:r>
          </w:p>
        </w:tc>
        <w:tc>
          <w:tcPr>
            <w:tcW w:type="dxa" w:w="4665"/>
            <w:shd w:fill="21143D"/>
            <w:tcMar>
              <w:top w:w="90" w:type="dxa"/>
              <w:start w:w="120" w:type="dxa"/>
              <w:bottom w:w="90" w:type="dxa"/>
              <w:end w:w="120" w:type="dxa"/>
            </w:tcMar>
            <w:vAlign w:val="center"/>
          </w:tcPr>
          <w:p>
            <w:r>
              <w:rPr>
                <w:rFonts w:ascii="Arial" w:hAnsi="Arial"/>
                <w:b/>
                <w:color w:val="FFFFFF"/>
                <w:sz w:val="16"/>
              </w:rPr>
              <w:t>Question</w:t>
            </w:r>
          </w:p>
        </w:tc>
      </w:tr>
      <w:tr>
        <w:trPr>
          <w:cantSplit/>
        </w:trPr>
        <w:tc>
          <w:tcPr>
            <w:tcW w:type="dxa" w:w="1632"/>
            <w:tcMar>
              <w:top w:w="90" w:type="dxa"/>
              <w:start w:w="120" w:type="dxa"/>
              <w:bottom w:w="90" w:type="dxa"/>
              <w:end w:w="120" w:type="dxa"/>
            </w:tcMar>
            <w:vAlign w:val="center"/>
          </w:tcPr>
          <w:p>
            <w:pPr>
              <w:spacing w:after="0"/>
            </w:pPr>
            <w:r>
              <w:rPr>
                <w:rFonts w:ascii="Arial" w:hAnsi="Arial"/>
                <w:sz w:val="15"/>
              </w:rPr>
              <w:t>Product intent</w:t>
            </w:r>
          </w:p>
        </w:tc>
        <w:tc>
          <w:tcPr>
            <w:tcW w:type="dxa" w:w="3421"/>
            <w:tcMar>
              <w:top w:w="90" w:type="dxa"/>
              <w:start w:w="120" w:type="dxa"/>
              <w:bottom w:w="90" w:type="dxa"/>
              <w:end w:w="120" w:type="dxa"/>
            </w:tcMar>
            <w:vAlign w:val="center"/>
          </w:tcPr>
          <w:p>
            <w:pPr>
              <w:spacing w:after="0"/>
            </w:pPr>
            <w:r>
              <w:rPr>
                <w:rFonts w:ascii="Arial" w:hAnsi="Arial"/>
                <w:sz w:val="15"/>
              </w:rPr>
              <w:t>Product PRD</w:t>
            </w:r>
          </w:p>
        </w:tc>
        <w:tc>
          <w:tcPr>
            <w:tcW w:type="dxa" w:w="4665"/>
            <w:tcMar>
              <w:top w:w="90" w:type="dxa"/>
              <w:start w:w="120" w:type="dxa"/>
              <w:bottom w:w="90" w:type="dxa"/>
              <w:end w:w="120" w:type="dxa"/>
            </w:tcMar>
            <w:vAlign w:val="center"/>
          </w:tcPr>
          <w:p>
            <w:pPr>
              <w:spacing w:after="0"/>
            </w:pPr>
            <w:r>
              <w:rPr>
                <w:rFonts w:ascii="Arial" w:hAnsi="Arial"/>
                <w:sz w:val="15"/>
              </w:rPr>
              <w:t>Why, for whom, which outcome, scope and strategy?</w:t>
            </w:r>
          </w:p>
        </w:tc>
      </w:tr>
      <w:tr>
        <w:trPr>
          <w:cantSplit/>
        </w:trPr>
        <w:tc>
          <w:tcPr>
            <w:tcW w:type="dxa" w:w="1632"/>
            <w:tcMar>
              <w:top w:w="90" w:type="dxa"/>
              <w:start w:w="120" w:type="dxa"/>
              <w:bottom w:w="90" w:type="dxa"/>
              <w:end w:w="120" w:type="dxa"/>
            </w:tcMar>
            <w:vAlign w:val="center"/>
            <w:shd w:fill="F5F6F8"/>
          </w:tcPr>
          <w:p>
            <w:pPr>
              <w:spacing w:after="0"/>
            </w:pPr>
            <w:r>
              <w:rPr>
                <w:rFonts w:ascii="Arial" w:hAnsi="Arial"/>
                <w:sz w:val="15"/>
              </w:rPr>
              <w:t>Initiative framing</w:t>
            </w:r>
          </w:p>
        </w:tc>
        <w:tc>
          <w:tcPr>
            <w:tcW w:type="dxa" w:w="3421"/>
            <w:tcMar>
              <w:top w:w="90" w:type="dxa"/>
              <w:start w:w="120" w:type="dxa"/>
              <w:bottom w:w="90" w:type="dxa"/>
              <w:end w:w="120" w:type="dxa"/>
            </w:tcMar>
            <w:vAlign w:val="center"/>
            <w:shd w:fill="F5F6F8"/>
          </w:tcPr>
          <w:p>
            <w:pPr>
              <w:spacing w:after="0"/>
            </w:pPr>
            <w:r>
              <w:rPr>
                <w:rFonts w:ascii="Arial" w:hAnsi="Arial"/>
                <w:sz w:val="15"/>
              </w:rPr>
              <w:t>Initiative Brief — optional</w:t>
            </w:r>
          </w:p>
        </w:tc>
        <w:tc>
          <w:tcPr>
            <w:tcW w:type="dxa" w:w="4665"/>
            <w:tcMar>
              <w:top w:w="90" w:type="dxa"/>
              <w:start w:w="120" w:type="dxa"/>
              <w:bottom w:w="90" w:type="dxa"/>
              <w:end w:w="120" w:type="dxa"/>
            </w:tcMar>
            <w:vAlign w:val="center"/>
            <w:shd w:fill="F5F6F8"/>
          </w:tcPr>
          <w:p>
            <w:pPr>
              <w:spacing w:after="0"/>
            </w:pPr>
            <w:r>
              <w:rPr>
                <w:rFonts w:ascii="Arial" w:hAnsi="Arial"/>
                <w:sz w:val="15"/>
              </w:rPr>
              <w:t>Why this bounded initiative now, and is deeper specification justified?</w:t>
            </w:r>
          </w:p>
        </w:tc>
      </w:tr>
      <w:tr>
        <w:trPr>
          <w:cantSplit/>
        </w:trPr>
        <w:tc>
          <w:tcPr>
            <w:tcW w:type="dxa" w:w="1632"/>
            <w:tcMar>
              <w:top w:w="90" w:type="dxa"/>
              <w:start w:w="120" w:type="dxa"/>
              <w:bottom w:w="90" w:type="dxa"/>
              <w:end w:w="120" w:type="dxa"/>
            </w:tcMar>
            <w:vAlign w:val="center"/>
          </w:tcPr>
          <w:p>
            <w:pPr>
              <w:spacing w:after="0"/>
            </w:pPr>
            <w:r>
              <w:rPr>
                <w:rFonts w:ascii="Arial" w:hAnsi="Arial"/>
                <w:sz w:val="15"/>
              </w:rPr>
              <w:t>Intended behavior</w:t>
            </w:r>
          </w:p>
        </w:tc>
        <w:tc>
          <w:tcPr>
            <w:tcW w:type="dxa" w:w="3421"/>
            <w:tcMar>
              <w:top w:w="90" w:type="dxa"/>
              <w:start w:w="120" w:type="dxa"/>
              <w:bottom w:w="90" w:type="dxa"/>
              <w:end w:w="120" w:type="dxa"/>
            </w:tcMar>
            <w:vAlign w:val="center"/>
          </w:tcPr>
          <w:p>
            <w:pPr>
              <w:spacing w:after="0"/>
            </w:pPr>
            <w:r>
              <w:rPr>
                <w:rFonts w:ascii="Arial" w:hAnsi="Arial"/>
                <w:sz w:val="15"/>
              </w:rPr>
              <w:t>Feature or Business Spec</w:t>
            </w:r>
          </w:p>
        </w:tc>
        <w:tc>
          <w:tcPr>
            <w:tcW w:type="dxa" w:w="4665"/>
            <w:tcMar>
              <w:top w:w="90" w:type="dxa"/>
              <w:start w:w="120" w:type="dxa"/>
              <w:bottom w:w="90" w:type="dxa"/>
              <w:end w:w="120" w:type="dxa"/>
            </w:tcMar>
            <w:vAlign w:val="center"/>
          </w:tcPr>
          <w:p>
            <w:pPr>
              <w:spacing w:after="0"/>
            </w:pPr>
            <w:r>
              <w:rPr>
                <w:rFonts w:ascii="Arial" w:hAnsi="Arial"/>
                <w:sz w:val="15"/>
              </w:rPr>
              <w:t>Exactly what must the capability do and not do?</w:t>
            </w:r>
          </w:p>
        </w:tc>
      </w:tr>
      <w:tr>
        <w:trPr>
          <w:cantSplit/>
        </w:trPr>
        <w:tc>
          <w:tcPr>
            <w:tcW w:type="dxa" w:w="1632"/>
            <w:tcMar>
              <w:top w:w="90" w:type="dxa"/>
              <w:start w:w="120" w:type="dxa"/>
              <w:bottom w:w="90" w:type="dxa"/>
              <w:end w:w="120" w:type="dxa"/>
            </w:tcMar>
            <w:vAlign w:val="center"/>
            <w:shd w:fill="F5F6F8"/>
          </w:tcPr>
          <w:p>
            <w:pPr>
              <w:spacing w:after="0"/>
            </w:pPr>
            <w:r>
              <w:rPr>
                <w:rFonts w:ascii="Arial" w:hAnsi="Arial"/>
                <w:sz w:val="15"/>
              </w:rPr>
              <w:t>Architecture decision</w:t>
            </w:r>
          </w:p>
        </w:tc>
        <w:tc>
          <w:tcPr>
            <w:tcW w:type="dxa" w:w="3421"/>
            <w:tcMar>
              <w:top w:w="90" w:type="dxa"/>
              <w:start w:w="120" w:type="dxa"/>
              <w:bottom w:w="90" w:type="dxa"/>
              <w:end w:w="120" w:type="dxa"/>
            </w:tcMar>
            <w:vAlign w:val="center"/>
            <w:shd w:fill="F5F6F8"/>
          </w:tcPr>
          <w:p>
            <w:pPr>
              <w:spacing w:after="0"/>
            </w:pPr>
            <w:r>
              <w:rPr>
                <w:rFonts w:ascii="Arial" w:hAnsi="Arial"/>
                <w:sz w:val="15"/>
              </w:rPr>
              <w:t>Architecture Analysis and ADR</w:t>
            </w:r>
          </w:p>
        </w:tc>
        <w:tc>
          <w:tcPr>
            <w:tcW w:type="dxa" w:w="4665"/>
            <w:tcMar>
              <w:top w:w="90" w:type="dxa"/>
              <w:start w:w="120" w:type="dxa"/>
              <w:bottom w:w="90" w:type="dxa"/>
              <w:end w:w="120" w:type="dxa"/>
            </w:tcMar>
            <w:vAlign w:val="center"/>
            <w:shd w:fill="F5F6F8"/>
          </w:tcPr>
          <w:p>
            <w:pPr>
              <w:spacing w:after="0"/>
            </w:pPr>
            <w:r>
              <w:rPr>
                <w:rFonts w:ascii="Arial" w:hAnsi="Arial"/>
                <w:sz w:val="15"/>
              </w:rPr>
              <w:t>Which structural trade-off or decision is accepted?</w:t>
            </w:r>
          </w:p>
        </w:tc>
      </w:tr>
      <w:tr>
        <w:trPr>
          <w:cantSplit/>
        </w:trPr>
        <w:tc>
          <w:tcPr>
            <w:tcW w:type="dxa" w:w="1632"/>
            <w:tcMar>
              <w:top w:w="90" w:type="dxa"/>
              <w:start w:w="120" w:type="dxa"/>
              <w:bottom w:w="90" w:type="dxa"/>
              <w:end w:w="120" w:type="dxa"/>
            </w:tcMar>
            <w:vAlign w:val="center"/>
          </w:tcPr>
          <w:p>
            <w:pPr>
              <w:spacing w:after="0"/>
            </w:pPr>
            <w:r>
              <w:rPr>
                <w:rFonts w:ascii="Arial" w:hAnsi="Arial"/>
                <w:sz w:val="15"/>
              </w:rPr>
              <w:t>Implementation intent</w:t>
            </w:r>
          </w:p>
        </w:tc>
        <w:tc>
          <w:tcPr>
            <w:tcW w:type="dxa" w:w="3421"/>
            <w:tcMar>
              <w:top w:w="90" w:type="dxa"/>
              <w:start w:w="120" w:type="dxa"/>
              <w:bottom w:w="90" w:type="dxa"/>
              <w:end w:w="120" w:type="dxa"/>
            </w:tcMar>
            <w:vAlign w:val="center"/>
          </w:tcPr>
          <w:p>
            <w:pPr>
              <w:spacing w:after="0"/>
            </w:pPr>
            <w:r>
              <w:rPr>
                <w:rFonts w:ascii="Arial" w:hAnsi="Arial"/>
                <w:sz w:val="15"/>
              </w:rPr>
              <w:t>Technical Plan</w:t>
            </w:r>
          </w:p>
        </w:tc>
        <w:tc>
          <w:tcPr>
            <w:tcW w:type="dxa" w:w="4665"/>
            <w:tcMar>
              <w:top w:w="90" w:type="dxa"/>
              <w:start w:w="120" w:type="dxa"/>
              <w:bottom w:w="90" w:type="dxa"/>
              <w:end w:w="120" w:type="dxa"/>
            </w:tcMar>
            <w:vAlign w:val="center"/>
          </w:tcPr>
          <w:p>
            <w:pPr>
              <w:spacing w:after="0"/>
            </w:pPr>
            <w:r>
              <w:rPr>
                <w:rFonts w:ascii="Arial" w:hAnsi="Arial"/>
                <w:sz w:val="15"/>
              </w:rPr>
              <w:t>How will approved behavior and architecture be realized here?</w:t>
            </w:r>
          </w:p>
        </w:tc>
      </w:tr>
      <w:tr>
        <w:trPr>
          <w:cantSplit/>
        </w:trPr>
        <w:tc>
          <w:tcPr>
            <w:tcW w:type="dxa" w:w="1632"/>
            <w:tcMar>
              <w:top w:w="90" w:type="dxa"/>
              <w:start w:w="120" w:type="dxa"/>
              <w:bottom w:w="90" w:type="dxa"/>
              <w:end w:w="120" w:type="dxa"/>
            </w:tcMar>
            <w:vAlign w:val="center"/>
            <w:shd w:fill="F5F6F8"/>
          </w:tcPr>
          <w:p>
            <w:pPr>
              <w:spacing w:after="0"/>
            </w:pPr>
            <w:r>
              <w:rPr>
                <w:rFonts w:ascii="Arial" w:hAnsi="Arial"/>
                <w:sz w:val="15"/>
              </w:rPr>
              <w:t>Execution work</w:t>
            </w:r>
          </w:p>
        </w:tc>
        <w:tc>
          <w:tcPr>
            <w:tcW w:type="dxa" w:w="3421"/>
            <w:tcMar>
              <w:top w:w="90" w:type="dxa"/>
              <w:start w:w="120" w:type="dxa"/>
              <w:bottom w:w="90" w:type="dxa"/>
              <w:end w:w="120" w:type="dxa"/>
            </w:tcMar>
            <w:vAlign w:val="center"/>
            <w:shd w:fill="F5F6F8"/>
          </w:tcPr>
          <w:p>
            <w:pPr>
              <w:spacing w:after="0"/>
            </w:pPr>
            <w:r>
              <w:rPr>
                <w:rFonts w:ascii="Arial" w:hAnsi="Arial"/>
                <w:sz w:val="15"/>
              </w:rPr>
              <w:t>Slice Plan / durable Slice contracts</w:t>
            </w:r>
          </w:p>
        </w:tc>
        <w:tc>
          <w:tcPr>
            <w:tcW w:type="dxa" w:w="4665"/>
            <w:tcMar>
              <w:top w:w="90" w:type="dxa"/>
              <w:start w:w="120" w:type="dxa"/>
              <w:bottom w:w="90" w:type="dxa"/>
              <w:end w:w="120" w:type="dxa"/>
            </w:tcMar>
            <w:vAlign w:val="center"/>
            <w:shd w:fill="F5F6F8"/>
          </w:tcPr>
          <w:p>
            <w:pPr>
              <w:spacing w:after="0"/>
            </w:pPr>
            <w:r>
              <w:rPr>
                <w:rFonts w:ascii="Arial" w:hAnsi="Arial"/>
                <w:sz w:val="15"/>
              </w:rPr>
              <w:t>Which independently verifiable Slice contracts, acceptance evidence, Release Scope and readiness govern the increment?</w:t>
            </w:r>
          </w:p>
        </w:tc>
      </w:tr>
      <w:tr>
        <w:trPr>
          <w:cantSplit/>
        </w:trPr>
        <w:tc>
          <w:tcPr>
            <w:tcW w:type="dxa" w:w="1632"/>
            <w:tcMar>
              <w:top w:w="90" w:type="dxa"/>
              <w:start w:w="120" w:type="dxa"/>
              <w:bottom w:w="90" w:type="dxa"/>
              <w:end w:w="120" w:type="dxa"/>
            </w:tcMar>
            <w:vAlign w:val="center"/>
          </w:tcPr>
          <w:p>
            <w:pPr>
              <w:spacing w:after="0"/>
            </w:pPr>
            <w:r>
              <w:rPr>
                <w:rFonts w:ascii="Arial" w:hAnsi="Arial"/>
                <w:sz w:val="15"/>
              </w:rPr>
              <w:t>Implemented reality</w:t>
            </w:r>
          </w:p>
        </w:tc>
        <w:tc>
          <w:tcPr>
            <w:tcW w:type="dxa" w:w="3421"/>
            <w:tcMar>
              <w:top w:w="90" w:type="dxa"/>
              <w:start w:w="120" w:type="dxa"/>
              <w:bottom w:w="90" w:type="dxa"/>
              <w:end w:w="120" w:type="dxa"/>
            </w:tcMar>
            <w:vAlign w:val="center"/>
          </w:tcPr>
          <w:p>
            <w:pPr>
              <w:spacing w:after="0"/>
            </w:pPr>
            <w:r>
              <w:rPr>
                <w:rFonts w:ascii="Arial" w:hAnsi="Arial"/>
                <w:sz w:val="15"/>
              </w:rPr>
              <w:t>Code, migrations and configuration</w:t>
            </w:r>
          </w:p>
        </w:tc>
        <w:tc>
          <w:tcPr>
            <w:tcW w:type="dxa" w:w="4665"/>
            <w:tcMar>
              <w:top w:w="90" w:type="dxa"/>
              <w:start w:w="120" w:type="dxa"/>
              <w:bottom w:w="90" w:type="dxa"/>
              <w:end w:w="120" w:type="dxa"/>
            </w:tcMar>
            <w:vAlign w:val="center"/>
          </w:tcPr>
          <w:p>
            <w:pPr>
              <w:spacing w:after="0"/>
            </w:pPr>
            <w:r>
              <w:rPr>
                <w:rFonts w:ascii="Arial" w:hAnsi="Arial"/>
                <w:sz w:val="15"/>
              </w:rPr>
              <w:t>What actually runs?</w:t>
            </w:r>
          </w:p>
        </w:tc>
      </w:tr>
      <w:tr>
        <w:trPr>
          <w:cantSplit/>
        </w:trPr>
        <w:tc>
          <w:tcPr>
            <w:tcW w:type="dxa" w:w="1632"/>
            <w:tcMar>
              <w:top w:w="90" w:type="dxa"/>
              <w:start w:w="120" w:type="dxa"/>
              <w:bottom w:w="90" w:type="dxa"/>
              <w:end w:w="120" w:type="dxa"/>
            </w:tcMar>
            <w:vAlign w:val="center"/>
            <w:shd w:fill="F5F6F8"/>
          </w:tcPr>
          <w:p>
            <w:pPr>
              <w:spacing w:after="0"/>
            </w:pPr>
            <w:r>
              <w:rPr>
                <w:rFonts w:ascii="Arial" w:hAnsi="Arial"/>
                <w:sz w:val="15"/>
              </w:rPr>
              <w:t>Verification truth</w:t>
            </w:r>
          </w:p>
        </w:tc>
        <w:tc>
          <w:tcPr>
            <w:tcW w:type="dxa" w:w="3421"/>
            <w:tcMar>
              <w:top w:w="90" w:type="dxa"/>
              <w:start w:w="120" w:type="dxa"/>
              <w:bottom w:w="90" w:type="dxa"/>
              <w:end w:w="120" w:type="dxa"/>
            </w:tcMar>
            <w:vAlign w:val="center"/>
            <w:shd w:fill="F5F6F8"/>
          </w:tcPr>
          <w:p>
            <w:pPr>
              <w:spacing w:after="0"/>
            </w:pPr>
            <w:r>
              <w:rPr>
                <w:rFonts w:ascii="Arial" w:hAnsi="Arial"/>
                <w:sz w:val="15"/>
              </w:rPr>
              <w:t>Tests, evals, replay, readiness and evidence</w:t>
            </w:r>
          </w:p>
        </w:tc>
        <w:tc>
          <w:tcPr>
            <w:tcW w:type="dxa" w:w="4665"/>
            <w:tcMar>
              <w:top w:w="90" w:type="dxa"/>
              <w:start w:w="120" w:type="dxa"/>
              <w:bottom w:w="90" w:type="dxa"/>
              <w:end w:w="120" w:type="dxa"/>
            </w:tcMar>
            <w:vAlign w:val="center"/>
            <w:shd w:fill="F5F6F8"/>
          </w:tcPr>
          <w:p>
            <w:pPr>
              <w:spacing w:after="0"/>
            </w:pPr>
            <w:r>
              <w:rPr>
                <w:rFonts w:ascii="Arial" w:hAnsi="Arial"/>
                <w:sz w:val="15"/>
              </w:rPr>
              <w:t>What proves the contract?</w:t>
            </w:r>
          </w:p>
        </w:tc>
      </w:tr>
      <w:tr>
        <w:trPr>
          <w:cantSplit/>
        </w:trPr>
        <w:tc>
          <w:tcPr>
            <w:tcW w:type="dxa" w:w="1632"/>
            <w:tcMar>
              <w:top w:w="90" w:type="dxa"/>
              <w:start w:w="120" w:type="dxa"/>
              <w:bottom w:w="90" w:type="dxa"/>
              <w:end w:w="120" w:type="dxa"/>
            </w:tcMar>
            <w:vAlign w:val="center"/>
          </w:tcPr>
          <w:p>
            <w:pPr>
              <w:spacing w:after="0"/>
            </w:pPr>
            <w:r>
              <w:rPr>
                <w:rFonts w:ascii="Arial" w:hAnsi="Arial"/>
                <w:sz w:val="15"/>
              </w:rPr>
              <w:t>Release truth</w:t>
            </w:r>
          </w:p>
        </w:tc>
        <w:tc>
          <w:tcPr>
            <w:tcW w:type="dxa" w:w="3421"/>
            <w:tcMar>
              <w:top w:w="90" w:type="dxa"/>
              <w:start w:w="120" w:type="dxa"/>
              <w:bottom w:w="90" w:type="dxa"/>
              <w:end w:w="120" w:type="dxa"/>
            </w:tcMar>
            <w:vAlign w:val="center"/>
          </w:tcPr>
          <w:p>
            <w:pPr>
              <w:spacing w:after="0"/>
            </w:pPr>
            <w:r>
              <w:rPr>
                <w:rFonts w:ascii="Arial" w:hAnsi="Arial"/>
                <w:sz w:val="15"/>
              </w:rPr>
              <w:t>Flags, migration, release and canary record</w:t>
            </w:r>
          </w:p>
        </w:tc>
        <w:tc>
          <w:tcPr>
            <w:tcW w:type="dxa" w:w="4665"/>
            <w:tcMar>
              <w:top w:w="90" w:type="dxa"/>
              <w:start w:w="120" w:type="dxa"/>
              <w:bottom w:w="90" w:type="dxa"/>
              <w:end w:w="120" w:type="dxa"/>
            </w:tcMar>
            <w:vAlign w:val="center"/>
          </w:tcPr>
          <w:p>
            <w:pPr>
              <w:spacing w:after="0"/>
            </w:pPr>
            <w:r>
              <w:rPr>
                <w:rFonts w:ascii="Arial" w:hAnsi="Arial"/>
                <w:sz w:val="15"/>
              </w:rPr>
              <w:t>What is deployed and reversible?</w:t>
            </w:r>
          </w:p>
        </w:tc>
      </w:tr>
      <w:tr>
        <w:trPr>
          <w:cantSplit/>
        </w:trPr>
        <w:tc>
          <w:tcPr>
            <w:tcW w:type="dxa" w:w="1632"/>
            <w:tcMar>
              <w:top w:w="90" w:type="dxa"/>
              <w:start w:w="120" w:type="dxa"/>
              <w:bottom w:w="90" w:type="dxa"/>
              <w:end w:w="120" w:type="dxa"/>
            </w:tcMar>
            <w:vAlign w:val="center"/>
            <w:shd w:fill="F5F6F8"/>
          </w:tcPr>
          <w:p>
            <w:pPr>
              <w:spacing w:after="0"/>
            </w:pPr>
            <w:r>
              <w:rPr>
                <w:rFonts w:ascii="Arial" w:hAnsi="Arial"/>
                <w:sz w:val="15"/>
              </w:rPr>
              <w:t>Learning</w:t>
            </w:r>
          </w:p>
        </w:tc>
        <w:tc>
          <w:tcPr>
            <w:tcW w:type="dxa" w:w="3421"/>
            <w:tcMar>
              <w:top w:w="90" w:type="dxa"/>
              <w:start w:w="120" w:type="dxa"/>
              <w:bottom w:w="90" w:type="dxa"/>
              <w:end w:w="120" w:type="dxa"/>
            </w:tcMar>
            <w:vAlign w:val="center"/>
            <w:shd w:fill="F5F6F8"/>
          </w:tcPr>
          <w:p>
            <w:pPr>
              <w:spacing w:after="0"/>
            </w:pPr>
            <w:r>
              <w:rPr>
                <w:rFonts w:ascii="Arial" w:hAnsi="Arial"/>
                <w:sz w:val="15"/>
              </w:rPr>
              <w:t>Telemetry, outcomes, incidents and proposals</w:t>
            </w:r>
          </w:p>
        </w:tc>
        <w:tc>
          <w:tcPr>
            <w:tcW w:type="dxa" w:w="4665"/>
            <w:tcMar>
              <w:top w:w="90" w:type="dxa"/>
              <w:start w:w="120" w:type="dxa"/>
              <w:bottom w:w="90" w:type="dxa"/>
              <w:end w:w="120" w:type="dxa"/>
            </w:tcMar>
            <w:vAlign w:val="center"/>
            <w:shd w:fill="F5F6F8"/>
          </w:tcPr>
          <w:p>
            <w:pPr>
              <w:spacing w:after="0"/>
            </w:pPr>
            <w:r>
              <w:rPr>
                <w:rFonts w:ascii="Arial" w:hAnsi="Arial"/>
                <w:sz w:val="15"/>
              </w:rPr>
              <w:t>What should change, and in which owning artifact?</w:t>
            </w:r>
          </w:p>
        </w:tc>
      </w:tr>
      <w:tr>
        <w:trPr>
          <w:cantSplit/>
        </w:trPr>
        <w:tc>
          <w:tcPr>
            <w:tcW w:type="dxa" w:w="3331"/>
          </w:tcPr>
          <w:p>
            <w:r>
              <w:t>Strategic sequencing</w:t>
            </w:r>
          </w:p>
        </w:tc>
        <w:tc>
          <w:tcPr>
            <w:tcW w:type="dxa" w:w="3331"/>
          </w:tcPr>
          <w:p>
            <w:r>
              <w:t>Product Roadmap / Roadmap Increment</w:t>
            </w:r>
          </w:p>
        </w:tc>
        <w:tc>
          <w:tcPr>
            <w:tcW w:type="dxa" w:w="3331"/>
          </w:tcPr>
          <w:p>
            <w:r>
              <w:t>What must be proven next, and which evidence graduates the increment?</w:t>
            </w:r>
          </w:p>
        </w:tc>
      </w:tr>
      <w:tr>
        <w:trPr>
          <w:cantSplit/>
        </w:trPr>
        <w:tc>
          <w:tcPr>
            <w:tcW w:type="dxa" w:w="3331"/>
          </w:tcPr>
          <w:p>
            <w:r>
              <w:t>Pre-PR execution</w:t>
            </w:r>
          </w:p>
        </w:tc>
        <w:tc>
          <w:tcPr>
            <w:tcW w:type="dxa" w:w="3331"/>
          </w:tcPr>
          <w:p>
            <w:r>
              <w:t>Agent runtime / coding environment</w:t>
            </w:r>
          </w:p>
        </w:tc>
        <w:tc>
          <w:tcPr>
            <w:tcW w:type="dxa" w:w="3331"/>
          </w:tcPr>
          <w:p>
            <w:r>
              <w:t>What JIT Tasks and local verification are in progress?</w:t>
            </w:r>
          </w:p>
        </w:tc>
      </w:tr>
      <w:tr>
        <w:trPr>
          <w:cantSplit/>
        </w:trPr>
        <w:tc>
          <w:tcPr>
            <w:tcW w:type="dxa" w:w="3331"/>
          </w:tcPr>
          <w:p>
            <w:r>
              <w:t>Recorded execution</w:t>
            </w:r>
          </w:p>
        </w:tc>
        <w:tc>
          <w:tcPr>
            <w:tcW w:type="dxa" w:w="3331"/>
          </w:tcPr>
          <w:p>
            <w:r>
              <w:t>GitHub</w:t>
            </w:r>
          </w:p>
        </w:tc>
        <w:tc>
          <w:tcPr>
            <w:tcW w:type="dxa" w:w="3331"/>
          </w:tcPr>
          <w:p>
            <w:r>
              <w:t>What do branches, commits, PRs, CI, merge and deployment records prove?</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A document should exist only when it owns a distinct question or materially improves comprehension. More files are not automatically more rigor.</w:t>
            </w:r>
          </w:p>
        </w:tc>
      </w:tr>
    </w:tbl>
    <w:p>
      <w:pPr>
        <w:spacing w:after="0"/>
      </w:pPr>
    </w:p>
    <w:p>
      <w:pPr>
        <w:pStyle w:val="Heading1"/>
      </w:pPr>
      <w:r>
        <w:t>4. The core artifacts</w:t>
      </w:r>
    </w:p>
    <w:p>
      <w:pPr>
        <w:pStyle w:val="Heading2"/>
      </w:pPr>
      <w:r>
        <w:t>4.1 Product PRD</w:t>
      </w:r>
    </w:p>
    <w:p>
      <w:r>
        <w:t>Owns durable product context: problem, target users or ICP, outcome thesis, product model, major journeys, scope and non-goals, metrics and strategic questions. It should not contain implementation detail.</w:t>
      </w:r>
    </w:p>
    <w:p>
      <w:pPr>
        <w:pStyle w:val="Heading2"/>
      </w:pPr>
      <w:r>
        <w:t>4.2 Initiative Brief</w:t>
      </w:r>
    </w:p>
    <w:p>
      <w:r>
        <w:t>An optional bridge for a meaningful initiative that needs discovery or prioritization before a full Spec. It may conclude: stop, continue discovery, create or update the PRD, write a Spec, or open architecture analysis.</w:t>
      </w:r>
    </w:p>
    <w:p>
      <w:pPr>
        <w:pStyle w:val="Heading2"/>
      </w:pPr>
      <w:r>
        <w:t>4.3 Feature or Business Spec</w:t>
      </w:r>
    </w:p>
    <w:p>
      <w:r>
        <w:t>The governing behavior contract for consequential change. It defines actors, preconditions, scope and non-goals, happy and unhappy paths, state or decision rules, evidence, permissions, human involvement, acceptance scenarios and open questions.</w:t>
      </w:r>
    </w:p>
    <w:p>
      <w:pPr>
        <w:pStyle w:val="Heading2"/>
      </w:pPr>
      <w:r>
        <w:t>4.4 Architecture Analysis and ADR</w:t>
      </w:r>
    </w:p>
    <w:p>
      <w:r>
        <w:t>Analysis explores design space and evidence. An ADR records a concrete consequential decision, rejected alternatives, consequences and a reevaluation trigger. Not every local implementation choice deserves an ADR.</w:t>
      </w:r>
    </w:p>
    <w:p>
      <w:pPr>
        <w:pStyle w:val="Heading2"/>
      </w:pPr>
      <w:r>
        <w:t>4.5 Technical Plan</w:t>
      </w:r>
    </w:p>
    <w:p>
      <w:r>
        <w:t>Translates approved behavior and architecture into repo-grounded implementation: components and files, schemas, contracts, compatibility, flags, observability, security, verification, rollback, sequencing and assumptions.</w:t>
      </w:r>
    </w:p>
    <w:p>
      <w:pPr>
        <w:pStyle w:val="Heading2"/>
      </w:pPr>
      <w:r>
        <w:t>4.6 Slice Plans, Vertical Slices and just-in-time Tasks</w:t>
      </w:r>
    </w:p>
    <w:p>
      <w:r>
        <w:t>A Vertical Slice is the primary unit of human planning: a bounded, independently verifiable increment. Its durable contract lives in the integrated Slice Plan, normally one per Roadmap Increment. It specifies outcome, governing traceability, acceptance, dependencies, Definition of Done, Release Scope, estimate and readiness. Tasks are the agent’s just-in-time execution steps, derived only after the Slice is READY, Planned and Executable; they do not become canonical Markdown truth.</w:t>
      </w:r>
    </w:p>
    <w:p>
      <w:pPr>
        <w:pStyle w:val="Heading1"/>
      </w:pPr>
      <w:r>
        <w:t>5. Proportionality: use the smallest sufficient artifact set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707"/>
            <w:shd w:fill="21143D"/>
            <w:tcMar>
              <w:top w:w="90" w:type="dxa"/>
              <w:start w:w="120" w:type="dxa"/>
              <w:bottom w:w="90" w:type="dxa"/>
              <w:end w:w="120" w:type="dxa"/>
            </w:tcMar>
            <w:vAlign w:val="center"/>
          </w:tcPr>
          <w:p>
            <w:r>
              <w:rPr>
                <w:rFonts w:ascii="Arial" w:hAnsi="Arial"/>
                <w:b/>
                <w:color w:val="FFFFFF"/>
                <w:sz w:val="16"/>
              </w:rPr>
              <w:t>Work type</w:t>
            </w:r>
          </w:p>
        </w:tc>
        <w:tc>
          <w:tcPr>
            <w:tcW w:type="dxa" w:w="6012"/>
            <w:shd w:fill="21143D"/>
            <w:tcMar>
              <w:top w:w="90" w:type="dxa"/>
              <w:start w:w="120" w:type="dxa"/>
              <w:bottom w:w="90" w:type="dxa"/>
              <w:end w:w="120" w:type="dxa"/>
            </w:tcMar>
            <w:vAlign w:val="center"/>
          </w:tcPr>
          <w:p>
            <w:r>
              <w:rPr>
                <w:rFonts w:ascii="Arial" w:hAnsi="Arial"/>
                <w:b/>
                <w:color w:val="FFFFFF"/>
                <w:sz w:val="16"/>
              </w:rPr>
              <w:t>Minimum discipline</w:t>
            </w:r>
          </w:p>
        </w:tc>
      </w:tr>
      <w:tr>
        <w:trPr>
          <w:cantSplit/>
        </w:trPr>
        <w:tc>
          <w:tcPr>
            <w:tcW w:type="dxa" w:w="3707"/>
            <w:tcMar>
              <w:top w:w="90" w:type="dxa"/>
              <w:start w:w="120" w:type="dxa"/>
              <w:bottom w:w="90" w:type="dxa"/>
              <w:end w:w="120" w:type="dxa"/>
            </w:tcMar>
            <w:vAlign w:val="center"/>
          </w:tcPr>
          <w:p>
            <w:pPr>
              <w:spacing w:after="0"/>
            </w:pPr>
            <w:r>
              <w:rPr>
                <w:rFonts w:ascii="Arial" w:hAnsi="Arial"/>
                <w:sz w:val="15"/>
              </w:rPr>
              <w:t>Tiny refactor, typo or local bug</w:t>
            </w:r>
          </w:p>
        </w:tc>
        <w:tc>
          <w:tcPr>
            <w:tcW w:type="dxa" w:w="6012"/>
            <w:tcMar>
              <w:top w:w="90" w:type="dxa"/>
              <w:start w:w="120" w:type="dxa"/>
              <w:bottom w:w="90" w:type="dxa"/>
              <w:end w:w="120" w:type="dxa"/>
            </w:tcMar>
            <w:vAlign w:val="center"/>
          </w:tcPr>
          <w:p>
            <w:pPr>
              <w:spacing w:after="0"/>
            </w:pPr>
            <w:r>
              <w:rPr>
                <w:rFonts w:ascii="Arial" w:hAnsi="Arial"/>
                <w:sz w:val="15"/>
              </w:rPr>
              <w:t>Task or change note plus relevant checks. No new PRD, Spec or ADR by default.</w:t>
            </w:r>
          </w:p>
        </w:tc>
      </w:tr>
      <w:tr>
        <w:trPr>
          <w:cantSplit/>
        </w:trPr>
        <w:tc>
          <w:tcPr>
            <w:tcW w:type="dxa" w:w="3707"/>
            <w:tcMar>
              <w:top w:w="90" w:type="dxa"/>
              <w:start w:w="120" w:type="dxa"/>
              <w:bottom w:w="90" w:type="dxa"/>
              <w:end w:w="120" w:type="dxa"/>
            </w:tcMar>
            <w:vAlign w:val="center"/>
            <w:shd w:fill="F5F6F8"/>
          </w:tcPr>
          <w:p>
            <w:pPr>
              <w:spacing w:after="0"/>
            </w:pPr>
            <w:r>
              <w:rPr>
                <w:rFonts w:ascii="Arial" w:hAnsi="Arial"/>
                <w:sz w:val="15"/>
              </w:rPr>
              <w:t>Normal user-visible feature</w:t>
            </w:r>
          </w:p>
        </w:tc>
        <w:tc>
          <w:tcPr>
            <w:tcW w:type="dxa" w:w="6012"/>
            <w:tcMar>
              <w:top w:w="90" w:type="dxa"/>
              <w:start w:w="120" w:type="dxa"/>
              <w:bottom w:w="90" w:type="dxa"/>
              <w:end w:w="120" w:type="dxa"/>
            </w:tcMar>
            <w:vAlign w:val="center"/>
            <w:shd w:fill="F5F6F8"/>
          </w:tcPr>
          <w:p>
            <w:pPr>
              <w:spacing w:after="0"/>
            </w:pPr>
            <w:r>
              <w:rPr>
                <w:rFonts w:ascii="Arial" w:hAnsi="Arial"/>
                <w:sz w:val="15"/>
              </w:rPr>
              <w:t>Parent PRD plus approved Spec, plan or slices and verification.</w:t>
            </w:r>
          </w:p>
        </w:tc>
      </w:tr>
      <w:tr>
        <w:trPr>
          <w:cantSplit/>
        </w:trPr>
        <w:tc>
          <w:tcPr>
            <w:tcW w:type="dxa" w:w="3707"/>
            <w:tcMar>
              <w:top w:w="90" w:type="dxa"/>
              <w:start w:w="120" w:type="dxa"/>
              <w:bottom w:w="90" w:type="dxa"/>
              <w:end w:w="120" w:type="dxa"/>
            </w:tcMar>
            <w:vAlign w:val="center"/>
          </w:tcPr>
          <w:p>
            <w:pPr>
              <w:spacing w:after="0"/>
            </w:pPr>
            <w:r>
              <w:rPr>
                <w:rFonts w:ascii="Arial" w:hAnsi="Arial"/>
                <w:sz w:val="15"/>
              </w:rPr>
              <w:t>Major initiative or new domain</w:t>
            </w:r>
          </w:p>
        </w:tc>
        <w:tc>
          <w:tcPr>
            <w:tcW w:type="dxa" w:w="6012"/>
            <w:tcMar>
              <w:top w:w="90" w:type="dxa"/>
              <w:start w:w="120" w:type="dxa"/>
              <w:bottom w:w="90" w:type="dxa"/>
              <w:end w:w="120" w:type="dxa"/>
            </w:tcMar>
            <w:vAlign w:val="center"/>
          </w:tcPr>
          <w:p>
            <w:pPr>
              <w:spacing w:after="0"/>
            </w:pPr>
            <w:r>
              <w:rPr>
                <w:rFonts w:ascii="Arial" w:hAnsi="Arial"/>
                <w:sz w:val="15"/>
              </w:rPr>
              <w:t>PRD or Brief plus Specs, architecture or ADRs, plan and staged evidence.</w:t>
            </w:r>
          </w:p>
        </w:tc>
      </w:tr>
      <w:tr>
        <w:trPr>
          <w:cantSplit/>
        </w:trPr>
        <w:tc>
          <w:tcPr>
            <w:tcW w:type="dxa" w:w="3707"/>
            <w:tcMar>
              <w:top w:w="90" w:type="dxa"/>
              <w:start w:w="120" w:type="dxa"/>
              <w:bottom w:w="90" w:type="dxa"/>
              <w:end w:w="120" w:type="dxa"/>
            </w:tcMar>
            <w:vAlign w:val="center"/>
            <w:shd w:fill="F5F6F8"/>
          </w:tcPr>
          <w:p>
            <w:pPr>
              <w:spacing w:after="0"/>
            </w:pPr>
            <w:r>
              <w:rPr>
                <w:rFonts w:ascii="Arial" w:hAnsi="Arial"/>
                <w:sz w:val="15"/>
              </w:rPr>
              <w:t>Platform or architecture change</w:t>
            </w:r>
          </w:p>
        </w:tc>
        <w:tc>
          <w:tcPr>
            <w:tcW w:type="dxa" w:w="6012"/>
            <w:tcMar>
              <w:top w:w="90" w:type="dxa"/>
              <w:start w:w="120" w:type="dxa"/>
              <w:bottom w:w="90" w:type="dxa"/>
              <w:end w:w="120" w:type="dxa"/>
            </w:tcMar>
            <w:vAlign w:val="center"/>
            <w:shd w:fill="F5F6F8"/>
          </w:tcPr>
          <w:p>
            <w:pPr>
              <w:spacing w:after="0"/>
            </w:pPr>
            <w:r>
              <w:rPr>
                <w:rFonts w:ascii="Arial" w:hAnsi="Arial"/>
                <w:sz w:val="15"/>
              </w:rPr>
              <w:t>Architecture Analysis, ADR and Technical Plan; affected Specs if behavior changes.</w:t>
            </w:r>
          </w:p>
        </w:tc>
      </w:tr>
      <w:tr>
        <w:trPr>
          <w:cantSplit/>
        </w:trPr>
        <w:tc>
          <w:tcPr>
            <w:tcW w:type="dxa" w:w="3707"/>
            <w:tcMar>
              <w:top w:w="90" w:type="dxa"/>
              <w:start w:w="120" w:type="dxa"/>
              <w:bottom w:w="90" w:type="dxa"/>
              <w:end w:w="120" w:type="dxa"/>
            </w:tcMar>
            <w:vAlign w:val="center"/>
          </w:tcPr>
          <w:p>
            <w:pPr>
              <w:spacing w:after="0"/>
            </w:pPr>
            <w:r>
              <w:rPr>
                <w:rFonts w:ascii="Arial" w:hAnsi="Arial"/>
                <w:sz w:val="15"/>
              </w:rPr>
              <w:t>Workflow or Case behavior</w:t>
            </w:r>
          </w:p>
        </w:tc>
        <w:tc>
          <w:tcPr>
            <w:tcW w:type="dxa" w:w="6012"/>
            <w:tcMar>
              <w:top w:w="90" w:type="dxa"/>
              <w:start w:w="120" w:type="dxa"/>
              <w:bottom w:w="90" w:type="dxa"/>
              <w:end w:w="120" w:type="dxa"/>
            </w:tcMar>
            <w:vAlign w:val="center"/>
          </w:tcPr>
          <w:p>
            <w:pPr>
              <w:spacing w:after="0"/>
            </w:pPr>
            <w:r>
              <w:rPr>
                <w:rFonts w:ascii="Arial" w:hAnsi="Arial"/>
                <w:sz w:val="15"/>
              </w:rPr>
              <w:t>Business Spec plus definition or implementation design, replay or readiness, evidence and versioned publication.</w:t>
            </w:r>
          </w:p>
        </w:tc>
      </w:tr>
      <w:tr>
        <w:trPr>
          <w:cantSplit/>
        </w:trPr>
        <w:tc>
          <w:tcPr>
            <w:tcW w:type="dxa" w:w="3707"/>
            <w:tcMar>
              <w:top w:w="90" w:type="dxa"/>
              <w:start w:w="120" w:type="dxa"/>
              <w:bottom w:w="90" w:type="dxa"/>
              <w:end w:w="120" w:type="dxa"/>
            </w:tcMar>
            <w:vAlign w:val="center"/>
            <w:shd w:fill="F5F6F8"/>
          </w:tcPr>
          <w:p>
            <w:pPr>
              <w:spacing w:after="0"/>
            </w:pPr>
            <w:r>
              <w:rPr>
                <w:rFonts w:ascii="Arial" w:hAnsi="Arial"/>
                <w:sz w:val="15"/>
              </w:rPr>
              <w:t>High-risk security, data or authority</w:t>
            </w:r>
          </w:p>
        </w:tc>
        <w:tc>
          <w:tcPr>
            <w:tcW w:type="dxa" w:w="6012"/>
            <w:tcMar>
              <w:top w:w="90" w:type="dxa"/>
              <w:start w:w="120" w:type="dxa"/>
              <w:bottom w:w="90" w:type="dxa"/>
              <w:end w:w="120" w:type="dxa"/>
            </w:tcMar>
            <w:vAlign w:val="center"/>
            <w:shd w:fill="F5F6F8"/>
          </w:tcPr>
          <w:p>
            <w:pPr>
              <w:spacing w:after="0"/>
            </w:pPr>
            <w:r>
              <w:rPr>
                <w:rFonts w:ascii="Arial" w:hAnsi="Arial"/>
                <w:sz w:val="15"/>
              </w:rPr>
              <w:t>Explicit Spec, ADR or plan; independent evidence and rollback; human authority at the relevant boundary.</w:t>
            </w:r>
          </w:p>
        </w:tc>
      </w:tr>
    </w:tbl>
    <w:p>
      <w:pPr>
        <w:spacing w:after="0"/>
      </w:pPr>
    </w:p>
    <w:p>
      <w:pPr>
        <w:pStyle w:val="Heading1"/>
      </w:pPr>
      <w:r>
        <w:t>6. Human + coding-agent operating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Humans own</w:t>
            </w:r>
          </w:p>
        </w:tc>
        <w:tc>
          <w:tcPr>
            <w:tcW w:type="dxa" w:w="4860"/>
            <w:shd w:fill="21143D"/>
            <w:tcMar>
              <w:top w:w="90" w:type="dxa"/>
              <w:start w:w="120" w:type="dxa"/>
              <w:bottom w:w="90" w:type="dxa"/>
              <w:end w:w="120" w:type="dxa"/>
            </w:tcMar>
            <w:vAlign w:val="center"/>
          </w:tcPr>
          <w:p>
            <w:r>
              <w:rPr>
                <w:rFonts w:ascii="Arial" w:hAnsi="Arial"/>
                <w:b/>
                <w:color w:val="FFFFFF"/>
                <w:sz w:val="16"/>
              </w:rPr>
              <w:t>Coding agents may own inside approved scope</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Product intent; acceptance of consequential behavior; material architecture and security trade-offs; risk tolerance; business acceptance; consequential release authority.</w:t>
            </w:r>
          </w:p>
        </w:tc>
        <w:tc>
          <w:tcPr>
            <w:tcW w:type="dxa" w:w="4860"/>
            <w:tcMar>
              <w:top w:w="90" w:type="dxa"/>
              <w:start w:w="120" w:type="dxa"/>
              <w:bottom w:w="90" w:type="dxa"/>
              <w:end w:w="120" w:type="dxa"/>
            </w:tcMar>
            <w:vAlign w:val="center"/>
          </w:tcPr>
          <w:p>
            <w:pPr>
              <w:spacing w:after="0"/>
            </w:pPr>
            <w:r>
              <w:rPr>
                <w:rFonts w:ascii="Arial" w:hAnsi="Arial"/>
                <w:sz w:val="15"/>
              </w:rPr>
              <w:t>Repository investigation; contradiction detection; alternative analysis; implementation plans; slice decomposition; code and refactors; tests and evals; documentation reconciliation; bounded repair.</w:t>
            </w:r>
          </w:p>
        </w:tc>
      </w:tr>
    </w:tbl>
    <w:p>
      <w:pPr>
        <w:spacing w:after="0"/>
      </w:pPr>
    </w:p>
    <w:p>
      <w:pPr>
        <w:pStyle w:val="ListBullet"/>
        <w:spacing w:after="56"/>
        <w:ind w:left="360" w:hanging="202"/>
      </w:pPr>
      <w:r>
        <w:t>There is no default human gate for every Task, code edit or agent action.</w:t>
      </w:r>
    </w:p>
    <w:p>
      <w:pPr>
        <w:pStyle w:val="ListBullet"/>
        <w:spacing w:after="56"/>
        <w:ind w:left="360" w:hanging="202"/>
      </w:pPr>
      <w:r>
        <w:t>An agent must not cross approved scope or silently redefine intended behavior to finish.</w:t>
      </w:r>
    </w:p>
    <w:p>
      <w:pPr>
        <w:pStyle w:val="ListBullet"/>
        <w:spacing w:after="56"/>
        <w:ind w:left="360" w:hanging="202"/>
      </w:pPr>
      <w:r>
        <w:t>Parallel work is appropriate only when ownership and contracts are separable and merge risk is explicit.</w:t>
      </w:r>
    </w:p>
    <w:p>
      <w:pPr>
        <w:pStyle w:val="ListBullet"/>
        <w:spacing w:after="56"/>
        <w:ind w:left="360" w:hanging="202"/>
      </w:pPr>
      <w:r>
        <w:t>A Git checkpoint or commit improves traceability; it is not a business approval. Avoid “committed” when the intended meaning is Proposed, Planned, Approved or Executable.</w:t>
      </w:r>
    </w:p>
    <w:p>
      <w:pPr>
        <w:pStyle w:val="Heading1"/>
      </w:pPr>
      <w:r>
        <w:t>7. Model judgment vs deterministic engineering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Model or agent is well suited to…</w:t>
            </w:r>
          </w:p>
        </w:tc>
        <w:tc>
          <w:tcPr>
            <w:tcW w:type="dxa" w:w="4860"/>
            <w:shd w:fill="21143D"/>
            <w:tcMar>
              <w:top w:w="90" w:type="dxa"/>
              <w:start w:w="120" w:type="dxa"/>
              <w:bottom w:w="90" w:type="dxa"/>
              <w:end w:w="120" w:type="dxa"/>
            </w:tcMar>
            <w:vAlign w:val="center"/>
          </w:tcPr>
          <w:p>
            <w:r>
              <w:rPr>
                <w:rFonts w:ascii="Arial" w:hAnsi="Arial"/>
                <w:b/>
                <w:color w:val="FFFFFF"/>
                <w:sz w:val="16"/>
              </w:rPr>
              <w:t>Deterministic mechanisms should guarantee…</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Understanding ambiguous intent; semantic classification; entity extraction; synthesis; diagnosis; prioritization; alternative generation; communication.</w:t>
            </w:r>
          </w:p>
        </w:tc>
        <w:tc>
          <w:tcPr>
            <w:tcW w:type="dxa" w:w="4860"/>
            <w:tcMar>
              <w:top w:w="90" w:type="dxa"/>
              <w:start w:w="120" w:type="dxa"/>
              <w:bottom w:w="90" w:type="dxa"/>
              <w:end w:w="120" w:type="dxa"/>
            </w:tcMar>
            <w:vAlign w:val="center"/>
          </w:tcPr>
          <w:p>
            <w:pPr>
              <w:spacing w:after="0"/>
            </w:pPr>
            <w:r>
              <w:rPr>
                <w:rFonts w:ascii="Arial" w:hAnsi="Arial"/>
                <w:sz w:val="15"/>
              </w:rPr>
              <w:t>Permissions; tenancy; schema and type validation; stable transformations; arithmetic; idempotency; versioning; protected state transitions; security checks; reproducible postconditions.</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Development composition mirrors product composition: semantic interpreter → structured result → deterministic contract executor or verifier.</w:t>
            </w:r>
          </w:p>
        </w:tc>
      </w:tr>
    </w:tbl>
    <w:p>
      <w:pPr>
        <w:spacing w:after="0"/>
      </w:pPr>
    </w:p>
    <w:p>
      <w:pPr>
        <w:pStyle w:val="Heading1"/>
      </w:pPr>
      <w:r>
        <w:t>8. Coding-agent context architecture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829"/>
            <w:shd w:fill="21143D"/>
            <w:tcMar>
              <w:top w:w="90" w:type="dxa"/>
              <w:start w:w="120" w:type="dxa"/>
              <w:bottom w:w="90" w:type="dxa"/>
              <w:end w:w="120" w:type="dxa"/>
            </w:tcMar>
            <w:vAlign w:val="center"/>
          </w:tcPr>
          <w:p>
            <w:r>
              <w:rPr>
                <w:rFonts w:ascii="Arial" w:hAnsi="Arial"/>
                <w:b/>
                <w:color w:val="FFFFFF"/>
                <w:sz w:val="16"/>
              </w:rPr>
              <w:t>Layer</w:t>
            </w:r>
          </w:p>
        </w:tc>
        <w:tc>
          <w:tcPr>
            <w:tcW w:type="dxa" w:w="5890"/>
            <w:shd w:fill="21143D"/>
            <w:tcMar>
              <w:top w:w="90" w:type="dxa"/>
              <w:start w:w="120" w:type="dxa"/>
              <w:bottom w:w="90" w:type="dxa"/>
              <w:end w:w="120" w:type="dxa"/>
            </w:tcMar>
            <w:vAlign w:val="center"/>
          </w:tcPr>
          <w:p>
            <w:r>
              <w:rPr>
                <w:rFonts w:ascii="Arial" w:hAnsi="Arial"/>
                <w:b/>
                <w:color w:val="FFFFFF"/>
                <w:sz w:val="16"/>
              </w:rPr>
              <w:t>Purpose</w:t>
            </w:r>
          </w:p>
        </w:tc>
      </w:tr>
      <w:tr>
        <w:trPr>
          <w:cantSplit/>
        </w:trPr>
        <w:tc>
          <w:tcPr>
            <w:tcW w:type="dxa" w:w="3829"/>
            <w:tcMar>
              <w:top w:w="90" w:type="dxa"/>
              <w:start w:w="120" w:type="dxa"/>
              <w:bottom w:w="90" w:type="dxa"/>
              <w:end w:w="120" w:type="dxa"/>
            </w:tcMar>
            <w:vAlign w:val="center"/>
          </w:tcPr>
          <w:p>
            <w:pPr>
              <w:spacing w:after="0"/>
            </w:pPr>
            <w:r>
              <w:rPr>
                <w:rFonts w:ascii="Arial" w:hAnsi="Arial"/>
                <w:sz w:val="15"/>
              </w:rPr>
              <w:t>Canonical documents</w:t>
            </w:r>
          </w:p>
        </w:tc>
        <w:tc>
          <w:tcPr>
            <w:tcW w:type="dxa" w:w="5890"/>
            <w:tcMar>
              <w:top w:w="90" w:type="dxa"/>
              <w:start w:w="120" w:type="dxa"/>
              <w:bottom w:w="90" w:type="dxa"/>
              <w:end w:w="120" w:type="dxa"/>
            </w:tcMar>
            <w:vAlign w:val="center"/>
          </w:tcPr>
          <w:p>
            <w:pPr>
              <w:spacing w:after="0"/>
            </w:pPr>
            <w:r>
              <w:rPr>
                <w:rFonts w:ascii="Arial" w:hAnsi="Arial"/>
                <w:sz w:val="15"/>
              </w:rPr>
              <w:t>Own product, doctrine, methodology, architecture, Spec and roadmap truth.</w:t>
            </w:r>
          </w:p>
        </w:tc>
      </w:tr>
      <w:tr>
        <w:trPr>
          <w:cantSplit/>
        </w:trPr>
        <w:tc>
          <w:tcPr>
            <w:tcW w:type="dxa" w:w="3829"/>
            <w:tcMar>
              <w:top w:w="90" w:type="dxa"/>
              <w:start w:w="120" w:type="dxa"/>
              <w:bottom w:w="90" w:type="dxa"/>
              <w:end w:w="120" w:type="dxa"/>
            </w:tcMar>
            <w:vAlign w:val="center"/>
            <w:shd w:fill="F5F6F8"/>
          </w:tcPr>
          <w:p>
            <w:pPr>
              <w:spacing w:after="0"/>
            </w:pPr>
            <w:r>
              <w:rPr>
                <w:rFonts w:ascii="Arial" w:hAnsi="Arial"/>
                <w:sz w:val="15"/>
              </w:rPr>
              <w:t>Root AGENTS.md</w:t>
            </w:r>
          </w:p>
        </w:tc>
        <w:tc>
          <w:tcPr>
            <w:tcW w:type="dxa" w:w="5890"/>
            <w:tcMar>
              <w:top w:w="90" w:type="dxa"/>
              <w:start w:w="120" w:type="dxa"/>
              <w:bottom w:w="90" w:type="dxa"/>
              <w:end w:w="120" w:type="dxa"/>
            </w:tcMar>
            <w:vAlign w:val="center"/>
            <w:shd w:fill="F5F6F8"/>
          </w:tcPr>
          <w:p>
            <w:pPr>
              <w:spacing w:after="0"/>
            </w:pPr>
            <w:r>
              <w:rPr>
                <w:rFonts w:ascii="Arial" w:hAnsi="Arial"/>
                <w:sz w:val="15"/>
              </w:rPr>
              <w:t>Concise always-on repository operating contract and authority map.</w:t>
            </w:r>
          </w:p>
        </w:tc>
      </w:tr>
      <w:tr>
        <w:trPr>
          <w:cantSplit/>
        </w:trPr>
        <w:tc>
          <w:tcPr>
            <w:tcW w:type="dxa" w:w="3829"/>
            <w:tcMar>
              <w:top w:w="90" w:type="dxa"/>
              <w:start w:w="120" w:type="dxa"/>
              <w:bottom w:w="90" w:type="dxa"/>
              <w:end w:w="120" w:type="dxa"/>
            </w:tcMar>
            <w:vAlign w:val="center"/>
          </w:tcPr>
          <w:p>
            <w:pPr>
              <w:spacing w:after="0"/>
            </w:pPr>
            <w:r>
              <w:rPr>
                <w:rFonts w:ascii="Arial" w:hAnsi="Arial"/>
                <w:sz w:val="15"/>
              </w:rPr>
              <w:t>Tool-specific adapter such as CLAUDE.md</w:t>
            </w:r>
          </w:p>
        </w:tc>
        <w:tc>
          <w:tcPr>
            <w:tcW w:type="dxa" w:w="5890"/>
            <w:tcMar>
              <w:top w:w="90" w:type="dxa"/>
              <w:start w:w="120" w:type="dxa"/>
              <w:bottom w:w="90" w:type="dxa"/>
              <w:end w:w="120" w:type="dxa"/>
            </w:tcMar>
            <w:vAlign w:val="center"/>
          </w:tcPr>
          <w:p>
            <w:pPr>
              <w:spacing w:after="0"/>
            </w:pPr>
            <w:r>
              <w:rPr>
                <w:rFonts w:ascii="Arial" w:hAnsi="Arial"/>
                <w:sz w:val="15"/>
              </w:rPr>
              <w:t>Imports or points to the portable contract; avoids duplicate truth.</w:t>
            </w:r>
          </w:p>
        </w:tc>
      </w:tr>
      <w:tr>
        <w:trPr>
          <w:cantSplit/>
        </w:trPr>
        <w:tc>
          <w:tcPr>
            <w:tcW w:type="dxa" w:w="3829"/>
            <w:tcMar>
              <w:top w:w="90" w:type="dxa"/>
              <w:start w:w="120" w:type="dxa"/>
              <w:bottom w:w="90" w:type="dxa"/>
              <w:end w:w="120" w:type="dxa"/>
            </w:tcMar>
            <w:vAlign w:val="center"/>
            <w:shd w:fill="F5F6F8"/>
          </w:tcPr>
          <w:p>
            <w:pPr>
              <w:spacing w:after="0"/>
            </w:pPr>
            <w:r>
              <w:rPr>
                <w:rFonts w:ascii="Arial" w:hAnsi="Arial"/>
                <w:sz w:val="15"/>
              </w:rPr>
              <w:t>Path-scoped instructions</w:t>
            </w:r>
          </w:p>
        </w:tc>
        <w:tc>
          <w:tcPr>
            <w:tcW w:type="dxa" w:w="5890"/>
            <w:tcMar>
              <w:top w:w="90" w:type="dxa"/>
              <w:start w:w="120" w:type="dxa"/>
              <w:bottom w:w="90" w:type="dxa"/>
              <w:end w:w="120" w:type="dxa"/>
            </w:tcMar>
            <w:vAlign w:val="center"/>
            <w:shd w:fill="F5F6F8"/>
          </w:tcPr>
          <w:p>
            <w:pPr>
              <w:spacing w:after="0"/>
            </w:pPr>
            <w:r>
              <w:rPr>
                <w:rFonts w:ascii="Arial" w:hAnsi="Arial"/>
                <w:sz w:val="15"/>
              </w:rPr>
              <w:t>Add rules only where a directory genuinely has different semantics or workflows.</w:t>
            </w:r>
          </w:p>
        </w:tc>
      </w:tr>
      <w:tr>
        <w:trPr>
          <w:cantSplit/>
        </w:trPr>
        <w:tc>
          <w:tcPr>
            <w:tcW w:type="dxa" w:w="3829"/>
            <w:tcMar>
              <w:top w:w="90" w:type="dxa"/>
              <w:start w:w="120" w:type="dxa"/>
              <w:bottom w:w="90" w:type="dxa"/>
              <w:end w:w="120" w:type="dxa"/>
            </w:tcMar>
            <w:vAlign w:val="center"/>
          </w:tcPr>
          <w:p>
            <w:pPr>
              <w:spacing w:after="0"/>
            </w:pPr>
            <w:r>
              <w:rPr>
                <w:rFonts w:ascii="Arial" w:hAnsi="Arial"/>
                <w:sz w:val="15"/>
              </w:rPr>
              <w:t>Skills and playbooks</w:t>
            </w:r>
          </w:p>
        </w:tc>
        <w:tc>
          <w:tcPr>
            <w:tcW w:type="dxa" w:w="5890"/>
            <w:tcMar>
              <w:top w:w="90" w:type="dxa"/>
              <w:start w:w="120" w:type="dxa"/>
              <w:bottom w:w="90" w:type="dxa"/>
              <w:end w:w="120" w:type="dxa"/>
            </w:tcMar>
            <w:vAlign w:val="center"/>
          </w:tcPr>
          <w:p>
            <w:pPr>
              <w:spacing w:after="0"/>
            </w:pPr>
            <w:r>
              <w:rPr>
                <w:rFonts w:ascii="Arial" w:hAnsi="Arial"/>
                <w:sz w:val="15"/>
              </w:rPr>
              <w:t>On-demand procedure and references.</w:t>
            </w:r>
          </w:p>
        </w:tc>
      </w:tr>
      <w:tr>
        <w:trPr>
          <w:cantSplit/>
        </w:trPr>
        <w:tc>
          <w:tcPr>
            <w:tcW w:type="dxa" w:w="3829"/>
            <w:tcMar>
              <w:top w:w="90" w:type="dxa"/>
              <w:start w:w="120" w:type="dxa"/>
              <w:bottom w:w="90" w:type="dxa"/>
              <w:end w:w="120" w:type="dxa"/>
            </w:tcMar>
            <w:vAlign w:val="center"/>
            <w:shd w:fill="F5F6F8"/>
          </w:tcPr>
          <w:p>
            <w:pPr>
              <w:spacing w:after="0"/>
            </w:pPr>
            <w:r>
              <w:rPr>
                <w:rFonts w:ascii="Arial" w:hAnsi="Arial"/>
                <w:sz w:val="15"/>
              </w:rPr>
              <w:t>Hooks, tests, CI and policies</w:t>
            </w:r>
          </w:p>
        </w:tc>
        <w:tc>
          <w:tcPr>
            <w:tcW w:type="dxa" w:w="5890"/>
            <w:tcMar>
              <w:top w:w="90" w:type="dxa"/>
              <w:start w:w="120" w:type="dxa"/>
              <w:bottom w:w="90" w:type="dxa"/>
              <w:end w:w="120" w:type="dxa"/>
            </w:tcMar>
            <w:vAlign w:val="center"/>
            <w:shd w:fill="F5F6F8"/>
          </w:tcPr>
          <w:p>
            <w:pPr>
              <w:spacing w:after="0"/>
            </w:pPr>
            <w:r>
              <w:rPr>
                <w:rFonts w:ascii="Arial" w:hAnsi="Arial"/>
                <w:sz w:val="15"/>
              </w:rPr>
              <w:t>Deterministically enforce guarantees a model instruction cannot.</w:t>
            </w:r>
          </w:p>
        </w:tc>
      </w:tr>
    </w:tbl>
    <w:p>
      <w:pPr>
        <w:spacing w:after="0"/>
      </w:pPr>
    </w:p>
    <w:p>
      <w:r>
        <w:t>Keep always-on context small and stable. Link to the owning source instead of copying canonical documents into prompts or agent files.</w:t>
      </w:r>
    </w:p>
    <w:p>
      <w:pPr>
        <w:pStyle w:val="Heading1"/>
      </w:pPr>
      <w:r>
        <w:t>9. Verification is designed before “done”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707"/>
            <w:shd w:fill="21143D"/>
            <w:tcMar>
              <w:top w:w="90" w:type="dxa"/>
              <w:start w:w="120" w:type="dxa"/>
              <w:bottom w:w="90" w:type="dxa"/>
              <w:end w:w="120" w:type="dxa"/>
            </w:tcMar>
            <w:vAlign w:val="center"/>
          </w:tcPr>
          <w:p>
            <w:r>
              <w:rPr>
                <w:rFonts w:ascii="Arial" w:hAnsi="Arial"/>
                <w:b/>
                <w:color w:val="FFFFFF"/>
                <w:sz w:val="16"/>
              </w:rPr>
              <w:t>Behavior or risk</w:t>
            </w:r>
          </w:p>
        </w:tc>
        <w:tc>
          <w:tcPr>
            <w:tcW w:type="dxa" w:w="6012"/>
            <w:shd w:fill="21143D"/>
            <w:tcMar>
              <w:top w:w="90" w:type="dxa"/>
              <w:start w:w="120" w:type="dxa"/>
              <w:bottom w:w="90" w:type="dxa"/>
              <w:end w:w="120" w:type="dxa"/>
            </w:tcMar>
            <w:vAlign w:val="center"/>
          </w:tcPr>
          <w:p>
            <w:r>
              <w:rPr>
                <w:rFonts w:ascii="Arial" w:hAnsi="Arial"/>
                <w:b/>
                <w:color w:val="FFFFFF"/>
                <w:sz w:val="16"/>
              </w:rPr>
              <w:t>Primary evidence</w:t>
            </w:r>
          </w:p>
        </w:tc>
      </w:tr>
      <w:tr>
        <w:trPr>
          <w:cantSplit/>
        </w:trPr>
        <w:tc>
          <w:tcPr>
            <w:tcW w:type="dxa" w:w="3707"/>
            <w:tcMar>
              <w:top w:w="90" w:type="dxa"/>
              <w:start w:w="120" w:type="dxa"/>
              <w:bottom w:w="90" w:type="dxa"/>
              <w:end w:w="120" w:type="dxa"/>
            </w:tcMar>
            <w:vAlign w:val="center"/>
          </w:tcPr>
          <w:p>
            <w:pPr>
              <w:spacing w:after="0"/>
            </w:pPr>
            <w:r>
              <w:rPr>
                <w:rFonts w:ascii="Arial" w:hAnsi="Arial"/>
                <w:sz w:val="15"/>
              </w:rPr>
              <w:t>Deterministic invariant or regression</w:t>
            </w:r>
          </w:p>
        </w:tc>
        <w:tc>
          <w:tcPr>
            <w:tcW w:type="dxa" w:w="6012"/>
            <w:tcMar>
              <w:top w:w="90" w:type="dxa"/>
              <w:start w:w="120" w:type="dxa"/>
              <w:bottom w:w="90" w:type="dxa"/>
              <w:end w:w="120" w:type="dxa"/>
            </w:tcMar>
            <w:vAlign w:val="center"/>
          </w:tcPr>
          <w:p>
            <w:pPr>
              <w:spacing w:after="0"/>
            </w:pPr>
            <w:r>
              <w:rPr>
                <w:rFonts w:ascii="Arial" w:hAnsi="Arial"/>
                <w:sz w:val="15"/>
              </w:rPr>
              <w:t>Test or fixture first where practical.</w:t>
            </w:r>
          </w:p>
        </w:tc>
      </w:tr>
      <w:tr>
        <w:trPr>
          <w:cantSplit/>
        </w:trPr>
        <w:tc>
          <w:tcPr>
            <w:tcW w:type="dxa" w:w="3707"/>
            <w:tcMar>
              <w:top w:w="90" w:type="dxa"/>
              <w:start w:w="120" w:type="dxa"/>
              <w:bottom w:w="90" w:type="dxa"/>
              <w:end w:w="120" w:type="dxa"/>
            </w:tcMar>
            <w:vAlign w:val="center"/>
            <w:shd w:fill="F5F6F8"/>
          </w:tcPr>
          <w:p>
            <w:pPr>
              <w:spacing w:after="0"/>
            </w:pPr>
            <w:r>
              <w:rPr>
                <w:rFonts w:ascii="Arial" w:hAnsi="Arial"/>
                <w:sz w:val="15"/>
              </w:rPr>
              <w:t>Model-mediated judgment</w:t>
            </w:r>
          </w:p>
        </w:tc>
        <w:tc>
          <w:tcPr>
            <w:tcW w:type="dxa" w:w="6012"/>
            <w:tcMar>
              <w:top w:w="90" w:type="dxa"/>
              <w:start w:w="120" w:type="dxa"/>
              <w:bottom w:w="90" w:type="dxa"/>
              <w:end w:w="120" w:type="dxa"/>
            </w:tcMar>
            <w:vAlign w:val="center"/>
            <w:shd w:fill="F5F6F8"/>
          </w:tcPr>
          <w:p>
            <w:pPr>
              <w:spacing w:after="0"/>
            </w:pPr>
            <w:r>
              <w:rPr>
                <w:rFonts w:ascii="Arial" w:hAnsi="Arial"/>
                <w:sz w:val="15"/>
              </w:rPr>
              <w:t>Eval or scenario with representative ambiguity and failure modes.</w:t>
            </w:r>
          </w:p>
        </w:tc>
      </w:tr>
      <w:tr>
        <w:trPr>
          <w:cantSplit/>
        </w:trPr>
        <w:tc>
          <w:tcPr>
            <w:tcW w:type="dxa" w:w="3707"/>
            <w:tcMar>
              <w:top w:w="90" w:type="dxa"/>
              <w:start w:w="120" w:type="dxa"/>
              <w:bottom w:w="90" w:type="dxa"/>
              <w:end w:w="120" w:type="dxa"/>
            </w:tcMar>
            <w:vAlign w:val="center"/>
          </w:tcPr>
          <w:p>
            <w:pPr>
              <w:spacing w:after="0"/>
            </w:pPr>
            <w:r>
              <w:rPr>
                <w:rFonts w:ascii="Arial" w:hAnsi="Arial"/>
                <w:sz w:val="15"/>
              </w:rPr>
              <w:t>User or business workflow</w:t>
            </w:r>
          </w:p>
        </w:tc>
        <w:tc>
          <w:tcPr>
            <w:tcW w:type="dxa" w:w="6012"/>
            <w:tcMar>
              <w:top w:w="90" w:type="dxa"/>
              <w:start w:w="120" w:type="dxa"/>
              <w:bottom w:w="90" w:type="dxa"/>
              <w:end w:w="120" w:type="dxa"/>
            </w:tcMar>
            <w:vAlign w:val="center"/>
          </w:tcPr>
          <w:p>
            <w:pPr>
              <w:spacing w:after="0"/>
            </w:pPr>
            <w:r>
              <w:rPr>
                <w:rFonts w:ascii="Arial" w:hAnsi="Arial"/>
                <w:sz w:val="15"/>
              </w:rPr>
              <w:t>Acceptance scenario and end-to-end business contract.</w:t>
            </w:r>
          </w:p>
        </w:tc>
      </w:tr>
      <w:tr>
        <w:trPr>
          <w:cantSplit/>
        </w:trPr>
        <w:tc>
          <w:tcPr>
            <w:tcW w:type="dxa" w:w="3707"/>
            <w:tcMar>
              <w:top w:w="90" w:type="dxa"/>
              <w:start w:w="120" w:type="dxa"/>
              <w:bottom w:w="90" w:type="dxa"/>
              <w:end w:w="120" w:type="dxa"/>
            </w:tcMar>
            <w:vAlign w:val="center"/>
            <w:shd w:fill="F5F6F8"/>
          </w:tcPr>
          <w:p>
            <w:pPr>
              <w:spacing w:after="0"/>
            </w:pPr>
            <w:r>
              <w:rPr>
                <w:rFonts w:ascii="Arial" w:hAnsi="Arial"/>
                <w:sz w:val="15"/>
              </w:rPr>
              <w:t>Operational workflow</w:t>
            </w:r>
          </w:p>
        </w:tc>
        <w:tc>
          <w:tcPr>
            <w:tcW w:type="dxa" w:w="6012"/>
            <w:tcMar>
              <w:top w:w="90" w:type="dxa"/>
              <w:start w:w="120" w:type="dxa"/>
              <w:bottom w:w="90" w:type="dxa"/>
              <w:end w:w="120" w:type="dxa"/>
            </w:tcMar>
            <w:vAlign w:val="center"/>
            <w:shd w:fill="F5F6F8"/>
          </w:tcPr>
          <w:p>
            <w:pPr>
              <w:spacing w:after="0"/>
            </w:pPr>
            <w:r>
              <w:rPr>
                <w:rFonts w:ascii="Arial" w:hAnsi="Arial"/>
                <w:sz w:val="15"/>
              </w:rPr>
              <w:t>Replay, simulation and readiness proportional to maturity.</w:t>
            </w:r>
          </w:p>
        </w:tc>
      </w:tr>
      <w:tr>
        <w:trPr>
          <w:cantSplit/>
        </w:trPr>
        <w:tc>
          <w:tcPr>
            <w:tcW w:type="dxa" w:w="3707"/>
            <w:tcMar>
              <w:top w:w="90" w:type="dxa"/>
              <w:start w:w="120" w:type="dxa"/>
              <w:bottom w:w="90" w:type="dxa"/>
              <w:end w:w="120" w:type="dxa"/>
            </w:tcMar>
            <w:vAlign w:val="center"/>
          </w:tcPr>
          <w:p>
            <w:pPr>
              <w:spacing w:after="0"/>
            </w:pPr>
            <w:r>
              <w:rPr>
                <w:rFonts w:ascii="Arial" w:hAnsi="Arial"/>
                <w:sz w:val="15"/>
              </w:rPr>
              <w:t>Tenancy, security or authority</w:t>
            </w:r>
          </w:p>
        </w:tc>
        <w:tc>
          <w:tcPr>
            <w:tcW w:type="dxa" w:w="6012"/>
            <w:tcMar>
              <w:top w:w="90" w:type="dxa"/>
              <w:start w:w="120" w:type="dxa"/>
              <w:bottom w:w="90" w:type="dxa"/>
              <w:end w:w="120" w:type="dxa"/>
            </w:tcMar>
            <w:vAlign w:val="center"/>
          </w:tcPr>
          <w:p>
            <w:pPr>
              <w:spacing w:after="0"/>
            </w:pPr>
            <w:r>
              <w:rPr>
                <w:rFonts w:ascii="Arial" w:hAnsi="Arial"/>
                <w:sz w:val="15"/>
              </w:rPr>
              <w:t>Negative tests, policies or RLS, adversarial cases and explicit review.</w:t>
            </w:r>
          </w:p>
        </w:tc>
      </w:tr>
      <w:tr>
        <w:trPr>
          <w:cantSplit/>
        </w:trPr>
        <w:tc>
          <w:tcPr>
            <w:tcW w:type="dxa" w:w="3707"/>
            <w:tcMar>
              <w:top w:w="90" w:type="dxa"/>
              <w:start w:w="120" w:type="dxa"/>
              <w:bottom w:w="90" w:type="dxa"/>
              <w:end w:w="120" w:type="dxa"/>
            </w:tcMar>
            <w:vAlign w:val="center"/>
            <w:shd w:fill="F5F6F8"/>
          </w:tcPr>
          <w:p>
            <w:pPr>
              <w:spacing w:after="0"/>
            </w:pPr>
            <w:r>
              <w:rPr>
                <w:rFonts w:ascii="Arial" w:hAnsi="Arial"/>
                <w:sz w:val="15"/>
              </w:rPr>
              <w:t>Consequential release</w:t>
            </w:r>
          </w:p>
        </w:tc>
        <w:tc>
          <w:tcPr>
            <w:tcW w:type="dxa" w:w="6012"/>
            <w:tcMar>
              <w:top w:w="90" w:type="dxa"/>
              <w:start w:w="120" w:type="dxa"/>
              <w:bottom w:w="90" w:type="dxa"/>
              <w:end w:w="120" w:type="dxa"/>
            </w:tcMar>
            <w:vAlign w:val="center"/>
            <w:shd w:fill="F5F6F8"/>
          </w:tcPr>
          <w:p>
            <w:pPr>
              <w:spacing w:after="0"/>
            </w:pPr>
            <w:r>
              <w:rPr>
                <w:rFonts w:ascii="Arial" w:hAnsi="Arial"/>
                <w:sz w:val="15"/>
              </w:rPr>
              <w:t>Staging, canary and rollback plus outcome evidence.</w:t>
            </w:r>
          </w:p>
        </w:tc>
      </w:tr>
    </w:tbl>
    <w:p>
      <w:pPr>
        <w:spacing w:after="0"/>
      </w:pPr>
    </w:p>
    <w:p>
      <w:r>
        <w:t>Verification independence increases with risk. Use deterministic verifiers, CI, isolated review, security evidence or human acceptance where self-confirmation would be dangerous.</w:t>
      </w:r>
    </w:p>
    <w:p>
      <w:pPr>
        <w:pStyle w:val="Heading1"/>
      </w:pPr>
      <w:r>
        <w:t>10. Failure classification and owning-artifact repair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945"/>
            <w:shd w:fill="21143D"/>
            <w:tcMar>
              <w:top w:w="90" w:type="dxa"/>
              <w:start w:w="120" w:type="dxa"/>
              <w:bottom w:w="90" w:type="dxa"/>
              <w:end w:w="120" w:type="dxa"/>
            </w:tcMar>
            <w:vAlign w:val="center"/>
          </w:tcPr>
          <w:p>
            <w:r>
              <w:rPr>
                <w:rFonts w:ascii="Arial" w:hAnsi="Arial"/>
                <w:b/>
                <w:color w:val="FFFFFF"/>
                <w:sz w:val="16"/>
              </w:rPr>
              <w:t>Observed failure</w:t>
            </w:r>
          </w:p>
        </w:tc>
        <w:tc>
          <w:tcPr>
            <w:tcW w:type="dxa" w:w="5774"/>
            <w:shd w:fill="21143D"/>
            <w:tcMar>
              <w:top w:w="90" w:type="dxa"/>
              <w:start w:w="120" w:type="dxa"/>
              <w:bottom w:w="90" w:type="dxa"/>
              <w:end w:w="120" w:type="dxa"/>
            </w:tcMar>
            <w:vAlign w:val="center"/>
          </w:tcPr>
          <w:p>
            <w:r>
              <w:rPr>
                <w:rFonts w:ascii="Arial" w:hAnsi="Arial"/>
                <w:b/>
                <w:color w:val="FFFFFF"/>
                <w:sz w:val="16"/>
              </w:rPr>
              <w:t>Repair first</w:t>
            </w:r>
          </w:p>
        </w:tc>
      </w:tr>
      <w:tr>
        <w:trPr>
          <w:cantSplit/>
        </w:trPr>
        <w:tc>
          <w:tcPr>
            <w:tcW w:type="dxa" w:w="3945"/>
            <w:tcMar>
              <w:top w:w="90" w:type="dxa"/>
              <w:start w:w="120" w:type="dxa"/>
              <w:bottom w:w="90" w:type="dxa"/>
              <w:end w:w="120" w:type="dxa"/>
            </w:tcMar>
            <w:vAlign w:val="center"/>
          </w:tcPr>
          <w:p>
            <w:pPr>
              <w:spacing w:after="0"/>
            </w:pPr>
            <w:r>
              <w:rPr>
                <w:rFonts w:ascii="Arial" w:hAnsi="Arial"/>
                <w:sz w:val="15"/>
              </w:rPr>
              <w:t>Wrong or ambiguous desired behavior</w:t>
            </w:r>
          </w:p>
        </w:tc>
        <w:tc>
          <w:tcPr>
            <w:tcW w:type="dxa" w:w="5774"/>
            <w:tcMar>
              <w:top w:w="90" w:type="dxa"/>
              <w:start w:w="120" w:type="dxa"/>
              <w:bottom w:w="90" w:type="dxa"/>
              <w:end w:w="120" w:type="dxa"/>
            </w:tcMar>
            <w:vAlign w:val="center"/>
          </w:tcPr>
          <w:p>
            <w:pPr>
              <w:spacing w:after="0"/>
            </w:pPr>
            <w:r>
              <w:rPr>
                <w:rFonts w:ascii="Arial" w:hAnsi="Arial"/>
                <w:sz w:val="15"/>
              </w:rPr>
              <w:t>Product PRD, Initiative Brief or Feature Spec.</w:t>
            </w:r>
          </w:p>
        </w:tc>
      </w:tr>
      <w:tr>
        <w:trPr>
          <w:cantSplit/>
        </w:trPr>
        <w:tc>
          <w:tcPr>
            <w:tcW w:type="dxa" w:w="3945"/>
            <w:tcMar>
              <w:top w:w="90" w:type="dxa"/>
              <w:start w:w="120" w:type="dxa"/>
              <w:bottom w:w="90" w:type="dxa"/>
              <w:end w:w="120" w:type="dxa"/>
            </w:tcMar>
            <w:vAlign w:val="center"/>
            <w:shd w:fill="F5F6F8"/>
          </w:tcPr>
          <w:p>
            <w:pPr>
              <w:spacing w:after="0"/>
            </w:pPr>
            <w:r>
              <w:rPr>
                <w:rFonts w:ascii="Arial" w:hAnsi="Arial"/>
                <w:sz w:val="15"/>
              </w:rPr>
              <w:t>Unsafe or contradictory architecture</w:t>
            </w:r>
          </w:p>
        </w:tc>
        <w:tc>
          <w:tcPr>
            <w:tcW w:type="dxa" w:w="5774"/>
            <w:tcMar>
              <w:top w:w="90" w:type="dxa"/>
              <w:start w:w="120" w:type="dxa"/>
              <w:bottom w:w="90" w:type="dxa"/>
              <w:end w:w="120" w:type="dxa"/>
            </w:tcMar>
            <w:vAlign w:val="center"/>
            <w:shd w:fill="F5F6F8"/>
          </w:tcPr>
          <w:p>
            <w:pPr>
              <w:spacing w:after="0"/>
            </w:pPr>
            <w:r>
              <w:rPr>
                <w:rFonts w:ascii="Arial" w:hAnsi="Arial"/>
                <w:sz w:val="15"/>
              </w:rPr>
              <w:t>Architecture Analysis, ADR or Technical Plan.</w:t>
            </w:r>
          </w:p>
        </w:tc>
      </w:tr>
      <w:tr>
        <w:trPr>
          <w:cantSplit/>
        </w:trPr>
        <w:tc>
          <w:tcPr>
            <w:tcW w:type="dxa" w:w="3945"/>
            <w:tcMar>
              <w:top w:w="90" w:type="dxa"/>
              <w:start w:w="120" w:type="dxa"/>
              <w:bottom w:w="90" w:type="dxa"/>
              <w:end w:w="120" w:type="dxa"/>
            </w:tcMar>
            <w:vAlign w:val="center"/>
          </w:tcPr>
          <w:p>
            <w:pPr>
              <w:spacing w:after="0"/>
            </w:pPr>
            <w:r>
              <w:rPr>
                <w:rFonts w:ascii="Arial" w:hAnsi="Arial"/>
                <w:sz w:val="15"/>
              </w:rPr>
              <w:t>Missing or misordered implementation work</w:t>
            </w:r>
          </w:p>
        </w:tc>
        <w:tc>
          <w:tcPr>
            <w:tcW w:type="dxa" w:w="5774"/>
            <w:tcMar>
              <w:top w:w="90" w:type="dxa"/>
              <w:start w:w="120" w:type="dxa"/>
              <w:bottom w:w="90" w:type="dxa"/>
              <w:end w:w="120" w:type="dxa"/>
            </w:tcMar>
            <w:vAlign w:val="center"/>
          </w:tcPr>
          <w:p>
            <w:pPr>
              <w:spacing w:after="0"/>
            </w:pPr>
            <w:r>
              <w:rPr>
                <w:rFonts w:ascii="Arial" w:hAnsi="Arial"/>
                <w:sz w:val="15"/>
              </w:rPr>
              <w:t>Technical Plan or vertical slices.</w:t>
            </w:r>
          </w:p>
        </w:tc>
      </w:tr>
      <w:tr>
        <w:trPr>
          <w:cantSplit/>
        </w:trPr>
        <w:tc>
          <w:tcPr>
            <w:tcW w:type="dxa" w:w="3945"/>
            <w:tcMar>
              <w:top w:w="90" w:type="dxa"/>
              <w:start w:w="120" w:type="dxa"/>
              <w:bottom w:w="90" w:type="dxa"/>
              <w:end w:w="120" w:type="dxa"/>
            </w:tcMar>
            <w:vAlign w:val="center"/>
            <w:shd w:fill="F5F6F8"/>
          </w:tcPr>
          <w:p>
            <w:pPr>
              <w:spacing w:after="0"/>
            </w:pPr>
            <w:r>
              <w:rPr>
                <w:rFonts w:ascii="Arial" w:hAnsi="Arial"/>
                <w:sz w:val="15"/>
              </w:rPr>
              <w:t>Implementation defect</w:t>
            </w:r>
          </w:p>
        </w:tc>
        <w:tc>
          <w:tcPr>
            <w:tcW w:type="dxa" w:w="5774"/>
            <w:tcMar>
              <w:top w:w="90" w:type="dxa"/>
              <w:start w:w="120" w:type="dxa"/>
              <w:bottom w:w="90" w:type="dxa"/>
              <w:end w:w="120" w:type="dxa"/>
            </w:tcMar>
            <w:vAlign w:val="center"/>
            <w:shd w:fill="F5F6F8"/>
          </w:tcPr>
          <w:p>
            <w:pPr>
              <w:spacing w:after="0"/>
            </w:pPr>
            <w:r>
              <w:rPr>
                <w:rFonts w:ascii="Arial" w:hAnsi="Arial"/>
                <w:sz w:val="15"/>
              </w:rPr>
              <w:t>Code, configuration or migration plus regression evidence.</w:t>
            </w:r>
          </w:p>
        </w:tc>
      </w:tr>
      <w:tr>
        <w:trPr>
          <w:cantSplit/>
        </w:trPr>
        <w:tc>
          <w:tcPr>
            <w:tcW w:type="dxa" w:w="3945"/>
            <w:tcMar>
              <w:top w:w="90" w:type="dxa"/>
              <w:start w:w="120" w:type="dxa"/>
              <w:bottom w:w="90" w:type="dxa"/>
              <w:end w:w="120" w:type="dxa"/>
            </w:tcMar>
            <w:vAlign w:val="center"/>
          </w:tcPr>
          <w:p>
            <w:pPr>
              <w:spacing w:after="0"/>
            </w:pPr>
            <w:r>
              <w:rPr>
                <w:rFonts w:ascii="Arial" w:hAnsi="Arial"/>
                <w:sz w:val="15"/>
              </w:rPr>
              <w:t>Bad verifier or test</w:t>
            </w:r>
          </w:p>
        </w:tc>
        <w:tc>
          <w:tcPr>
            <w:tcW w:type="dxa" w:w="5774"/>
            <w:tcMar>
              <w:top w:w="90" w:type="dxa"/>
              <w:start w:w="120" w:type="dxa"/>
              <w:bottom w:w="90" w:type="dxa"/>
              <w:end w:w="120" w:type="dxa"/>
            </w:tcMar>
            <w:vAlign w:val="center"/>
          </w:tcPr>
          <w:p>
            <w:pPr>
              <w:spacing w:after="0"/>
            </w:pPr>
            <w:r>
              <w:rPr>
                <w:rFonts w:ascii="Arial" w:hAnsi="Arial"/>
                <w:sz w:val="15"/>
              </w:rPr>
              <w:t>Verification contract without weakening the business contract.</w:t>
            </w:r>
          </w:p>
        </w:tc>
      </w:tr>
      <w:tr>
        <w:trPr>
          <w:cantSplit/>
        </w:trPr>
        <w:tc>
          <w:tcPr>
            <w:tcW w:type="dxa" w:w="3945"/>
            <w:tcMar>
              <w:top w:w="90" w:type="dxa"/>
              <w:start w:w="120" w:type="dxa"/>
              <w:bottom w:w="90" w:type="dxa"/>
              <w:end w:w="120" w:type="dxa"/>
            </w:tcMar>
            <w:vAlign w:val="center"/>
            <w:shd w:fill="F5F6F8"/>
          </w:tcPr>
          <w:p>
            <w:pPr>
              <w:spacing w:after="0"/>
            </w:pPr>
            <w:r>
              <w:rPr>
                <w:rFonts w:ascii="Arial" w:hAnsi="Arial"/>
                <w:sz w:val="15"/>
              </w:rPr>
              <w:t>Environment or provider issue</w:t>
            </w:r>
          </w:p>
        </w:tc>
        <w:tc>
          <w:tcPr>
            <w:tcW w:type="dxa" w:w="5774"/>
            <w:tcMar>
              <w:top w:w="90" w:type="dxa"/>
              <w:start w:w="120" w:type="dxa"/>
              <w:bottom w:w="90" w:type="dxa"/>
              <w:end w:w="120" w:type="dxa"/>
            </w:tcMar>
            <w:vAlign w:val="center"/>
            <w:shd w:fill="F5F6F8"/>
          </w:tcPr>
          <w:p>
            <w:pPr>
              <w:spacing w:after="0"/>
            </w:pPr>
            <w:r>
              <w:rPr>
                <w:rFonts w:ascii="Arial" w:hAnsi="Arial"/>
                <w:sz w:val="15"/>
              </w:rPr>
              <w:t>Environment, integration contract or runbook.</w:t>
            </w:r>
          </w:p>
        </w:tc>
      </w:tr>
      <w:tr>
        <w:trPr>
          <w:cantSplit/>
        </w:trPr>
        <w:tc>
          <w:tcPr>
            <w:tcW w:type="dxa" w:w="3945"/>
            <w:tcMar>
              <w:top w:w="90" w:type="dxa"/>
              <w:start w:w="120" w:type="dxa"/>
              <w:bottom w:w="90" w:type="dxa"/>
              <w:end w:w="120" w:type="dxa"/>
            </w:tcMar>
            <w:vAlign w:val="center"/>
          </w:tcPr>
          <w:p>
            <w:pPr>
              <w:spacing w:after="0"/>
            </w:pPr>
            <w:r>
              <w:rPr>
                <w:rFonts w:ascii="Arial" w:hAnsi="Arial"/>
                <w:sz w:val="15"/>
              </w:rPr>
              <w:t>Policy or security failure</w:t>
            </w:r>
          </w:p>
        </w:tc>
        <w:tc>
          <w:tcPr>
            <w:tcW w:type="dxa" w:w="5774"/>
            <w:tcMar>
              <w:top w:w="90" w:type="dxa"/>
              <w:start w:w="120" w:type="dxa"/>
              <w:bottom w:w="90" w:type="dxa"/>
              <w:end w:w="120" w:type="dxa"/>
            </w:tcMar>
            <w:vAlign w:val="center"/>
          </w:tcPr>
          <w:p>
            <w:pPr>
              <w:spacing w:after="0"/>
            </w:pPr>
            <w:r>
              <w:rPr>
                <w:rFonts w:ascii="Arial" w:hAnsi="Arial"/>
                <w:sz w:val="15"/>
              </w:rPr>
              <w:t>Policy, Spec or ADR; never bypass the guard merely to pass.</w:t>
            </w:r>
          </w:p>
        </w:tc>
      </w:tr>
      <w:tr>
        <w:trPr>
          <w:cantSplit/>
        </w:trPr>
        <w:tc>
          <w:tcPr>
            <w:tcW w:type="dxa" w:w="3945"/>
            <w:tcMar>
              <w:top w:w="90" w:type="dxa"/>
              <w:start w:w="120" w:type="dxa"/>
              <w:bottom w:w="90" w:type="dxa"/>
              <w:end w:w="120" w:type="dxa"/>
            </w:tcMar>
            <w:vAlign w:val="center"/>
            <w:shd w:fill="F5F6F8"/>
          </w:tcPr>
          <w:p>
            <w:pPr>
              <w:spacing w:after="0"/>
            </w:pPr>
            <w:r>
              <w:rPr>
                <w:rFonts w:ascii="Arial" w:hAnsi="Arial"/>
                <w:sz w:val="15"/>
              </w:rPr>
              <w:t>Non-convergence</w:t>
            </w:r>
          </w:p>
        </w:tc>
        <w:tc>
          <w:tcPr>
            <w:tcW w:type="dxa" w:w="5774"/>
            <w:tcMar>
              <w:top w:w="90" w:type="dxa"/>
              <w:start w:w="120" w:type="dxa"/>
              <w:bottom w:w="90" w:type="dxa"/>
              <w:end w:w="120" w:type="dxa"/>
            </w:tcMar>
            <w:vAlign w:val="center"/>
            <w:shd w:fill="F5F6F8"/>
          </w:tcPr>
          <w:p>
            <w:pPr>
              <w:spacing w:after="0"/>
            </w:pPr>
            <w:r>
              <w:rPr>
                <w:rFonts w:ascii="Arial" w:hAnsi="Arial"/>
                <w:sz w:val="15"/>
              </w:rPr>
              <w:t>Stop bounded retries; reframe scope or plan, or request a human decision.</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Debugging loop: reproduce → isolate → classify → identify owning artifact → minimum justified repair → regression evidence → documentation reconciliation.</w:t>
            </w:r>
          </w:p>
        </w:tc>
      </w:tr>
    </w:tbl>
    <w:p>
      <w:pPr>
        <w:spacing w:after="0"/>
      </w:pPr>
    </w:p>
    <w:p>
      <w:pPr>
        <w:pStyle w:val="Heading1"/>
      </w:pPr>
      <w:r>
        <w:t>11. Review, release and rollback</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418"/>
            <w:shd w:fill="21143D"/>
            <w:tcMar>
              <w:top w:w="90" w:type="dxa"/>
              <w:start w:w="120" w:type="dxa"/>
              <w:bottom w:w="90" w:type="dxa"/>
              <w:end w:w="120" w:type="dxa"/>
            </w:tcMar>
            <w:vAlign w:val="center"/>
          </w:tcPr>
          <w:p>
            <w:r>
              <w:rPr>
                <w:rFonts w:ascii="Arial" w:hAnsi="Arial"/>
                <w:b/>
                <w:color w:val="FFFFFF"/>
                <w:sz w:val="16"/>
              </w:rPr>
              <w:t>Change class</w:t>
            </w:r>
          </w:p>
        </w:tc>
        <w:tc>
          <w:tcPr>
            <w:tcW w:type="dxa" w:w="5301"/>
            <w:shd w:fill="21143D"/>
            <w:tcMar>
              <w:top w:w="90" w:type="dxa"/>
              <w:start w:w="120" w:type="dxa"/>
              <w:bottom w:w="90" w:type="dxa"/>
              <w:end w:w="120" w:type="dxa"/>
            </w:tcMar>
            <w:vAlign w:val="center"/>
          </w:tcPr>
          <w:p>
            <w:r>
              <w:rPr>
                <w:rFonts w:ascii="Arial" w:hAnsi="Arial"/>
                <w:b/>
                <w:color w:val="FFFFFF"/>
                <w:sz w:val="16"/>
              </w:rPr>
              <w:t>Minimum governance</w:t>
            </w:r>
          </w:p>
        </w:tc>
      </w:tr>
      <w:tr>
        <w:trPr>
          <w:cantSplit/>
        </w:trPr>
        <w:tc>
          <w:tcPr>
            <w:tcW w:type="dxa" w:w="4418"/>
            <w:tcMar>
              <w:top w:w="90" w:type="dxa"/>
              <w:start w:w="120" w:type="dxa"/>
              <w:bottom w:w="90" w:type="dxa"/>
              <w:end w:w="120" w:type="dxa"/>
            </w:tcMar>
            <w:vAlign w:val="center"/>
          </w:tcPr>
          <w:p>
            <w:pPr>
              <w:spacing w:after="0"/>
            </w:pPr>
            <w:r>
              <w:rPr>
                <w:rFonts w:ascii="Arial" w:hAnsi="Arial"/>
                <w:sz w:val="15"/>
              </w:rPr>
              <w:t>Low-risk maintenance</w:t>
            </w:r>
          </w:p>
        </w:tc>
        <w:tc>
          <w:tcPr>
            <w:tcW w:type="dxa" w:w="5301"/>
            <w:tcMar>
              <w:top w:w="90" w:type="dxa"/>
              <w:start w:w="120" w:type="dxa"/>
              <w:bottom w:w="90" w:type="dxa"/>
              <w:end w:w="120" w:type="dxa"/>
            </w:tcMar>
            <w:vAlign w:val="center"/>
          </w:tcPr>
          <w:p>
            <w:pPr>
              <w:spacing w:after="0"/>
            </w:pPr>
            <w:r>
              <w:rPr>
                <w:rFonts w:ascii="Arial" w:hAnsi="Arial"/>
                <w:sz w:val="15"/>
              </w:rPr>
              <w:t>Code review plus relevant automated checks.</w:t>
            </w:r>
          </w:p>
        </w:tc>
      </w:tr>
      <w:tr>
        <w:trPr>
          <w:cantSplit/>
        </w:trPr>
        <w:tc>
          <w:tcPr>
            <w:tcW w:type="dxa" w:w="4418"/>
            <w:tcMar>
              <w:top w:w="90" w:type="dxa"/>
              <w:start w:w="120" w:type="dxa"/>
              <w:bottom w:w="90" w:type="dxa"/>
              <w:end w:w="120" w:type="dxa"/>
            </w:tcMar>
            <w:vAlign w:val="center"/>
            <w:shd w:fill="F5F6F8"/>
          </w:tcPr>
          <w:p>
            <w:pPr>
              <w:spacing w:after="0"/>
            </w:pPr>
            <w:r>
              <w:rPr>
                <w:rFonts w:ascii="Arial" w:hAnsi="Arial"/>
                <w:sz w:val="15"/>
              </w:rPr>
              <w:t>Behavior change</w:t>
            </w:r>
          </w:p>
        </w:tc>
        <w:tc>
          <w:tcPr>
            <w:tcW w:type="dxa" w:w="5301"/>
            <w:tcMar>
              <w:top w:w="90" w:type="dxa"/>
              <w:start w:w="120" w:type="dxa"/>
              <w:bottom w:w="90" w:type="dxa"/>
              <w:end w:w="120" w:type="dxa"/>
            </w:tcMar>
            <w:vAlign w:val="center"/>
            <w:shd w:fill="F5F6F8"/>
          </w:tcPr>
          <w:p>
            <w:pPr>
              <w:spacing w:after="0"/>
            </w:pPr>
            <w:r>
              <w:rPr>
                <w:rFonts w:ascii="Arial" w:hAnsi="Arial"/>
                <w:sz w:val="15"/>
              </w:rPr>
              <w:t>Spec approval plus evidence; architecture review if boundaries move.</w:t>
            </w:r>
          </w:p>
        </w:tc>
      </w:tr>
      <w:tr>
        <w:trPr>
          <w:cantSplit/>
        </w:trPr>
        <w:tc>
          <w:tcPr>
            <w:tcW w:type="dxa" w:w="4418"/>
            <w:tcMar>
              <w:top w:w="90" w:type="dxa"/>
              <w:start w:w="120" w:type="dxa"/>
              <w:bottom w:w="90" w:type="dxa"/>
              <w:end w:w="120" w:type="dxa"/>
            </w:tcMar>
            <w:vAlign w:val="center"/>
          </w:tcPr>
          <w:p>
            <w:pPr>
              <w:spacing w:after="0"/>
            </w:pPr>
            <w:r>
              <w:rPr>
                <w:rFonts w:ascii="Arial" w:hAnsi="Arial"/>
                <w:sz w:val="15"/>
              </w:rPr>
              <w:t>Data, tenancy or security</w:t>
            </w:r>
          </w:p>
        </w:tc>
        <w:tc>
          <w:tcPr>
            <w:tcW w:type="dxa" w:w="5301"/>
            <w:tcMar>
              <w:top w:w="90" w:type="dxa"/>
              <w:start w:w="120" w:type="dxa"/>
              <w:bottom w:w="90" w:type="dxa"/>
              <w:end w:w="120" w:type="dxa"/>
            </w:tcMar>
            <w:vAlign w:val="center"/>
          </w:tcPr>
          <w:p>
            <w:pPr>
              <w:spacing w:after="0"/>
            </w:pPr>
            <w:r>
              <w:rPr>
                <w:rFonts w:ascii="Arial" w:hAnsi="Arial"/>
                <w:sz w:val="15"/>
              </w:rPr>
              <w:t>Architecture and security review plus negative evidence and rollback.</w:t>
            </w:r>
          </w:p>
        </w:tc>
      </w:tr>
      <w:tr>
        <w:trPr>
          <w:cantSplit/>
        </w:trPr>
        <w:tc>
          <w:tcPr>
            <w:tcW w:type="dxa" w:w="4418"/>
            <w:tcMar>
              <w:top w:w="90" w:type="dxa"/>
              <w:start w:w="120" w:type="dxa"/>
              <w:bottom w:w="90" w:type="dxa"/>
              <w:end w:w="120" w:type="dxa"/>
            </w:tcMar>
            <w:vAlign w:val="center"/>
            <w:shd w:fill="F5F6F8"/>
          </w:tcPr>
          <w:p>
            <w:pPr>
              <w:spacing w:after="0"/>
            </w:pPr>
            <w:r>
              <w:rPr>
                <w:rFonts w:ascii="Arial" w:hAnsi="Arial"/>
                <w:sz w:val="15"/>
              </w:rPr>
              <w:t>Workflow or Case authority</w:t>
            </w:r>
          </w:p>
        </w:tc>
        <w:tc>
          <w:tcPr>
            <w:tcW w:type="dxa" w:w="5301"/>
            <w:tcMar>
              <w:top w:w="90" w:type="dxa"/>
              <w:start w:w="120" w:type="dxa"/>
              <w:bottom w:w="90" w:type="dxa"/>
              <w:end w:w="120" w:type="dxa"/>
            </w:tcMar>
            <w:vAlign w:val="center"/>
            <w:shd w:fill="F5F6F8"/>
          </w:tcPr>
          <w:p>
            <w:pPr>
              <w:spacing w:after="0"/>
            </w:pPr>
            <w:r>
              <w:rPr>
                <w:rFonts w:ascii="Arial" w:hAnsi="Arial"/>
                <w:sz w:val="15"/>
              </w:rPr>
              <w:t>Business and architecture approval plus simulation, replay or readiness.</w:t>
            </w:r>
          </w:p>
        </w:tc>
      </w:tr>
      <w:tr>
        <w:trPr>
          <w:cantSplit/>
        </w:trPr>
        <w:tc>
          <w:tcPr>
            <w:tcW w:type="dxa" w:w="4418"/>
            <w:tcMar>
              <w:top w:w="90" w:type="dxa"/>
              <w:start w:w="120" w:type="dxa"/>
              <w:bottom w:w="90" w:type="dxa"/>
              <w:end w:w="120" w:type="dxa"/>
            </w:tcMar>
            <w:vAlign w:val="center"/>
          </w:tcPr>
          <w:p>
            <w:pPr>
              <w:spacing w:after="0"/>
            </w:pPr>
            <w:r>
              <w:rPr>
                <w:rFonts w:ascii="Arial" w:hAnsi="Arial"/>
                <w:sz w:val="15"/>
              </w:rPr>
              <w:t>Generated improvement to production code or policy</w:t>
            </w:r>
          </w:p>
        </w:tc>
        <w:tc>
          <w:tcPr>
            <w:tcW w:type="dxa" w:w="5301"/>
            <w:tcMar>
              <w:top w:w="90" w:type="dxa"/>
              <w:start w:w="120" w:type="dxa"/>
              <w:bottom w:w="90" w:type="dxa"/>
              <w:end w:w="120" w:type="dxa"/>
            </w:tcMar>
            <w:vAlign w:val="center"/>
          </w:tcPr>
          <w:p>
            <w:pPr>
              <w:spacing w:after="0"/>
            </w:pPr>
            <w:r>
              <w:rPr>
                <w:rFonts w:ascii="Arial" w:hAnsi="Arial"/>
                <w:sz w:val="15"/>
              </w:rPr>
              <w:t>PR plus tests or evals and human release authority; never silent runtime mutation.</w:t>
            </w:r>
          </w:p>
        </w:tc>
      </w:tr>
    </w:tbl>
    <w:p>
      <w:pPr>
        <w:spacing w:after="0"/>
      </w:pPr>
    </w:p>
    <w:p>
      <w:pPr>
        <w:pStyle w:val="ListBullet"/>
        <w:spacing w:after="56"/>
        <w:ind w:left="360" w:hanging="202"/>
      </w:pPr>
      <w:r>
        <w:t>Prefer additive migrations and feature flags.</w:t>
      </w:r>
    </w:p>
    <w:p>
      <w:pPr>
        <w:pStyle w:val="ListBullet"/>
        <w:spacing w:after="56"/>
        <w:ind w:left="360" w:hanging="202"/>
      </w:pPr>
      <w:r>
        <w:t>Use controlled staging or canary when consequences justify it.</w:t>
      </w:r>
    </w:p>
    <w:p>
      <w:pPr>
        <w:pStyle w:val="ListBullet"/>
        <w:spacing w:after="56"/>
        <w:ind w:left="360" w:hanging="202"/>
      </w:pPr>
      <w:r>
        <w:t>Preserve the previous behavior or version long enough to rollback credibly.</w:t>
      </w:r>
    </w:p>
    <w:p>
      <w:pPr>
        <w:pStyle w:val="ListBullet"/>
        <w:spacing w:after="56"/>
        <w:ind w:left="360" w:hanging="202"/>
      </w:pPr>
      <w:r>
        <w:t>Release evidence is distinct from implementation evidence.</w:t>
      </w:r>
    </w:p>
    <w:p>
      <w:pPr>
        <w:pStyle w:val="Heading1"/>
      </w:pPr>
      <w:r>
        <w:t>12. Observe, learn and evolve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37"/>
            <w:shd w:fill="21143D"/>
            <w:tcMar>
              <w:top w:w="90" w:type="dxa"/>
              <w:start w:w="120" w:type="dxa"/>
              <w:bottom w:w="90" w:type="dxa"/>
              <w:end w:w="120" w:type="dxa"/>
            </w:tcMar>
            <w:vAlign w:val="center"/>
          </w:tcPr>
          <w:p>
            <w:r>
              <w:rPr>
                <w:rFonts w:ascii="Arial" w:hAnsi="Arial"/>
                <w:b/>
                <w:color w:val="FFFFFF"/>
                <w:sz w:val="16"/>
              </w:rPr>
              <w:t>Stage</w:t>
            </w:r>
          </w:p>
        </w:tc>
        <w:tc>
          <w:tcPr>
            <w:tcW w:type="dxa" w:w="7382"/>
            <w:shd w:fill="21143D"/>
            <w:tcMar>
              <w:top w:w="90" w:type="dxa"/>
              <w:start w:w="120" w:type="dxa"/>
              <w:bottom w:w="90" w:type="dxa"/>
              <w:end w:w="120" w:type="dxa"/>
            </w:tcMar>
            <w:vAlign w:val="center"/>
          </w:tcPr>
          <w:p>
            <w:r>
              <w:rPr>
                <w:rFonts w:ascii="Arial" w:hAnsi="Arial"/>
                <w:b/>
                <w:color w:val="FFFFFF"/>
                <w:sz w:val="16"/>
              </w:rPr>
              <w:t>Development meaning</w:t>
            </w:r>
          </w:p>
        </w:tc>
      </w:tr>
      <w:tr>
        <w:trPr>
          <w:cantSplit/>
        </w:trPr>
        <w:tc>
          <w:tcPr>
            <w:tcW w:type="dxa" w:w="2337"/>
            <w:tcMar>
              <w:top w:w="90" w:type="dxa"/>
              <w:start w:w="120" w:type="dxa"/>
              <w:bottom w:w="90" w:type="dxa"/>
              <w:end w:w="120" w:type="dxa"/>
            </w:tcMar>
            <w:vAlign w:val="center"/>
          </w:tcPr>
          <w:p>
            <w:pPr>
              <w:spacing w:after="0"/>
            </w:pPr>
            <w:r>
              <w:rPr>
                <w:rFonts w:ascii="Arial" w:hAnsi="Arial"/>
                <w:sz w:val="15"/>
              </w:rPr>
              <w:t>Observe</w:t>
            </w:r>
          </w:p>
        </w:tc>
        <w:tc>
          <w:tcPr>
            <w:tcW w:type="dxa" w:w="7382"/>
            <w:tcMar>
              <w:top w:w="90" w:type="dxa"/>
              <w:start w:w="120" w:type="dxa"/>
              <w:bottom w:w="90" w:type="dxa"/>
              <w:end w:w="120" w:type="dxa"/>
            </w:tcMar>
            <w:vAlign w:val="center"/>
          </w:tcPr>
          <w:p>
            <w:pPr>
              <w:spacing w:after="0"/>
            </w:pPr>
            <w:r>
              <w:rPr>
                <w:rFonts w:ascii="Arial" w:hAnsi="Arial"/>
                <w:sz w:val="15"/>
              </w:rPr>
              <w:t>Incidents, support, usage, outcomes, corrections, rework, latency and cost.</w:t>
            </w:r>
          </w:p>
        </w:tc>
      </w:tr>
      <w:tr>
        <w:trPr>
          <w:cantSplit/>
        </w:trPr>
        <w:tc>
          <w:tcPr>
            <w:tcW w:type="dxa" w:w="2337"/>
            <w:tcMar>
              <w:top w:w="90" w:type="dxa"/>
              <w:start w:w="120" w:type="dxa"/>
              <w:bottom w:w="90" w:type="dxa"/>
              <w:end w:w="120" w:type="dxa"/>
            </w:tcMar>
            <w:vAlign w:val="center"/>
            <w:shd w:fill="F5F6F8"/>
          </w:tcPr>
          <w:p>
            <w:pPr>
              <w:spacing w:after="0"/>
            </w:pPr>
            <w:r>
              <w:rPr>
                <w:rFonts w:ascii="Arial" w:hAnsi="Arial"/>
                <w:sz w:val="15"/>
              </w:rPr>
              <w:t>Classify</w:t>
            </w:r>
          </w:p>
        </w:tc>
        <w:tc>
          <w:tcPr>
            <w:tcW w:type="dxa" w:w="7382"/>
            <w:tcMar>
              <w:top w:w="90" w:type="dxa"/>
              <w:start w:w="120" w:type="dxa"/>
              <w:bottom w:w="90" w:type="dxa"/>
              <w:end w:w="120" w:type="dxa"/>
            </w:tcMar>
            <w:vAlign w:val="center"/>
            <w:shd w:fill="F5F6F8"/>
          </w:tcPr>
          <w:p>
            <w:pPr>
              <w:spacing w:after="0"/>
            </w:pPr>
            <w:r>
              <w:rPr>
                <w:rFonts w:ascii="Arial" w:hAnsi="Arial"/>
                <w:sz w:val="15"/>
              </w:rPr>
              <w:t>Identify the owning artifact or mechanism.</w:t>
            </w:r>
          </w:p>
        </w:tc>
      </w:tr>
      <w:tr>
        <w:trPr>
          <w:cantSplit/>
        </w:trPr>
        <w:tc>
          <w:tcPr>
            <w:tcW w:type="dxa" w:w="2337"/>
            <w:tcMar>
              <w:top w:w="90" w:type="dxa"/>
              <w:start w:w="120" w:type="dxa"/>
              <w:bottom w:w="90" w:type="dxa"/>
              <w:end w:w="120" w:type="dxa"/>
            </w:tcMar>
            <w:vAlign w:val="center"/>
          </w:tcPr>
          <w:p>
            <w:pPr>
              <w:spacing w:after="0"/>
            </w:pPr>
            <w:r>
              <w:rPr>
                <w:rFonts w:ascii="Arial" w:hAnsi="Arial"/>
                <w:sz w:val="15"/>
              </w:rPr>
              <w:t>Propose</w:t>
            </w:r>
          </w:p>
        </w:tc>
        <w:tc>
          <w:tcPr>
            <w:tcW w:type="dxa" w:w="7382"/>
            <w:tcMar>
              <w:top w:w="90" w:type="dxa"/>
              <w:start w:w="120" w:type="dxa"/>
              <w:bottom w:w="90" w:type="dxa"/>
              <w:end w:w="120" w:type="dxa"/>
            </w:tcMar>
            <w:vAlign w:val="center"/>
          </w:tcPr>
          <w:p>
            <w:pPr>
              <w:spacing w:after="0"/>
            </w:pPr>
            <w:r>
              <w:rPr>
                <w:rFonts w:ascii="Arial" w:hAnsi="Arial"/>
                <w:sz w:val="15"/>
              </w:rPr>
              <w:t>Create a versioned change with provenance and expected impact.</w:t>
            </w:r>
          </w:p>
        </w:tc>
      </w:tr>
      <w:tr>
        <w:trPr>
          <w:cantSplit/>
        </w:trPr>
        <w:tc>
          <w:tcPr>
            <w:tcW w:type="dxa" w:w="2337"/>
            <w:tcMar>
              <w:top w:w="90" w:type="dxa"/>
              <w:start w:w="120" w:type="dxa"/>
              <w:bottom w:w="90" w:type="dxa"/>
              <w:end w:w="120" w:type="dxa"/>
            </w:tcMar>
            <w:vAlign w:val="center"/>
            <w:shd w:fill="F5F6F8"/>
          </w:tcPr>
          <w:p>
            <w:pPr>
              <w:spacing w:after="0"/>
            </w:pPr>
            <w:r>
              <w:rPr>
                <w:rFonts w:ascii="Arial" w:hAnsi="Arial"/>
                <w:sz w:val="15"/>
              </w:rPr>
              <w:t>Evaluate</w:t>
            </w:r>
          </w:p>
        </w:tc>
        <w:tc>
          <w:tcPr>
            <w:tcW w:type="dxa" w:w="7382"/>
            <w:tcMar>
              <w:top w:w="90" w:type="dxa"/>
              <w:start w:w="120" w:type="dxa"/>
              <w:bottom w:w="90" w:type="dxa"/>
              <w:end w:w="120" w:type="dxa"/>
            </w:tcMar>
            <w:vAlign w:val="center"/>
            <w:shd w:fill="F5F6F8"/>
          </w:tcPr>
          <w:p>
            <w:pPr>
              <w:spacing w:after="0"/>
            </w:pPr>
            <w:r>
              <w:rPr>
                <w:rFonts w:ascii="Arial" w:hAnsi="Arial"/>
                <w:sz w:val="15"/>
              </w:rPr>
              <w:t>Tests, evals, replay, security review and comparison to baseline.</w:t>
            </w:r>
          </w:p>
        </w:tc>
      </w:tr>
      <w:tr>
        <w:trPr>
          <w:cantSplit/>
        </w:trPr>
        <w:tc>
          <w:tcPr>
            <w:tcW w:type="dxa" w:w="2337"/>
            <w:tcMar>
              <w:top w:w="90" w:type="dxa"/>
              <w:start w:w="120" w:type="dxa"/>
              <w:bottom w:w="90" w:type="dxa"/>
              <w:end w:w="120" w:type="dxa"/>
            </w:tcMar>
            <w:vAlign w:val="center"/>
          </w:tcPr>
          <w:p>
            <w:pPr>
              <w:spacing w:after="0"/>
            </w:pPr>
            <w:r>
              <w:rPr>
                <w:rFonts w:ascii="Arial" w:hAnsi="Arial"/>
                <w:sz w:val="15"/>
              </w:rPr>
              <w:t>Approve and release</w:t>
            </w:r>
          </w:p>
        </w:tc>
        <w:tc>
          <w:tcPr>
            <w:tcW w:type="dxa" w:w="7382"/>
            <w:tcMar>
              <w:top w:w="90" w:type="dxa"/>
              <w:start w:w="120" w:type="dxa"/>
              <w:bottom w:w="90" w:type="dxa"/>
              <w:end w:w="120" w:type="dxa"/>
            </w:tcMar>
            <w:vAlign w:val="center"/>
          </w:tcPr>
          <w:p>
            <w:pPr>
              <w:spacing w:after="0"/>
            </w:pPr>
            <w:r>
              <w:rPr>
                <w:rFonts w:ascii="Arial" w:hAnsi="Arial"/>
                <w:sz w:val="15"/>
              </w:rPr>
              <w:t>Apply authority proportional to consequence; canary where appropriate.</w:t>
            </w:r>
          </w:p>
        </w:tc>
      </w:tr>
      <w:tr>
        <w:trPr>
          <w:cantSplit/>
        </w:trPr>
        <w:tc>
          <w:tcPr>
            <w:tcW w:type="dxa" w:w="2337"/>
            <w:tcMar>
              <w:top w:w="90" w:type="dxa"/>
              <w:start w:w="120" w:type="dxa"/>
              <w:bottom w:w="90" w:type="dxa"/>
              <w:end w:w="120" w:type="dxa"/>
            </w:tcMar>
            <w:vAlign w:val="center"/>
            <w:shd w:fill="F5F6F8"/>
          </w:tcPr>
          <w:p>
            <w:pPr>
              <w:spacing w:after="0"/>
            </w:pPr>
            <w:r>
              <w:rPr>
                <w:rFonts w:ascii="Arial" w:hAnsi="Arial"/>
                <w:sz w:val="15"/>
              </w:rPr>
              <w:t>Measure</w:t>
            </w:r>
          </w:p>
        </w:tc>
        <w:tc>
          <w:tcPr>
            <w:tcW w:type="dxa" w:w="7382"/>
            <w:tcMar>
              <w:top w:w="90" w:type="dxa"/>
              <w:start w:w="120" w:type="dxa"/>
              <w:bottom w:w="90" w:type="dxa"/>
              <w:end w:w="120" w:type="dxa"/>
            </w:tcMar>
            <w:vAlign w:val="center"/>
            <w:shd w:fill="F5F6F8"/>
          </w:tcPr>
          <w:p>
            <w:pPr>
              <w:spacing w:after="0"/>
            </w:pPr>
            <w:r>
              <w:rPr>
                <w:rFonts w:ascii="Arial" w:hAnsi="Arial"/>
                <w:sz w:val="15"/>
              </w:rPr>
              <w:t>Determine whether the intended outcome improved without unacceptable regressions.</w:t>
            </w:r>
          </w:p>
        </w:tc>
      </w:tr>
      <w:tr>
        <w:trPr>
          <w:cantSplit/>
        </w:trPr>
        <w:tc>
          <w:tcPr>
            <w:tcW w:type="dxa" w:w="2337"/>
            <w:tcMar>
              <w:top w:w="90" w:type="dxa"/>
              <w:start w:w="120" w:type="dxa"/>
              <w:bottom w:w="90" w:type="dxa"/>
              <w:end w:w="120" w:type="dxa"/>
            </w:tcMar>
            <w:vAlign w:val="center"/>
          </w:tcPr>
          <w:p>
            <w:pPr>
              <w:spacing w:after="0"/>
            </w:pPr>
            <w:r>
              <w:rPr>
                <w:rFonts w:ascii="Arial" w:hAnsi="Arial"/>
                <w:sz w:val="15"/>
              </w:rPr>
              <w:t>Retain or rollback</w:t>
            </w:r>
          </w:p>
        </w:tc>
        <w:tc>
          <w:tcPr>
            <w:tcW w:type="dxa" w:w="7382"/>
            <w:tcMar>
              <w:top w:w="90" w:type="dxa"/>
              <w:start w:w="120" w:type="dxa"/>
              <w:bottom w:w="90" w:type="dxa"/>
              <w:end w:w="120" w:type="dxa"/>
            </w:tcMar>
            <w:vAlign w:val="center"/>
          </w:tcPr>
          <w:p>
            <w:pPr>
              <w:spacing w:after="0"/>
            </w:pPr>
            <w:r>
              <w:rPr>
                <w:rFonts w:ascii="Arial" w:hAnsi="Arial"/>
                <w:sz w:val="15"/>
              </w:rPr>
              <w:t>Keep evidence-linked changes or revert and revise.</w:t>
            </w:r>
          </w:p>
        </w:tc>
      </w:tr>
    </w:tbl>
    <w:p>
      <w:pPr>
        <w:spacing w:after="0"/>
      </w:pPr>
    </w:p>
    <w:p>
      <w:pPr>
        <w:pStyle w:val="Heading1"/>
      </w:pPr>
      <w:r>
        <w:t>13. Two spec-driven systems — related, not identical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860"/>
            <w:shd w:fill="21143D"/>
            <w:tcMar>
              <w:top w:w="90" w:type="dxa"/>
              <w:start w:w="120" w:type="dxa"/>
              <w:bottom w:w="90" w:type="dxa"/>
              <w:end w:w="120" w:type="dxa"/>
            </w:tcMar>
            <w:vAlign w:val="center"/>
          </w:tcPr>
          <w:p>
            <w:r>
              <w:rPr>
                <w:rFonts w:ascii="Arial" w:hAnsi="Arial"/>
                <w:b/>
                <w:color w:val="FFFFFF"/>
                <w:sz w:val="16"/>
              </w:rPr>
              <w:t>Development of Gu OS</w:t>
            </w:r>
          </w:p>
        </w:tc>
        <w:tc>
          <w:tcPr>
            <w:tcW w:type="dxa" w:w="4860"/>
            <w:shd w:fill="21143D"/>
            <w:tcMar>
              <w:top w:w="90" w:type="dxa"/>
              <w:start w:w="120" w:type="dxa"/>
              <w:bottom w:w="90" w:type="dxa"/>
              <w:end w:w="120" w:type="dxa"/>
            </w:tcMar>
            <w:vAlign w:val="center"/>
          </w:tcPr>
          <w:p>
            <w:r>
              <w:rPr>
                <w:rFonts w:ascii="Arial" w:hAnsi="Arial"/>
                <w:b/>
                <w:color w:val="FFFFFF"/>
                <w:sz w:val="16"/>
              </w:rPr>
              <w:t>Workflow authoring inside Gu OS Studio</w:t>
            </w:r>
          </w:p>
        </w:tc>
      </w:tr>
      <w:tr>
        <w:trPr>
          <w:cantSplit/>
        </w:trPr>
        <w:tc>
          <w:tcPr>
            <w:tcW w:type="dxa" w:w="4860"/>
            <w:tcMar>
              <w:top w:w="90" w:type="dxa"/>
              <w:start w:w="120" w:type="dxa"/>
              <w:bottom w:w="90" w:type="dxa"/>
              <w:end w:w="120" w:type="dxa"/>
            </w:tcMar>
            <w:vAlign w:val="center"/>
          </w:tcPr>
          <w:p>
            <w:pPr>
              <w:spacing w:after="0"/>
            </w:pPr>
            <w:r>
              <w:rPr>
                <w:rFonts w:ascii="Arial" w:hAnsi="Arial"/>
                <w:sz w:val="15"/>
              </w:rPr>
              <w:t>PRD / Roadmap → Spec → Architecture / ADR → Technical Plan → Slice Plan → JIT Tasks → Code → Verification → Release → Learning</w:t>
            </w:r>
          </w:p>
        </w:tc>
        <w:tc>
          <w:tcPr>
            <w:tcW w:type="dxa" w:w="4860"/>
            <w:tcMar>
              <w:top w:w="90" w:type="dxa"/>
              <w:start w:w="120" w:type="dxa"/>
              <w:bottom w:w="90" w:type="dxa"/>
              <w:end w:w="120" w:type="dxa"/>
            </w:tcMar>
            <w:vAlign w:val="center"/>
          </w:tcPr>
          <w:p>
            <w:pPr>
              <w:spacing w:after="0"/>
            </w:pPr>
            <w:r>
              <w:rPr>
                <w:rFonts w:ascii="Arial" w:hAnsi="Arial"/>
                <w:sz w:val="15"/>
              </w:rPr>
              <w:t>Business intention → business or implementation spec → capability map and compiler → versioned definition → validation and simulation → publication → runtime evidence → fork or new version</w:t>
            </w:r>
          </w:p>
        </w:tc>
      </w:tr>
    </w:tbl>
    <w:p>
      <w:pPr>
        <w:spacing w:after="0"/>
      </w:pPr>
    </w:p>
    <w:p>
      <w:r>
        <w:t>They share explicit intent, versioning, evidence, bounded authority and no silent redesign. But a Studio workflow definition is a product runtime artifact; a Feature Spec is a product and engineering development contract.</w:t>
      </w:r>
    </w:p>
    <w:p>
      <w:pPr>
        <w:pStyle w:val="Heading1"/>
      </w:pPr>
      <w:r>
        <w:t>14. Worked example: Relationship Operations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693"/>
            <w:shd w:fill="21143D"/>
            <w:tcMar>
              <w:top w:w="90" w:type="dxa"/>
              <w:start w:w="120" w:type="dxa"/>
              <w:bottom w:w="90" w:type="dxa"/>
              <w:end w:w="120" w:type="dxa"/>
            </w:tcMar>
            <w:vAlign w:val="center"/>
          </w:tcPr>
          <w:p>
            <w:r>
              <w:rPr>
                <w:rFonts w:ascii="Arial" w:hAnsi="Arial"/>
                <w:b/>
                <w:color w:val="FFFFFF"/>
                <w:sz w:val="16"/>
              </w:rPr>
              <w:t>Artifact</w:t>
            </w:r>
          </w:p>
        </w:tc>
        <w:tc>
          <w:tcPr>
            <w:tcW w:type="dxa" w:w="7026"/>
            <w:shd w:fill="21143D"/>
            <w:tcMar>
              <w:top w:w="90" w:type="dxa"/>
              <w:start w:w="120" w:type="dxa"/>
              <w:bottom w:w="90" w:type="dxa"/>
              <w:end w:w="120" w:type="dxa"/>
            </w:tcMar>
            <w:vAlign w:val="center"/>
          </w:tcPr>
          <w:p>
            <w:r>
              <w:rPr>
                <w:rFonts w:ascii="Arial" w:hAnsi="Arial"/>
                <w:b/>
                <w:color w:val="FFFFFF"/>
                <w:sz w:val="16"/>
              </w:rPr>
              <w:t>R1 application</w:t>
            </w:r>
          </w:p>
        </w:tc>
      </w:tr>
      <w:tr>
        <w:trPr>
          <w:cantSplit/>
        </w:trPr>
        <w:tc>
          <w:tcPr>
            <w:tcW w:type="dxa" w:w="2693"/>
            <w:tcMar>
              <w:top w:w="90" w:type="dxa"/>
              <w:start w:w="120" w:type="dxa"/>
              <w:bottom w:w="90" w:type="dxa"/>
              <w:end w:w="120" w:type="dxa"/>
            </w:tcMar>
            <w:vAlign w:val="center"/>
          </w:tcPr>
          <w:p>
            <w:pPr>
              <w:spacing w:after="0"/>
            </w:pPr>
            <w:r>
              <w:rPr>
                <w:rFonts w:ascii="Arial" w:hAnsi="Arial"/>
                <w:sz w:val="15"/>
              </w:rPr>
              <w:t>Product PRD and Roadmap</w:t>
            </w:r>
          </w:p>
        </w:tc>
        <w:tc>
          <w:tcPr>
            <w:tcW w:type="dxa" w:w="7026"/>
            <w:tcMar>
              <w:top w:w="90" w:type="dxa"/>
              <w:start w:w="120" w:type="dxa"/>
              <w:bottom w:w="90" w:type="dxa"/>
              <w:end w:w="120" w:type="dxa"/>
            </w:tcMar>
            <w:vAlign w:val="center"/>
          </w:tcPr>
          <w:p>
            <w:pPr>
              <w:spacing w:after="0"/>
            </w:pPr>
            <w:r>
              <w:rPr>
                <w:rFonts w:ascii="Arial" w:hAnsi="Arial"/>
                <w:sz w:val="15"/>
              </w:rPr>
              <w:t>Make viable opportunities delegably progress; R1 is the next product increment.</w:t>
            </w:r>
          </w:p>
        </w:tc>
      </w:tr>
      <w:tr>
        <w:trPr>
          <w:cantSplit/>
        </w:trPr>
        <w:tc>
          <w:tcPr>
            <w:tcW w:type="dxa" w:w="2693"/>
            <w:tcMar>
              <w:top w:w="90" w:type="dxa"/>
              <w:start w:w="120" w:type="dxa"/>
              <w:bottom w:w="90" w:type="dxa"/>
              <w:end w:w="120" w:type="dxa"/>
            </w:tcMar>
            <w:vAlign w:val="center"/>
            <w:shd w:fill="F5F6F8"/>
          </w:tcPr>
          <w:p>
            <w:pPr>
              <w:spacing w:after="0"/>
            </w:pPr>
            <w:r>
              <w:rPr>
                <w:rFonts w:ascii="Arial" w:hAnsi="Arial"/>
                <w:sz w:val="15"/>
              </w:rPr>
              <w:t>Initiative Brief</w:t>
            </w:r>
          </w:p>
        </w:tc>
        <w:tc>
          <w:tcPr>
            <w:tcW w:type="dxa" w:w="7026"/>
            <w:tcMar>
              <w:top w:w="90" w:type="dxa"/>
              <w:start w:w="120" w:type="dxa"/>
              <w:bottom w:w="90" w:type="dxa"/>
              <w:end w:w="120" w:type="dxa"/>
            </w:tcMar>
            <w:vAlign w:val="center"/>
            <w:shd w:fill="F5F6F8"/>
          </w:tcPr>
          <w:p>
            <w:pPr>
              <w:spacing w:after="0"/>
            </w:pPr>
            <w:r>
              <w:rPr>
                <w:rFonts w:ascii="Arial" w:hAnsi="Arial"/>
                <w:sz w:val="15"/>
              </w:rPr>
              <w:t>Optional methodology artifact, not a current R1 layer. R1 is a Roadmap Increment; Relationship Operations is an Operating Domain.</w:t>
            </w:r>
          </w:p>
        </w:tc>
      </w:tr>
      <w:tr>
        <w:trPr>
          <w:cantSplit/>
        </w:trPr>
        <w:tc>
          <w:tcPr>
            <w:tcW w:type="dxa" w:w="2693"/>
            <w:tcMar>
              <w:top w:w="90" w:type="dxa"/>
              <w:start w:w="120" w:type="dxa"/>
              <w:bottom w:w="90" w:type="dxa"/>
              <w:end w:w="120" w:type="dxa"/>
            </w:tcMar>
            <w:vAlign w:val="center"/>
          </w:tcPr>
          <w:p>
            <w:pPr>
              <w:spacing w:after="0"/>
            </w:pPr>
            <w:r>
              <w:rPr>
                <w:rFonts w:ascii="Arial" w:hAnsi="Arial"/>
                <w:sz w:val="15"/>
              </w:rPr>
              <w:t>Specs S1–S4</w:t>
            </w:r>
          </w:p>
        </w:tc>
        <w:tc>
          <w:tcPr>
            <w:tcW w:type="dxa" w:w="7026"/>
            <w:tcMar>
              <w:top w:w="90" w:type="dxa"/>
              <w:start w:w="120" w:type="dxa"/>
              <w:bottom w:w="90" w:type="dxa"/>
              <w:end w:w="120" w:type="dxa"/>
            </w:tcMar>
            <w:vAlign w:val="center"/>
          </w:tcPr>
          <w:p>
            <w:pPr>
              <w:spacing w:after="0"/>
            </w:pPr>
            <w:r>
              <w:rPr>
                <w:rFonts w:ascii="Arial" w:hAnsi="Arial"/>
                <w:sz w:val="15"/>
              </w:rPr>
              <w:t>Lifecycle; situational progression and authority; Visit evidence; Work Portfolio and multi-seat experience.</w:t>
            </w:r>
          </w:p>
        </w:tc>
      </w:tr>
      <w:tr>
        <w:trPr>
          <w:cantSplit/>
        </w:trPr>
        <w:tc>
          <w:tcPr>
            <w:tcW w:type="dxa" w:w="2693"/>
            <w:tcMar>
              <w:top w:w="90" w:type="dxa"/>
              <w:start w:w="120" w:type="dxa"/>
              <w:bottom w:w="90" w:type="dxa"/>
              <w:end w:w="120" w:type="dxa"/>
            </w:tcMar>
            <w:vAlign w:val="center"/>
            <w:shd w:fill="F5F6F8"/>
          </w:tcPr>
          <w:p>
            <w:pPr>
              <w:spacing w:after="0"/>
            </w:pPr>
            <w:r>
              <w:rPr>
                <w:rFonts w:ascii="Arial" w:hAnsi="Arial"/>
                <w:sz w:val="15"/>
              </w:rPr>
              <w:t>Architecture and ADRs</w:t>
            </w:r>
          </w:p>
        </w:tc>
        <w:tc>
          <w:tcPr>
            <w:tcW w:type="dxa" w:w="7026"/>
            <w:tcMar>
              <w:top w:w="90" w:type="dxa"/>
              <w:start w:w="120" w:type="dxa"/>
              <w:bottom w:w="90" w:type="dxa"/>
              <w:end w:w="120" w:type="dxa"/>
            </w:tcMar>
            <w:vAlign w:val="center"/>
            <w:shd w:fill="F5F6F8"/>
          </w:tcPr>
          <w:p>
            <w:pPr>
              <w:spacing w:after="0"/>
            </w:pPr>
            <w:r>
              <w:rPr>
                <w:rFonts w:ascii="Arial" w:hAnsi="Arial"/>
                <w:sz w:val="15"/>
              </w:rPr>
              <w:t>Organization-native tenancy, runtime authority, policy, Case relationships and cost attribution.</w:t>
            </w:r>
          </w:p>
        </w:tc>
      </w:tr>
      <w:tr>
        <w:trPr>
          <w:cantSplit/>
        </w:trPr>
        <w:tc>
          <w:tcPr>
            <w:tcW w:type="dxa" w:w="2693"/>
            <w:tcMar>
              <w:top w:w="90" w:type="dxa"/>
              <w:start w:w="120" w:type="dxa"/>
              <w:bottom w:w="90" w:type="dxa"/>
              <w:end w:w="120" w:type="dxa"/>
            </w:tcMar>
            <w:vAlign w:val="center"/>
          </w:tcPr>
          <w:p>
            <w:pPr>
              <w:spacing w:after="0"/>
            </w:pPr>
            <w:r>
              <w:rPr>
                <w:rFonts w:ascii="Arial" w:hAnsi="Arial"/>
                <w:sz w:val="15"/>
              </w:rPr>
              <w:t>Technical Plan</w:t>
            </w:r>
          </w:p>
        </w:tc>
        <w:tc>
          <w:tcPr>
            <w:tcW w:type="dxa" w:w="7026"/>
            <w:tcMar>
              <w:top w:w="90" w:type="dxa"/>
              <w:start w:w="120" w:type="dxa"/>
              <w:bottom w:w="90" w:type="dxa"/>
              <w:end w:w="120" w:type="dxa"/>
            </w:tcMar>
            <w:vAlign w:val="center"/>
          </w:tcPr>
          <w:p>
            <w:pPr>
              <w:spacing w:after="0"/>
            </w:pPr>
            <w:r>
              <w:rPr>
                <w:rFonts w:ascii="Arial" w:hAnsi="Arial"/>
                <w:sz w:val="15"/>
              </w:rPr>
              <w:t>Repo-grounded implementation across shared kernel, legacy bridge, flags and verification.</w:t>
            </w:r>
          </w:p>
        </w:tc>
      </w:tr>
      <w:tr>
        <w:trPr>
          <w:cantSplit/>
        </w:trPr>
        <w:tc>
          <w:tcPr>
            <w:tcW w:type="dxa" w:w="2693"/>
            <w:tcMar>
              <w:top w:w="90" w:type="dxa"/>
              <w:start w:w="120" w:type="dxa"/>
              <w:bottom w:w="90" w:type="dxa"/>
              <w:end w:w="120" w:type="dxa"/>
            </w:tcMar>
            <w:vAlign w:val="center"/>
            <w:shd w:fill="F5F6F8"/>
          </w:tcPr>
          <w:p>
            <w:pPr>
              <w:spacing w:after="0"/>
            </w:pPr>
            <w:r>
              <w:rPr>
                <w:rFonts w:ascii="Arial" w:hAnsi="Arial"/>
                <w:sz w:val="15"/>
              </w:rPr>
              <w:t>Current execution snapshot</w:t>
            </w:r>
          </w:p>
        </w:tc>
        <w:tc>
          <w:tcPr>
            <w:tcW w:type="dxa" w:w="7026"/>
            <w:tcMar>
              <w:top w:w="90" w:type="dxa"/>
              <w:start w:w="120" w:type="dxa"/>
              <w:bottom w:w="90" w:type="dxa"/>
              <w:end w:w="120" w:type="dxa"/>
            </w:tcMar>
            <w:vAlign w:val="center"/>
            <w:shd w:fill="F5F6F8"/>
          </w:tcPr>
          <w:p>
            <w:pPr>
              <w:spacing w:after="0"/>
            </w:pPr>
            <w:r>
              <w:rPr>
                <w:rFonts w:ascii="Arial" w:hAnsi="Arial"/>
                <w:sz w:val="15"/>
              </w:rPr>
              <w:t>SL-0 through SL-3 are Done. SL-4 is READY but not Planned; Cycle inclusion and a human DRI remain to be confirmed. Later Slices are rolling-wave stubs, not executable work.</w:t>
            </w:r>
          </w:p>
        </w:tc>
      </w:tr>
      <w:tr>
        <w:trPr>
          <w:cantSplit/>
        </w:trPr>
        <w:tc>
          <w:tcPr>
            <w:tcW w:type="dxa" w:w="2693"/>
            <w:tcMar>
              <w:top w:w="90" w:type="dxa"/>
              <w:start w:w="120" w:type="dxa"/>
              <w:bottom w:w="90" w:type="dxa"/>
              <w:end w:w="120" w:type="dxa"/>
            </w:tcMar>
            <w:vAlign w:val="center"/>
          </w:tcPr>
          <w:p>
            <w:pPr>
              <w:spacing w:after="0"/>
            </w:pPr>
            <w:r>
              <w:rPr>
                <w:rFonts w:ascii="Arial" w:hAnsi="Arial"/>
                <w:sz w:val="15"/>
              </w:rPr>
              <w:t>Evidence</w:t>
            </w:r>
          </w:p>
        </w:tc>
        <w:tc>
          <w:tcPr>
            <w:tcW w:type="dxa" w:w="7026"/>
            <w:tcMar>
              <w:top w:w="90" w:type="dxa"/>
              <w:start w:w="120" w:type="dxa"/>
              <w:bottom w:w="90" w:type="dxa"/>
              <w:end w:w="120" w:type="dxa"/>
            </w:tcMar>
            <w:vAlign w:val="center"/>
          </w:tcPr>
          <w:p>
            <w:pPr>
              <w:spacing w:after="0"/>
            </w:pPr>
            <w:r>
              <w:rPr>
                <w:rFonts w:ascii="Arial" w:hAnsi="Arial"/>
                <w:sz w:val="15"/>
              </w:rPr>
              <w:t>Deterministic tests plus model scenarios, acceptance and E2E, tenancy and authority evidence, and pilot outcome.</w:t>
            </w:r>
          </w:p>
        </w:tc>
      </w:tr>
    </w:tbl>
    <w:p>
      <w:pPr>
        <w:spacing w:after="0"/>
      </w:pPr>
    </w:p>
    <w:p>
      <w:pPr>
        <w:pStyle w:val="Heading1"/>
      </w:pPr>
      <w:r>
        <w:t>15. Practical start-of-work checklist</w:t>
      </w:r>
    </w:p>
    <w:p>
      <w:pPr>
        <w:pStyle w:val="ListNumber"/>
        <w:spacing w:after="60"/>
        <w:ind w:left="432" w:hanging="245"/>
      </w:pPr>
      <w:r>
        <w:t>Read docs/README.md and identify the owner of each relevant truth.</w:t>
      </w:r>
    </w:p>
    <w:p>
      <w:pPr>
        <w:pStyle w:val="ListNumber"/>
        <w:spacing w:after="60"/>
        <w:ind w:left="432" w:hanging="245"/>
      </w:pPr>
      <w:r>
        <w:t>Inspect current code, migrations, configuration, scripts, tests and existing patterns.</w:t>
      </w:r>
    </w:p>
    <w:p>
      <w:pPr>
        <w:pStyle w:val="ListNumber"/>
        <w:spacing w:after="60"/>
        <w:ind w:left="432" w:hanging="245"/>
      </w:pPr>
      <w:r>
        <w:t>State the business responsibility, actor and outcome.</w:t>
      </w:r>
    </w:p>
    <w:p>
      <w:pPr>
        <w:pStyle w:val="ListNumber"/>
        <w:spacing w:after="60"/>
        <w:ind w:left="432" w:hanging="245"/>
      </w:pPr>
      <w:r>
        <w:t>Decide whether a Brief, Spec, ADR or Plan is required in proportion to risk and ambiguity.</w:t>
      </w:r>
    </w:p>
    <w:p>
      <w:pPr>
        <w:pStyle w:val="ListNumber"/>
        <w:spacing w:after="60"/>
        <w:ind w:left="432" w:hanging="245"/>
      </w:pPr>
      <w:r>
        <w:t>Separate current evidence, accepted target, assumptions and open decisions.</w:t>
      </w:r>
    </w:p>
    <w:p>
      <w:pPr>
        <w:pStyle w:val="ListNumber"/>
        <w:spacing w:after="60"/>
        <w:ind w:left="432" w:hanging="245"/>
      </w:pPr>
      <w:r>
        <w:t>Define verification and rollback before broad implementation.</w:t>
      </w:r>
    </w:p>
    <w:p>
      <w:pPr>
        <w:pStyle w:val="ListNumber"/>
        <w:spacing w:after="60"/>
        <w:ind w:left="432" w:hanging="245"/>
      </w:pPr>
      <w:r>
        <w:t>Confirm the durable Slice contract, READY status, Cycle inclusion, human Accountable/DRI and actual prerequisites/capacity; then derive JIT Tasks.</w:t>
      </w:r>
    </w:p>
    <w:p>
      <w:pPr>
        <w:pStyle w:val="ListNumber"/>
        <w:spacing w:after="60"/>
        <w:ind w:left="432" w:hanging="245"/>
      </w:pPr>
      <w:r>
        <w:t>Implement inside approved scope; surface contradictions instead of silently choosing.</w:t>
      </w:r>
    </w:p>
    <w:p>
      <w:pPr>
        <w:pStyle w:val="ListNumber"/>
        <w:spacing w:after="60"/>
        <w:ind w:left="432" w:hanging="245"/>
      </w:pPr>
      <w:r>
        <w:t>Run evidence, classify failures and repair the owning artifact.</w:t>
      </w:r>
    </w:p>
    <w:p>
      <w:pPr>
        <w:pStyle w:val="ListNumber"/>
        <w:spacing w:after="60"/>
        <w:ind w:left="432" w:hanging="245"/>
      </w:pPr>
      <w:r>
        <w:t>Release safely, observe outcomes and reconcile documentation.</w:t>
      </w:r>
    </w:p>
    <w:p>
      <w:r>
        <w:br w:type="page"/>
      </w:r>
    </w:p>
    <w:p>
      <w:pPr>
        <w:pStyle w:val="Heading1"/>
      </w:pPr>
      <w:r>
        <w:t>16. Current canonical maintenance note</w:t>
      </w:r>
    </w:p>
    <w:p>
      <w:r>
        <w:t>The governing Methodology is v0.4.4 at the stated baseline. It includes Slice contracts, JIT Tasks, READY / Planned / Executable, Execution Cycles, human Accountable / DRI, the READY Horizon and Development Continuity Loop. The v0.4.4 patch repairs coherence; the substantial changes from the earlier guide derive from the intervening methodology revisions, not from that patch alone.</w:t>
      </w:r>
    </w:p>
    <w:p>
      <w:pPr>
        <w:pStyle w:val="Heading1"/>
      </w:pPr>
      <w:r>
        <w:t>Methodology v0.4.4: the current execution model</w:t>
      </w:r>
    </w:p>
    <w:p>
      <w:r>
        <w:t>The canonical methodology now distinguishes durable planning contracts from just-in-time execution detail. A Roadmap Increment states the horizon and graduation evidence; Specs own behavior; ADRs and Technical Plans own durable realization decisions; the Slice Plan owns ordered bounded Slice contracts; the coding agent derives Tasks only after a Slice is ready to execute.</w:t>
      </w:r>
    </w:p>
    <w:p>
      <w:pPr>
        <w:pStyle w:val="ListBullet"/>
      </w:pPr>
      <w:r>
        <w:t>READY: the Slice contract is sufficiently elaborated; no DRI or Cycle is required.</w:t>
      </w:r>
    </w:p>
    <w:p>
      <w:pPr>
        <w:pStyle w:val="ListBullet"/>
      </w:pPr>
      <w:r>
        <w:t>Planned: a human confirms Cycle inclusion and an Accountable / DRI.</w:t>
      </w:r>
    </w:p>
    <w:p>
      <w:pPr>
        <w:pStyle w:val="ListBullet"/>
      </w:pPr>
      <w:r>
        <w:t>Executable: derived from Planned + satisfied prerequisites + available capacity.</w:t>
      </w:r>
    </w:p>
    <w:p>
      <w:pPr>
        <w:pStyle w:val="ListBullet"/>
      </w:pPr>
      <w:r>
        <w:t>JIT Tasks are the agent’s visible execution plan; they are not new canonical Markdown truth.</w:t>
      </w:r>
    </w:p>
    <w:p>
      <w:pPr>
        <w:pStyle w:val="ListBullet"/>
      </w:pPr>
      <w:r>
        <w:t>The READY Horizon is capacity-oriented, normally roughly one to two Cycles, and is replenished without lowering the Definition of Ready.</w:t>
      </w:r>
    </w:p>
    <w:p>
      <w:pPr>
        <w:pStyle w:val="Heading1"/>
      </w:pPr>
      <w:r>
        <w:t>Release Scope and verification</w:t>
      </w:r>
    </w:p>
    <w:p>
      <w:r>
        <w:t>RS-1 closes with appropriate local and deterministic CI evidence and merge; it makes no hosted claim. RS-2 also requires the hosted/staging evidence in the Slice Acceptance Contract. RS-3 additionally requires production authority, preflight, controlled release and post-release evidence. Production is required for Done only for RS-3; shadow is an authority/behavior mode, not a Release Scope.</w:t>
      </w:r>
    </w:p>
    <w:p>
      <w:pPr>
        <w:pStyle w:val="ListBullet"/>
      </w:pPr>
      <w:r>
        <w:t>Four distinct layers: local, CI, hosted and post-release. Later evidence does not substitute for earlier checks.</w:t>
      </w:r>
    </w:p>
    <w:p>
      <w:pPr>
        <w:pStyle w:val="ListBullet"/>
      </w:pPr>
      <w:r>
        <w:t>Estimate elapsed agent-assisted engineering time to evidence-ready, with confidence and uncertainty; an estimate is never completion evidence.</w:t>
      </w:r>
    </w:p>
    <w:p>
      <w:pPr>
        <w:pStyle w:val="ListBullet"/>
      </w:pPr>
      <w:r>
        <w:t>The Slice Plan owns durable contracts/readiness; the agent runtime owns pre-PR execution context; GitHub owns recorded execution. A consolidated Development Control Plane remains conceptual.</w:t>
      </w:r>
    </w:p>
    <w:p>
      <w:pPr>
        <w:pStyle w:val="Heading1"/>
      </w:pPr>
      <w:r>
        <w:t>Continuity, completion and learning</w:t>
      </w:r>
    </w:p>
    <w:p>
      <w:r>
        <w:t>The Development Continuity Loop seeks the next legitimate action: execute available work, satisfy governed prerequisites, replenish readiness, propose Cycle planning, assess graduation or prepare the next increment. It stops at real human-authority boundaries, not at avoidable ceremony.</w:t>
      </w:r>
    </w:p>
    <w:p>
      <w:pPr>
        <w:pStyle w:val="ListBullet"/>
      </w:pPr>
      <w:r>
        <w:t>Slice Done means its acceptance, Definition of Done, evidence and Release Scope are satisfied.</w:t>
      </w:r>
    </w:p>
    <w:p>
      <w:pPr>
        <w:pStyle w:val="ListBullet"/>
      </w:pPr>
      <w:r>
        <w:t>Roadmap Increment graduation is a separate outcome claim; all Slices can close without proving the horizon.</w:t>
      </w:r>
    </w:p>
    <w:p>
      <w:pPr>
        <w:pStyle w:val="ListBullet"/>
      </w:pPr>
      <w:r>
        <w:t>R1 currently has SL-0…SL-3 Done and SL-4 READY but not Planned; later Slices remain rolling-wave stubs.</w:t>
      </w:r>
    </w:p>
    <w:p>
      <w:pPr>
        <w:pStyle w:val="Heading1"/>
      </w:pPr>
      <w:r>
        <w:t>Canonical source register</w:t>
      </w:r>
    </w:p>
    <w:p>
      <w:pPr>
        <w:pStyle w:val="ListBullet"/>
        <w:spacing w:after="56"/>
        <w:ind w:left="360" w:hanging="202"/>
      </w:pPr>
      <w:r>
        <w:t>docs/README.md — authority map.</w:t>
      </w:r>
    </w:p>
    <w:p>
      <w:pPr>
        <w:pStyle w:val="ListBullet"/>
        <w:spacing w:after="56"/>
        <w:ind w:left="360" w:hanging="202"/>
      </w:pPr>
      <w:r>
        <w:t>docs/development/agentic-product-software-development-methodology.md — canonical Methodology v0.4.4.</w:t>
      </w:r>
    </w:p>
    <w:p>
      <w:pPr>
        <w:pStyle w:val="ListBullet"/>
        <w:spacing w:after="56"/>
        <w:ind w:left="360" w:hanging="202"/>
      </w:pPr>
      <w:r>
        <w:t>docs/principles/gu-os-principles-and-design-doctrine.md — Development Doctrine supplement DM-01 through DM-12.</w:t>
      </w:r>
    </w:p>
    <w:p>
      <w:pPr>
        <w:pStyle w:val="ListBullet"/>
        <w:spacing w:after="56"/>
        <w:ind w:left="360" w:hanging="202"/>
      </w:pPr>
      <w:r>
        <w:t>docs/development/release-path-playbook.md — operational release path.</w:t>
      </w:r>
    </w:p>
    <w:p>
      <w:pPr>
        <w:pStyle w:val="ListBullet"/>
        <w:spacing w:after="56"/>
        <w:ind w:left="360" w:hanging="202"/>
      </w:pPr>
      <w:r>
        <w:t>docs/development/templates/feature-business-spec-template.md — current adopted Spec scaffold.</w:t>
      </w:r>
    </w:p>
    <w:p>
      <w:pPr>
        <w:pStyle w:val="ListBullet"/>
        <w:spacing w:after="56"/>
        <w:ind w:left="360" w:hanging="202"/>
      </w:pPr>
      <w:r>
        <w:t>Root AGENTS.md and CLAUDE.md plus scoped agent instructions.</w:t>
      </w:r>
    </w:p>
    <w:p>
      <w:pPr>
        <w:pStyle w:val="ListBullet"/>
        <w:spacing w:after="56"/>
        <w:ind w:left="360" w:hanging="202"/>
      </w:pPr>
      <w:r>
        <w:t>Relationship Operations artifact chain as the worked current example.</w:t>
      </w:r>
    </w:p>
    <w:tbl>
      <w:tblPr>
        <w:tblW w:type="auto" w:w="0"/>
        <w:jc w:val="center"/>
        <w:tblLayout w:type="fixed"/>
        <w:tblLook w:firstColumn="1" w:firstRow="1" w:lastColumn="0" w:lastRow="0" w:noHBand="0" w:noVBand="1" w:val="04A0"/>
      </w:tblPr>
      <w:tblGrid>
        <w:gridCol w:w="9994"/>
      </w:tblGrid>
      <w:tr>
        <w:trPr>
          <w:cantSplit/>
        </w:trPr>
        <w:tc>
          <w:tcPr>
            <w:tcW w:type="dxa" w:w="9720"/>
            <w:shd w:fill="F2ECFF"/>
            <w:tcMar>
              <w:top w:w="140" w:type="dxa"/>
              <w:start w:w="160" w:type="dxa"/>
              <w:bottom w:w="140" w:type="dxa"/>
              <w:end w:w="160" w:type="dxa"/>
            </w:tcMar>
          </w:tcPr>
          <w:p>
            <w:pPr>
              <w:pStyle w:val="Callout"/>
            </w:pPr>
            <w:r>
              <w:t>This guide supersedes the active team-explanatory role of Gu_OS_Agentic_Product_and_Software_Development_Methodology_v0.2.2.docx. The canonical Markdown Methodology remains the authority.</w:t>
            </w:r>
          </w:p>
        </w:tc>
      </w:tr>
    </w:tbl>
    <w:p>
      <w:pPr>
        <w:spacing w:after="0"/>
      </w:pPr>
    </w:p>
    <w:p>
      <w:pPr>
        <w:pStyle w:val="Heading1"/>
      </w:pPr>
      <w:r>
        <w:t>Sources that govern this guide</w:t>
      </w:r>
    </w:p>
    <w:p>
      <w:pPr>
        <w:pStyle w:val="ListBullet"/>
        <w:spacing w:after="20" w:line="240" w:lineRule="auto"/>
      </w:pPr>
      <w:r>
        <w:rPr>
          <w:rFonts w:ascii="Arial" w:hAnsi="Arial"/>
          <w:color w:val="1F1B30"/>
          <w:sz w:val="17"/>
        </w:rPr>
        <w:t>docs/development/templates/README.md</w:t>
      </w:r>
    </w:p>
    <w:p>
      <w:pPr>
        <w:pStyle w:val="ListBullet"/>
        <w:spacing w:after="20" w:line="240" w:lineRule="auto"/>
      </w:pPr>
      <w:r>
        <w:rPr>
          <w:rFonts w:ascii="Arial" w:hAnsi="Arial"/>
          <w:color w:val="1F1B30"/>
          <w:sz w:val="17"/>
        </w:rPr>
        <w:t>docs/development/templates/slice-plan-template.md</w:t>
      </w:r>
    </w:p>
    <w:p>
      <w:pPr>
        <w:pStyle w:val="ListBullet"/>
        <w:spacing w:after="20" w:line="240" w:lineRule="auto"/>
      </w:pPr>
      <w:r>
        <w:rPr>
          <w:rFonts w:ascii="Arial" w:hAnsi="Arial"/>
          <w:color w:val="1F1B30"/>
          <w:sz w:val="17"/>
        </w:rPr>
        <w:t>docs/product/roadmap-increments/r1-relationship-operations-v1/slice-plan.md</w:t>
      </w:r>
    </w:p>
    <w:sectPr w:rsidR="00FC693F" w:rsidRPr="0006063C" w:rsidSect="00034616">
      <w:headerReference w:type="default" r:id="rId9"/>
      <w:footerReference w:type="default" r:id="rId10"/>
      <w:pgSz w:w="12240" w:h="15840"/>
      <w:pgMar w:top="1037"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170"/>
        <w:sz w:val="14"/>
      </w:rPr>
      <w:t xml:space="preserve">Internal explanatory material · Not a canonical source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space="2" w:color="6C36D9"/>
      </w:pBdr>
    </w:pPr>
    <w:r>
      <w:rPr>
        <w:rFonts w:ascii="Arial" w:hAnsi="Arial"/>
        <w:b/>
        <w:color w:val="6C36D9"/>
        <w:sz w:val="14"/>
      </w:rPr>
      <w:t>UNGGA  |  INTERNAL TEAM COMMUNICATION                                      HOW WE BUILD GU 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color w:val="1D23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2114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6C36D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B63D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2114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5B61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rial" w:hAnsi="Arial"/>
      <w:b/>
      <w:color w:val="6C36D9"/>
      <w:sz w:val="16"/>
    </w:rPr>
  </w:style>
  <w:style w:type="paragraph" w:customStyle="1" w:styleId="Callout">
    <w:name w:val="Callout"/>
    <w:rPr>
      <w:rFonts w:ascii="Arial" w:hAnsi="Arial"/>
      <w:b/>
      <w:color w:val="21143D"/>
      <w:sz w:val="19"/>
    </w:rPr>
  </w:style>
  <w:style w:type="paragraph" w:customStyle="1" w:styleId="SourceNote">
    <w:name w:val="Source Note"/>
    <w:rPr>
      <w:rFonts w:ascii="Arial" w:hAnsi="Arial"/>
      <w:b w:val="0"/>
      <w:color w:val="5B617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Build Gu OS</dc:title>
  <dc:subject>Team guide to agentic product and software development</dc:subject>
  <dc:creator>Ungga</dc:creator>
  <cp:keywords/>
  <dc:description>Internal explanatory material v0.1; derived from canonical repository sources.</dc:description>
  <cp:lastModifiedBy>Ungga</cp:lastModifiedBy>
  <cp:revision>1</cp:revision>
  <dcterms:created xsi:type="dcterms:W3CDTF">2013-12-23T23:15:00Z</dcterms:created>
  <dcterms:modified xsi:type="dcterms:W3CDTF">2013-12-23T23:15:00Z</dcterms:modified>
  <cp:category/>
</cp:coreProperties>
</file>