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0"/>
        <w:jc w:val="center"/>
      </w:pPr>
      <w:r>
        <w:t>INTERNAL TEAM GUIDE · PRE-READ</w:t>
      </w:r>
    </w:p>
    <w:p>
      <w:pPr>
        <w:pStyle w:val="Title"/>
        <w:jc w:val="center"/>
      </w:pPr>
      <w:r>
        <w:t>Gu → Gu OS</w:t>
      </w:r>
    </w:p>
    <w:p>
      <w:pPr>
        <w:pStyle w:val="Subtitle"/>
        <w:jc w:val="center"/>
      </w:pPr>
      <w:r>
        <w:t>Team Guide: Product Vision, Operating Model &amp; Direction</w:t>
      </w:r>
    </w:p>
    <w:p>
      <w:pPr>
        <w:spacing w:before="280" w:after="400"/>
        <w:jc w:val="center"/>
      </w:pPr>
      <w:r>
        <w:rPr>
          <w:b/>
          <w:color w:val="6C36D9"/>
          <w:sz w:val="24"/>
        </w:rPr>
        <w:t>Humans lead. Gu gets work done.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 concise shared mental model for why Gu is evolving, what Gu OS enables, what exists now, what comes next, and which decisions remain governed elsewhere.</w:t>
            </w:r>
          </w:p>
        </w:tc>
      </w:tr>
    </w:tbl>
    <w:p>
      <w:pPr>
        <w:spacing w:after="0"/>
      </w:pPr>
    </w:p>
    <w:p>
      <w:pPr>
        <w:jc w:val="center"/>
      </w:pPr>
      <w:r>
        <w:rPr>
          <w:i/>
          <w:color w:val="5B6170"/>
          <w:sz w:val="17"/>
        </w:rPr>
        <w:t>v2.1 · 8 September 2026 · Founders · Product · Design · Engineering · Operations</w:t>
      </w:r>
    </w:p>
    <w:p>
      <w:pPr>
        <w:jc w:val="center"/>
      </w:pPr>
      <w:r>
        <w:rPr>
          <w:color w:val="5B6170"/>
          <w:sz w:val="15"/>
        </w:rPr>
        <w:t>janotowers/Gu-OS · main @ 5a6fbb05117042e1f7c47c911e0e2bc14d068340 · verified 8 September 2026</w:t>
      </w:r>
    </w:p>
    <w:p>
      <w:r>
        <w:br w:type="page"/>
      </w:r>
    </w:p>
    <w:p>
      <w:pPr>
        <w:pStyle w:val="Heading1"/>
      </w:pPr>
      <w:r>
        <w:t>How to use this document</w:t>
      </w:r>
    </w:p>
    <w:p>
      <w:r>
        <w:t>This is a communication layer for team understanding and alignment. It is intentionally easier to read than the canonical repository documents, but it does not own product, architecture, roadmap, implementation or verification truth.</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465"/>
            <w:shd w:fill="21143D"/>
            <w:tcMar>
              <w:top w:w="90" w:type="dxa"/>
              <w:start w:w="120" w:type="dxa"/>
              <w:bottom w:w="90" w:type="dxa"/>
              <w:end w:w="120" w:type="dxa"/>
            </w:tcMar>
            <w:vAlign w:val="center"/>
          </w:tcPr>
          <w:p>
            <w:r>
              <w:rPr>
                <w:rFonts w:ascii="Arial" w:hAnsi="Arial"/>
                <w:b/>
                <w:color w:val="FFFFFF"/>
                <w:sz w:val="16"/>
              </w:rPr>
              <w:t>If the question is…</w:t>
            </w:r>
          </w:p>
        </w:tc>
        <w:tc>
          <w:tcPr>
            <w:tcW w:type="dxa" w:w="5254"/>
            <w:shd w:fill="21143D"/>
            <w:tcMar>
              <w:top w:w="90" w:type="dxa"/>
              <w:start w:w="120" w:type="dxa"/>
              <w:bottom w:w="90" w:type="dxa"/>
              <w:end w:w="120" w:type="dxa"/>
            </w:tcMar>
            <w:vAlign w:val="center"/>
          </w:tcPr>
          <w:p>
            <w:r>
              <w:rPr>
                <w:rFonts w:ascii="Arial" w:hAnsi="Arial"/>
                <w:b/>
                <w:color w:val="FFFFFF"/>
                <w:sz w:val="16"/>
              </w:rPr>
              <w:t>The authority is…</w:t>
            </w:r>
          </w:p>
        </w:tc>
      </w:tr>
      <w:tr>
        <w:trPr>
          <w:cantSplit/>
        </w:trPr>
        <w:tc>
          <w:tcPr>
            <w:tcW w:type="dxa" w:w="4465"/>
            <w:tcMar>
              <w:top w:w="90" w:type="dxa"/>
              <w:start w:w="120" w:type="dxa"/>
              <w:bottom w:w="90" w:type="dxa"/>
              <w:end w:w="120" w:type="dxa"/>
            </w:tcMar>
            <w:vAlign w:val="center"/>
          </w:tcPr>
          <w:p>
            <w:pPr>
              <w:spacing w:after="0"/>
            </w:pPr>
            <w:r>
              <w:rPr>
                <w:rFonts w:ascii="Arial" w:hAnsi="Arial"/>
                <w:sz w:val="15"/>
              </w:rPr>
              <w:t>What product are we building, for whom and why?</w:t>
            </w:r>
          </w:p>
        </w:tc>
        <w:tc>
          <w:tcPr>
            <w:tcW w:type="dxa" w:w="5254"/>
            <w:tcMar>
              <w:top w:w="90" w:type="dxa"/>
              <w:start w:w="120" w:type="dxa"/>
              <w:bottom w:w="90" w:type="dxa"/>
              <w:end w:w="120" w:type="dxa"/>
            </w:tcMar>
            <w:vAlign w:val="center"/>
          </w:tcPr>
          <w:p>
            <w:pPr>
              <w:spacing w:after="0"/>
            </w:pPr>
            <w:r>
              <w:rPr>
                <w:rFonts w:ascii="Arial" w:hAnsi="Arial"/>
                <w:sz w:val="15"/>
              </w:rPr>
              <w:t>docs/product/PRD.md</w:t>
            </w:r>
          </w:p>
        </w:tc>
      </w:tr>
      <w:tr>
        <w:trPr>
          <w:cantSplit/>
        </w:trPr>
        <w:tc>
          <w:tcPr>
            <w:tcW w:type="dxa" w:w="4465"/>
            <w:tcMar>
              <w:top w:w="90" w:type="dxa"/>
              <w:start w:w="120" w:type="dxa"/>
              <w:bottom w:w="90" w:type="dxa"/>
              <w:end w:w="120" w:type="dxa"/>
            </w:tcMar>
            <w:vAlign w:val="center"/>
            <w:shd w:fill="F5F6F8"/>
          </w:tcPr>
          <w:p>
            <w:pPr>
              <w:spacing w:after="0"/>
            </w:pPr>
            <w:r>
              <w:rPr>
                <w:rFonts w:ascii="Arial" w:hAnsi="Arial"/>
                <w:sz w:val="15"/>
              </w:rPr>
              <w:t>Which recurring design rules govern decisions?</w:t>
            </w:r>
          </w:p>
        </w:tc>
        <w:tc>
          <w:tcPr>
            <w:tcW w:type="dxa" w:w="5254"/>
            <w:tcMar>
              <w:top w:w="90" w:type="dxa"/>
              <w:start w:w="120" w:type="dxa"/>
              <w:bottom w:w="90" w:type="dxa"/>
              <w:end w:w="120" w:type="dxa"/>
            </w:tcMar>
            <w:vAlign w:val="center"/>
            <w:shd w:fill="F5F6F8"/>
          </w:tcPr>
          <w:p>
            <w:pPr>
              <w:spacing w:after="0"/>
            </w:pPr>
            <w:r>
              <w:rPr>
                <w:rFonts w:ascii="Arial" w:hAnsi="Arial"/>
                <w:sz w:val="15"/>
              </w:rPr>
              <w:t>docs/principles/gu-os-principles-and-design-doctrine.md</w:t>
            </w:r>
          </w:p>
        </w:tc>
      </w:tr>
      <w:tr>
        <w:trPr>
          <w:cantSplit/>
        </w:trPr>
        <w:tc>
          <w:tcPr>
            <w:tcW w:type="dxa" w:w="4465"/>
            <w:tcMar>
              <w:top w:w="90" w:type="dxa"/>
              <w:start w:w="120" w:type="dxa"/>
              <w:bottom w:w="90" w:type="dxa"/>
              <w:end w:w="120" w:type="dxa"/>
            </w:tcMar>
            <w:vAlign w:val="center"/>
          </w:tcPr>
          <w:p>
            <w:pPr>
              <w:spacing w:after="0"/>
            </w:pPr>
            <w:r>
              <w:rPr>
                <w:rFonts w:ascii="Arial" w:hAnsi="Arial"/>
                <w:sz w:val="15"/>
              </w:rPr>
              <w:t>How do humans and coding agents build Gu OS?</w:t>
            </w:r>
          </w:p>
        </w:tc>
        <w:tc>
          <w:tcPr>
            <w:tcW w:type="dxa" w:w="5254"/>
            <w:tcMar>
              <w:top w:w="90" w:type="dxa"/>
              <w:start w:w="120" w:type="dxa"/>
              <w:bottom w:w="90" w:type="dxa"/>
              <w:end w:w="120" w:type="dxa"/>
            </w:tcMar>
            <w:vAlign w:val="center"/>
          </w:tcPr>
          <w:p>
            <w:pPr>
              <w:spacing w:after="0"/>
            </w:pPr>
            <w:r>
              <w:rPr>
                <w:rFonts w:ascii="Arial" w:hAnsi="Arial"/>
                <w:sz w:val="15"/>
              </w:rPr>
              <w:t>docs/development/agentic-product-software-development-methodology.md</w:t>
            </w:r>
          </w:p>
        </w:tc>
      </w:tr>
      <w:tr>
        <w:trPr>
          <w:cantSplit/>
        </w:trPr>
        <w:tc>
          <w:tcPr>
            <w:tcW w:type="dxa" w:w="4465"/>
            <w:tcMar>
              <w:top w:w="90" w:type="dxa"/>
              <w:start w:w="120" w:type="dxa"/>
              <w:bottom w:w="90" w:type="dxa"/>
              <w:end w:w="120" w:type="dxa"/>
            </w:tcMar>
            <w:vAlign w:val="center"/>
            <w:shd w:fill="F5F6F8"/>
          </w:tcPr>
          <w:p>
            <w:pPr>
              <w:spacing w:after="0"/>
            </w:pPr>
            <w:r>
              <w:rPr>
                <w:rFonts w:ascii="Arial" w:hAnsi="Arial"/>
                <w:sz w:val="15"/>
              </w:rPr>
              <w:t>What actually runs now?</w:t>
            </w:r>
          </w:p>
        </w:tc>
        <w:tc>
          <w:tcPr>
            <w:tcW w:type="dxa" w:w="5254"/>
            <w:tcMar>
              <w:top w:w="90" w:type="dxa"/>
              <w:start w:w="120" w:type="dxa"/>
              <w:bottom w:w="90" w:type="dxa"/>
              <w:end w:w="120" w:type="dxa"/>
            </w:tcMar>
            <w:vAlign w:val="center"/>
            <w:shd w:fill="F5F6F8"/>
          </w:tcPr>
          <w:p>
            <w:pPr>
              <w:spacing w:after="0"/>
            </w:pPr>
            <w:r>
              <w:rPr>
                <w:rFonts w:ascii="Arial" w:hAnsi="Arial"/>
                <w:sz w:val="15"/>
              </w:rPr>
              <w:t>Current code, migrations/config and docs/architecture.md</w:t>
            </w:r>
          </w:p>
        </w:tc>
      </w:tr>
      <w:tr>
        <w:trPr>
          <w:cantSplit/>
        </w:trPr>
        <w:tc>
          <w:tcPr>
            <w:tcW w:type="dxa" w:w="4465"/>
            <w:tcMar>
              <w:top w:w="90" w:type="dxa"/>
              <w:start w:w="120" w:type="dxa"/>
              <w:bottom w:w="90" w:type="dxa"/>
              <w:end w:w="120" w:type="dxa"/>
            </w:tcMar>
            <w:vAlign w:val="center"/>
          </w:tcPr>
          <w:p>
            <w:pPr>
              <w:spacing w:after="0"/>
            </w:pPr>
            <w:r>
              <w:rPr>
                <w:rFonts w:ascii="Arial" w:hAnsi="Arial"/>
                <w:sz w:val="15"/>
              </w:rPr>
              <w:t>What is the integrated current/target architecture?</w:t>
            </w:r>
          </w:p>
        </w:tc>
        <w:tc>
          <w:tcPr>
            <w:tcW w:type="dxa" w:w="5254"/>
            <w:tcMar>
              <w:top w:w="90" w:type="dxa"/>
              <w:start w:w="120" w:type="dxa"/>
              <w:bottom w:w="90" w:type="dxa"/>
              <w:end w:w="120" w:type="dxa"/>
            </w:tcMar>
            <w:vAlign w:val="center"/>
          </w:tcPr>
          <w:p>
            <w:pPr>
              <w:spacing w:after="0"/>
            </w:pPr>
            <w:r>
              <w:rPr>
                <w:rFonts w:ascii="Arial" w:hAnsi="Arial"/>
                <w:sz w:val="15"/>
              </w:rPr>
              <w:t>docs/manuals/architecture-manual.md plus accepted ADRs/topic sources</w:t>
            </w:r>
          </w:p>
        </w:tc>
      </w:tr>
      <w:tr>
        <w:trPr>
          <w:cantSplit/>
        </w:trPr>
        <w:tc>
          <w:tcPr>
            <w:tcW w:type="dxa" w:w="4465"/>
            <w:tcMar>
              <w:top w:w="90" w:type="dxa"/>
              <w:start w:w="120" w:type="dxa"/>
              <w:bottom w:w="90" w:type="dxa"/>
              <w:end w:w="120" w:type="dxa"/>
            </w:tcMar>
            <w:vAlign w:val="center"/>
            <w:shd w:fill="F5F6F8"/>
          </w:tcPr>
          <w:p>
            <w:pPr>
              <w:spacing w:after="0"/>
            </w:pPr>
            <w:r>
              <w:rPr>
                <w:rFonts w:ascii="Arial" w:hAnsi="Arial"/>
                <w:sz w:val="15"/>
              </w:rPr>
              <w:t>What should happen next?</w:t>
            </w:r>
          </w:p>
        </w:tc>
        <w:tc>
          <w:tcPr>
            <w:tcW w:type="dxa" w:w="5254"/>
            <w:tcMar>
              <w:top w:w="90" w:type="dxa"/>
              <w:start w:w="120" w:type="dxa"/>
              <w:bottom w:w="90" w:type="dxa"/>
              <w:end w:w="120" w:type="dxa"/>
            </w:tcMar>
            <w:vAlign w:val="center"/>
            <w:shd w:fill="F5F6F8"/>
          </w:tcPr>
          <w:p>
            <w:pPr>
              <w:spacing w:after="0"/>
            </w:pPr>
            <w:r>
              <w:rPr>
                <w:rFonts w:ascii="Arial" w:hAnsi="Arial"/>
                <w:sz w:val="15"/>
              </w:rPr>
              <w:t>docs/roadmap/gu-os-evolution-roadmap.md</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Reading rule: when this guide and a canonical source disagree, inspect the owning canonical source and current implementation. Repair this guide; do not treat it as a competing truth store.</w:t>
            </w:r>
          </w:p>
        </w:tc>
      </w:tr>
    </w:tbl>
    <w:p>
      <w:pPr>
        <w:spacing w:after="0"/>
      </w:pPr>
    </w:p>
    <w:p>
      <w:pPr>
        <w:pStyle w:val="Heading2"/>
      </w:pPr>
      <w:r>
        <w:t>The thesis in seven ideas</w:t>
      </w:r>
    </w:p>
    <w:p>
      <w:pPr>
        <w:pStyle w:val="ListNumber"/>
        <w:spacing w:after="60"/>
        <w:ind w:left="432" w:hanging="245"/>
      </w:pPr>
      <w:r>
        <w:t>Gu is who the user works with. Gu OS is what enables Gu to understand, coordinate and execute increasingly complex business work.</w:t>
      </w:r>
    </w:p>
    <w:p>
      <w:pPr>
        <w:pStyle w:val="ListNumber"/>
        <w:spacing w:after="60"/>
        <w:ind w:left="432" w:hanging="245"/>
      </w:pPr>
      <w:r>
        <w:t>We are not adding AI features to more software. We are making an increasing share of meaningful real-estate work delegable to Gu.</w:t>
      </w:r>
    </w:p>
    <w:p>
      <w:pPr>
        <w:pStyle w:val="ListNumber"/>
        <w:spacing w:after="60"/>
        <w:ind w:left="432" w:hanging="245"/>
      </w:pPr>
      <w:r>
        <w:t>Conversation guides work, but durable operational truth must survive the conversation.</w:t>
      </w:r>
    </w:p>
    <w:p>
      <w:pPr>
        <w:pStyle w:val="ListNumber"/>
        <w:spacing w:after="60"/>
        <w:ind w:left="432" w:hanging="245"/>
      </w:pPr>
      <w:r>
        <w:t>One operating kernel supports multiple operating domains; domains add semantics rather than separate engines.</w:t>
      </w:r>
    </w:p>
    <w:p>
      <w:pPr>
        <w:pStyle w:val="ListNumber"/>
        <w:spacing w:after="60"/>
        <w:ind w:left="432" w:hanging="245"/>
      </w:pPr>
      <w:r>
        <w:t>Models provide judgment and adaptation. Deterministic mechanisms, policy and human authority provide repeatable guarantees.</w:t>
      </w:r>
    </w:p>
    <w:p>
      <w:pPr>
        <w:pStyle w:val="ListNumber"/>
        <w:spacing w:after="60"/>
        <w:ind w:left="432" w:hanging="245"/>
      </w:pPr>
      <w:r>
        <w:t>Ungga owns differentiated responsibility and orchestrates replaceable capabilities without losing context, continuity, evidence or accountability.</w:t>
      </w:r>
    </w:p>
    <w:p>
      <w:pPr>
        <w:pStyle w:val="ListNumber"/>
        <w:spacing w:after="60"/>
        <w:ind w:left="432" w:hanging="245"/>
      </w:pPr>
      <w:r>
        <w:t>Human leadership is not an exception path. It is part of the product’s operating model.</w:t>
      </w:r>
    </w:p>
    <w:p>
      <w:pPr>
        <w:pStyle w:val="Heading1"/>
      </w:pPr>
      <w:r>
        <w:t>1. Why Gu is evolving</w:t>
      </w:r>
    </w:p>
    <w:p>
      <w:r>
        <w:t>Real-estate companies already have CRMs, portals, WhatsApp, calendars, spreadsheets, documents and specialist providers. Yet people still connect those pieces, remember what must happen, decide what comes next and make sure somebody does it. In many companies, the person is still the operating system.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240"/>
            <w:shd w:fill="21143D"/>
            <w:tcMar>
              <w:top w:w="90" w:type="dxa"/>
              <w:start w:w="120" w:type="dxa"/>
              <w:bottom w:w="90" w:type="dxa"/>
              <w:end w:w="120" w:type="dxa"/>
            </w:tcMar>
            <w:vAlign w:val="center"/>
          </w:tcPr>
          <w:p>
            <w:r>
              <w:rPr>
                <w:rFonts w:ascii="Arial" w:hAnsi="Arial"/>
                <w:b/>
                <w:color w:val="FFFFFF"/>
                <w:sz w:val="16"/>
              </w:rPr>
              <w:t>Before demand arrives</w:t>
            </w:r>
          </w:p>
        </w:tc>
        <w:tc>
          <w:tcPr>
            <w:tcW w:type="dxa" w:w="3240"/>
            <w:shd w:fill="21143D"/>
            <w:tcMar>
              <w:top w:w="90" w:type="dxa"/>
              <w:start w:w="120" w:type="dxa"/>
              <w:bottom w:w="90" w:type="dxa"/>
              <w:end w:w="120" w:type="dxa"/>
            </w:tcMar>
            <w:vAlign w:val="center"/>
          </w:tcPr>
          <w:p>
            <w:r>
              <w:rPr>
                <w:rFonts w:ascii="Arial" w:hAnsi="Arial"/>
                <w:b/>
                <w:color w:val="FFFFFF"/>
                <w:sz w:val="16"/>
              </w:rPr>
              <w:t>After an opportunity arrives</w:t>
            </w:r>
          </w:p>
        </w:tc>
        <w:tc>
          <w:tcPr>
            <w:tcW w:type="dxa" w:w="3240"/>
            <w:shd w:fill="21143D"/>
            <w:tcMar>
              <w:top w:w="90" w:type="dxa"/>
              <w:start w:w="120" w:type="dxa"/>
              <w:bottom w:w="90" w:type="dxa"/>
              <w:end w:w="120" w:type="dxa"/>
            </w:tcMar>
            <w:vAlign w:val="center"/>
          </w:tcPr>
          <w:p>
            <w:r>
              <w:rPr>
                <w:rFonts w:ascii="Arial" w:hAnsi="Arial"/>
                <w:b/>
                <w:color w:val="FFFFFF"/>
                <w:sz w:val="16"/>
              </w:rPr>
              <w:t>As the company grows</w:t>
            </w:r>
          </w:p>
        </w:tc>
      </w:tr>
      <w:tr>
        <w:trPr>
          <w:cantSplit/>
        </w:trPr>
        <w:tc>
          <w:tcPr>
            <w:tcW w:type="dxa" w:w="3240"/>
            <w:tcMar>
              <w:top w:w="90" w:type="dxa"/>
              <w:start w:w="120" w:type="dxa"/>
              <w:bottom w:w="90" w:type="dxa"/>
              <w:end w:w="120" w:type="dxa"/>
            </w:tcMar>
            <w:vAlign w:val="center"/>
          </w:tcPr>
          <w:p>
            <w:pPr>
              <w:spacing w:after="0"/>
            </w:pPr>
            <w:r>
              <w:rPr>
                <w:rFonts w:ascii="Arial" w:hAnsi="Arial"/>
                <w:sz w:val="15"/>
              </w:rPr>
              <w:t>Qualified demand is difficult and expensive to generate predictably.</w:t>
            </w:r>
          </w:p>
        </w:tc>
        <w:tc>
          <w:tcPr>
            <w:tcW w:type="dxa" w:w="3240"/>
            <w:tcMar>
              <w:top w:w="90" w:type="dxa"/>
              <w:start w:w="120" w:type="dxa"/>
              <w:bottom w:w="90" w:type="dxa"/>
              <w:end w:w="120" w:type="dxa"/>
            </w:tcMar>
            <w:vAlign w:val="center"/>
          </w:tcPr>
          <w:p>
            <w:pPr>
              <w:spacing w:after="0"/>
            </w:pPr>
            <w:r>
              <w:rPr>
                <w:rFonts w:ascii="Arial" w:hAnsi="Arial"/>
                <w:sz w:val="15"/>
              </w:rPr>
              <w:t>Slow response, inconsistent follow-up, missed matches and unclear next actions leak value.</w:t>
            </w:r>
          </w:p>
        </w:tc>
        <w:tc>
          <w:tcPr>
            <w:tcW w:type="dxa" w:w="3240"/>
            <w:tcMar>
              <w:top w:w="90" w:type="dxa"/>
              <w:start w:w="120" w:type="dxa"/>
              <w:bottom w:w="90" w:type="dxa"/>
              <w:end w:w="120" w:type="dxa"/>
            </w:tcMar>
            <w:vAlign w:val="center"/>
          </w:tcPr>
          <w:p>
            <w:pPr>
              <w:spacing w:after="0"/>
            </w:pPr>
            <w:r>
              <w:rPr>
                <w:rFonts w:ascii="Arial" w:hAnsi="Arial"/>
                <w:sz w:val="15"/>
              </w:rPr>
              <w:t>Human attention and coordination become the bottleneck across more leads, properties, advisors and systems.</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The product opportunity is not “more automation.” It is governed responsibility for work that matters economically.</w:t>
            </w:r>
          </w:p>
        </w:tc>
      </w:tr>
    </w:tbl>
    <w:p>
      <w:pPr>
        <w:spacing w:after="0"/>
      </w:pPr>
    </w:p>
    <w:p>
      <w:pPr>
        <w:pStyle w:val="Heading1"/>
      </w:pPr>
      <w:r>
        <w:t>2. Gu today: the wedge that earned the right to expand</w:t>
      </w:r>
    </w:p>
    <w:p>
      <w:r>
        <w:t>Gu entered through work close to brokerage revenue: engaging buyers and renters, understanding requirements, matching inventory, following up and moving opportunities toward visits. This is a real product foundation, not a discarded prototype.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5"/>
            <w:shd w:fill="21143D"/>
            <w:tcMar>
              <w:top w:w="90" w:type="dxa"/>
              <w:start w:w="120" w:type="dxa"/>
              <w:bottom w:w="90" w:type="dxa"/>
              <w:end w:w="120" w:type="dxa"/>
            </w:tcMar>
            <w:vAlign w:val="center"/>
          </w:tcPr>
          <w:p>
            <w:r>
              <w:rPr>
                <w:rFonts w:ascii="Arial" w:hAnsi="Arial"/>
                <w:b/>
                <w:color w:val="FFFFFF"/>
                <w:sz w:val="16"/>
              </w:rPr>
              <w:t>Current capability</w:t>
            </w:r>
          </w:p>
        </w:tc>
        <w:tc>
          <w:tcPr>
            <w:tcW w:type="dxa" w:w="3492"/>
            <w:shd w:fill="21143D"/>
            <w:tcMar>
              <w:top w:w="90" w:type="dxa"/>
              <w:start w:w="120" w:type="dxa"/>
              <w:bottom w:w="90" w:type="dxa"/>
              <w:end w:w="120" w:type="dxa"/>
            </w:tcMar>
            <w:vAlign w:val="center"/>
          </w:tcPr>
          <w:p>
            <w:r>
              <w:rPr>
                <w:rFonts w:ascii="Arial" w:hAnsi="Arial"/>
                <w:b/>
                <w:color w:val="FFFFFF"/>
                <w:sz w:val="16"/>
              </w:rPr>
              <w:t>Current limit</w:t>
            </w:r>
          </w:p>
        </w:tc>
        <w:tc>
          <w:tcPr>
            <w:tcW w:type="dxa" w:w="3492"/>
            <w:shd w:fill="21143D"/>
            <w:tcMar>
              <w:top w:w="90" w:type="dxa"/>
              <w:start w:w="120" w:type="dxa"/>
              <w:bottom w:w="90" w:type="dxa"/>
              <w:end w:w="120" w:type="dxa"/>
            </w:tcMar>
            <w:vAlign w:val="center"/>
          </w:tcPr>
          <w:p>
            <w:r>
              <w:rPr>
                <w:rFonts w:ascii="Arial" w:hAnsi="Arial"/>
                <w:b/>
                <w:color w:val="FFFFFF"/>
                <w:sz w:val="16"/>
              </w:rPr>
              <w:t>Direction</w:t>
            </w:r>
          </w:p>
        </w:tc>
      </w:tr>
      <w:tr>
        <w:trPr>
          <w:cantSplit/>
        </w:trPr>
        <w:tc>
          <w:tcPr>
            <w:tcW w:type="dxa" w:w="2735"/>
            <w:tcMar>
              <w:top w:w="90" w:type="dxa"/>
              <w:start w:w="120" w:type="dxa"/>
              <w:bottom w:w="90" w:type="dxa"/>
              <w:end w:w="120" w:type="dxa"/>
            </w:tcMar>
            <w:vAlign w:val="center"/>
          </w:tcPr>
          <w:p>
            <w:pPr>
              <w:spacing w:after="0"/>
            </w:pPr>
            <w:r>
              <w:rPr>
                <w:rFonts w:ascii="Arial" w:hAnsi="Arial"/>
                <w:sz w:val="15"/>
              </w:rPr>
              <w:t>Engage and profile prospects</w:t>
            </w:r>
          </w:p>
        </w:tc>
        <w:tc>
          <w:tcPr>
            <w:tcW w:type="dxa" w:w="3492"/>
            <w:tcMar>
              <w:top w:w="90" w:type="dxa"/>
              <w:start w:w="120" w:type="dxa"/>
              <w:bottom w:w="90" w:type="dxa"/>
              <w:end w:w="120" w:type="dxa"/>
            </w:tcMar>
            <w:vAlign w:val="center"/>
          </w:tcPr>
          <w:p>
            <w:pPr>
              <w:spacing w:after="0"/>
            </w:pPr>
            <w:r>
              <w:rPr>
                <w:rFonts w:ascii="Arial" w:hAnsi="Arial"/>
                <w:sz w:val="15"/>
              </w:rPr>
              <w:t>The operating responsibility remains fragmented across conversations and systems.</w:t>
            </w:r>
          </w:p>
        </w:tc>
        <w:tc>
          <w:tcPr>
            <w:tcW w:type="dxa" w:w="3492"/>
            <w:tcMar>
              <w:top w:w="90" w:type="dxa"/>
              <w:start w:w="120" w:type="dxa"/>
              <w:bottom w:w="90" w:type="dxa"/>
              <w:end w:w="120" w:type="dxa"/>
            </w:tcMar>
            <w:vAlign w:val="center"/>
          </w:tcPr>
          <w:p>
            <w:pPr>
              <w:spacing w:after="0"/>
            </w:pPr>
            <w:r>
              <w:rPr>
                <w:rFonts w:ascii="Arial" w:hAnsi="Arial"/>
                <w:sz w:val="15"/>
              </w:rPr>
              <w:t>Preserve the proven experience while moving durable responsibility into Gu OS.</w:t>
            </w:r>
          </w:p>
        </w:tc>
      </w:tr>
      <w:tr>
        <w:trPr>
          <w:cantSplit/>
        </w:trPr>
        <w:tc>
          <w:tcPr>
            <w:tcW w:type="dxa" w:w="2735"/>
            <w:tcMar>
              <w:top w:w="90" w:type="dxa"/>
              <w:start w:w="120" w:type="dxa"/>
              <w:bottom w:w="90" w:type="dxa"/>
              <w:end w:w="120" w:type="dxa"/>
            </w:tcMar>
            <w:vAlign w:val="center"/>
            <w:shd w:fill="F5F6F8"/>
          </w:tcPr>
          <w:p>
            <w:pPr>
              <w:spacing w:after="0"/>
            </w:pPr>
            <w:r>
              <w:rPr>
                <w:rFonts w:ascii="Arial" w:hAnsi="Arial"/>
                <w:sz w:val="15"/>
              </w:rPr>
              <w:t>Search brokerage and permitted Shared Inventory</w:t>
            </w:r>
          </w:p>
        </w:tc>
        <w:tc>
          <w:tcPr>
            <w:tcW w:type="dxa" w:w="3492"/>
            <w:tcMar>
              <w:top w:w="90" w:type="dxa"/>
              <w:start w:w="120" w:type="dxa"/>
              <w:bottom w:w="90" w:type="dxa"/>
              <w:end w:w="120" w:type="dxa"/>
            </w:tcMar>
            <w:vAlign w:val="center"/>
            <w:shd w:fill="F5F6F8"/>
          </w:tcPr>
          <w:p>
            <w:pPr>
              <w:spacing w:after="0"/>
            </w:pPr>
            <w:r>
              <w:rPr>
                <w:rFonts w:ascii="Arial" w:hAnsi="Arial"/>
                <w:sz w:val="15"/>
              </w:rPr>
              <w:t>A match or message does not itself maintain opportunity continuity.</w:t>
            </w:r>
          </w:p>
        </w:tc>
        <w:tc>
          <w:tcPr>
            <w:tcW w:type="dxa" w:w="3492"/>
            <w:tcMar>
              <w:top w:w="90" w:type="dxa"/>
              <w:start w:w="120" w:type="dxa"/>
              <w:bottom w:w="90" w:type="dxa"/>
              <w:end w:w="120" w:type="dxa"/>
            </w:tcMar>
            <w:vAlign w:val="center"/>
            <w:shd w:fill="F5F6F8"/>
          </w:tcPr>
          <w:p>
            <w:pPr>
              <w:spacing w:after="0"/>
            </w:pPr>
            <w:r>
              <w:rPr>
                <w:rFonts w:ascii="Arial" w:hAnsi="Arial"/>
                <w:sz w:val="15"/>
              </w:rPr>
              <w:t>Use live opportunity state, events and evidence to decide useful next work.</w:t>
            </w:r>
          </w:p>
        </w:tc>
      </w:tr>
      <w:tr>
        <w:trPr>
          <w:cantSplit/>
        </w:trPr>
        <w:tc>
          <w:tcPr>
            <w:tcW w:type="dxa" w:w="2735"/>
            <w:tcMar>
              <w:top w:w="90" w:type="dxa"/>
              <w:start w:w="120" w:type="dxa"/>
              <w:bottom w:w="90" w:type="dxa"/>
              <w:end w:w="120" w:type="dxa"/>
            </w:tcMar>
            <w:vAlign w:val="center"/>
          </w:tcPr>
          <w:p>
            <w:pPr>
              <w:spacing w:after="0"/>
            </w:pPr>
            <w:r>
              <w:rPr>
                <w:rFonts w:ascii="Arial" w:hAnsi="Arial"/>
                <w:sz w:val="15"/>
              </w:rPr>
              <w:t>Rules-based follow-up and visit support</w:t>
            </w:r>
          </w:p>
        </w:tc>
        <w:tc>
          <w:tcPr>
            <w:tcW w:type="dxa" w:w="3492"/>
            <w:tcMar>
              <w:top w:w="90" w:type="dxa"/>
              <w:start w:w="120" w:type="dxa"/>
              <w:bottom w:w="90" w:type="dxa"/>
              <w:end w:w="120" w:type="dxa"/>
            </w:tcMar>
            <w:vAlign w:val="center"/>
          </w:tcPr>
          <w:p>
            <w:pPr>
              <w:spacing w:after="0"/>
            </w:pPr>
            <w:r>
              <w:rPr>
                <w:rFonts w:ascii="Arial" w:hAnsi="Arial"/>
                <w:sz w:val="15"/>
              </w:rPr>
              <w:t>Fixed rules cannot express every situational reason to act, wait, watch or involve a person.</w:t>
            </w:r>
          </w:p>
        </w:tc>
        <w:tc>
          <w:tcPr>
            <w:tcW w:type="dxa" w:w="3492"/>
            <w:tcMar>
              <w:top w:w="90" w:type="dxa"/>
              <w:start w:w="120" w:type="dxa"/>
              <w:bottom w:w="90" w:type="dxa"/>
              <w:end w:w="120" w:type="dxa"/>
            </w:tcMar>
            <w:vAlign w:val="center"/>
          </w:tcPr>
          <w:p>
            <w:pPr>
              <w:spacing w:after="0"/>
            </w:pPr>
            <w:r>
              <w:rPr>
                <w:rFonts w:ascii="Arial" w:hAnsi="Arial"/>
                <w:sz w:val="15"/>
              </w:rPr>
              <w:t>Relationship Operations: situational progression inside a durable Lead Opportunity Case.</w:t>
            </w:r>
          </w:p>
        </w:tc>
      </w:tr>
    </w:tbl>
    <w:p>
      <w:pPr>
        <w:spacing w:after="0"/>
      </w:pPr>
    </w:p>
    <w:p>
      <w:pPr>
        <w:pStyle w:val="SourceNote"/>
        <w:spacing w:before="20" w:after="100"/>
      </w:pPr>
      <w:r>
        <w:rPr>
          <w:i/>
        </w:rPr>
        <w:t>Source basis: Product PRD §§4 and 8.3; Roadmap R1.</w:t>
      </w:r>
    </w:p>
    <w:p>
      <w:pPr>
        <w:pStyle w:val="Heading1"/>
      </w:pPr>
      <w:r>
        <w:t>3. Gu, Gu OS and the external world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328"/>
            <w:shd w:fill="21143D"/>
            <w:tcMar>
              <w:top w:w="90" w:type="dxa"/>
              <w:start w:w="120" w:type="dxa"/>
              <w:bottom w:w="90" w:type="dxa"/>
              <w:end w:w="120" w:type="dxa"/>
            </w:tcMar>
            <w:vAlign w:val="center"/>
          </w:tcPr>
          <w:p>
            <w:r>
              <w:rPr>
                <w:rFonts w:ascii="Arial" w:hAnsi="Arial"/>
                <w:b/>
                <w:color w:val="FFFFFF"/>
                <w:sz w:val="16"/>
              </w:rPr>
              <w:t>Layer</w:t>
            </w:r>
          </w:p>
        </w:tc>
        <w:tc>
          <w:tcPr>
            <w:tcW w:type="dxa" w:w="4195"/>
            <w:shd w:fill="21143D"/>
            <w:tcMar>
              <w:top w:w="90" w:type="dxa"/>
              <w:start w:w="120" w:type="dxa"/>
              <w:bottom w:w="90" w:type="dxa"/>
              <w:end w:w="120" w:type="dxa"/>
            </w:tcMar>
            <w:vAlign w:val="center"/>
          </w:tcPr>
          <w:p>
            <w:r>
              <w:rPr>
                <w:rFonts w:ascii="Arial" w:hAnsi="Arial"/>
                <w:b/>
                <w:color w:val="FFFFFF"/>
                <w:sz w:val="16"/>
              </w:rPr>
              <w:t>Meaning</w:t>
            </w:r>
          </w:p>
        </w:tc>
        <w:tc>
          <w:tcPr>
            <w:tcW w:type="dxa" w:w="4195"/>
            <w:shd w:fill="21143D"/>
            <w:tcMar>
              <w:top w:w="90" w:type="dxa"/>
              <w:start w:w="120" w:type="dxa"/>
              <w:bottom w:w="90" w:type="dxa"/>
              <w:end w:w="120" w:type="dxa"/>
            </w:tcMar>
            <w:vAlign w:val="center"/>
          </w:tcPr>
          <w:p>
            <w:r>
              <w:rPr>
                <w:rFonts w:ascii="Arial" w:hAnsi="Arial"/>
                <w:b/>
                <w:color w:val="FFFFFF"/>
                <w:sz w:val="16"/>
              </w:rPr>
              <w:t>User-facing implication</w:t>
            </w:r>
          </w:p>
        </w:tc>
      </w:tr>
      <w:tr>
        <w:trPr>
          <w:cantSplit/>
        </w:trPr>
        <w:tc>
          <w:tcPr>
            <w:tcW w:type="dxa" w:w="1328"/>
            <w:tcMar>
              <w:top w:w="90" w:type="dxa"/>
              <w:start w:w="120" w:type="dxa"/>
              <w:bottom w:w="90" w:type="dxa"/>
              <w:end w:w="120" w:type="dxa"/>
            </w:tcMar>
            <w:vAlign w:val="center"/>
          </w:tcPr>
          <w:p>
            <w:pPr>
              <w:spacing w:after="0"/>
            </w:pPr>
            <w:r>
              <w:rPr>
                <w:rFonts w:ascii="Arial" w:hAnsi="Arial"/>
                <w:sz w:val="15"/>
              </w:rPr>
              <w:t>Gu</w:t>
            </w:r>
          </w:p>
        </w:tc>
        <w:tc>
          <w:tcPr>
            <w:tcW w:type="dxa" w:w="4195"/>
            <w:tcMar>
              <w:top w:w="90" w:type="dxa"/>
              <w:start w:w="120" w:type="dxa"/>
              <w:bottom w:w="90" w:type="dxa"/>
              <w:end w:w="120" w:type="dxa"/>
            </w:tcMar>
            <w:vAlign w:val="center"/>
          </w:tcPr>
          <w:p>
            <w:pPr>
              <w:spacing w:after="0"/>
            </w:pPr>
            <w:r>
              <w:rPr>
                <w:rFonts w:ascii="Arial" w:hAnsi="Arial"/>
                <w:sz w:val="15"/>
              </w:rPr>
              <w:t>The AI coworker and continuous relationship the user works with.</w:t>
            </w:r>
          </w:p>
        </w:tc>
        <w:tc>
          <w:tcPr>
            <w:tcW w:type="dxa" w:w="4195"/>
            <w:tcMar>
              <w:top w:w="90" w:type="dxa"/>
              <w:start w:w="120" w:type="dxa"/>
              <w:bottom w:w="90" w:type="dxa"/>
              <w:end w:w="120" w:type="dxa"/>
            </w:tcMar>
            <w:vAlign w:val="center"/>
          </w:tcPr>
          <w:p>
            <w:pPr>
              <w:spacing w:after="0"/>
            </w:pPr>
            <w:r>
              <w:rPr>
                <w:rFonts w:ascii="Arial" w:hAnsi="Arial"/>
                <w:sz w:val="15"/>
              </w:rPr>
              <w:t>One identity and interaction model, not a catalog of bots.</w:t>
            </w:r>
          </w:p>
        </w:tc>
      </w:tr>
      <w:tr>
        <w:trPr>
          <w:cantSplit/>
        </w:trPr>
        <w:tc>
          <w:tcPr>
            <w:tcW w:type="dxa" w:w="1328"/>
            <w:tcMar>
              <w:top w:w="90" w:type="dxa"/>
              <w:start w:w="120" w:type="dxa"/>
              <w:bottom w:w="90" w:type="dxa"/>
              <w:end w:w="120" w:type="dxa"/>
            </w:tcMar>
            <w:vAlign w:val="center"/>
            <w:shd w:fill="F5F6F8"/>
          </w:tcPr>
          <w:p>
            <w:pPr>
              <w:spacing w:after="0"/>
            </w:pPr>
            <w:r>
              <w:rPr>
                <w:rFonts w:ascii="Arial" w:hAnsi="Arial"/>
                <w:sz w:val="15"/>
              </w:rPr>
              <w:t>Gu OS</w:t>
            </w:r>
          </w:p>
        </w:tc>
        <w:tc>
          <w:tcPr>
            <w:tcW w:type="dxa" w:w="4195"/>
            <w:tcMar>
              <w:top w:w="90" w:type="dxa"/>
              <w:start w:w="120" w:type="dxa"/>
              <w:bottom w:w="90" w:type="dxa"/>
              <w:end w:w="120" w:type="dxa"/>
            </w:tcMar>
            <w:vAlign w:val="center"/>
            <w:shd w:fill="F5F6F8"/>
          </w:tcPr>
          <w:p>
            <w:pPr>
              <w:spacing w:after="0"/>
            </w:pPr>
            <w:r>
              <w:rPr>
                <w:rFonts w:ascii="Arial" w:hAnsi="Arial"/>
                <w:sz w:val="15"/>
              </w:rPr>
              <w:t>The vertical operating environment that maintains truth, context, coordination, execution, authority and evidence.</w:t>
            </w:r>
          </w:p>
        </w:tc>
        <w:tc>
          <w:tcPr>
            <w:tcW w:type="dxa" w:w="4195"/>
            <w:tcMar>
              <w:top w:w="90" w:type="dxa"/>
              <w:start w:w="120" w:type="dxa"/>
              <w:bottom w:w="90" w:type="dxa"/>
              <w:end w:w="120" w:type="dxa"/>
            </w:tcMar>
            <w:vAlign w:val="center"/>
            <w:shd w:fill="F5F6F8"/>
          </w:tcPr>
          <w:p>
            <w:pPr>
              <w:spacing w:after="0"/>
            </w:pPr>
            <w:r>
              <w:rPr>
                <w:rFonts w:ascii="Arial" w:hAnsi="Arial"/>
                <w:sz w:val="15"/>
              </w:rPr>
              <w:t>Complexity remains behind Gu while work becomes increasingly delegable.</w:t>
            </w:r>
          </w:p>
        </w:tc>
      </w:tr>
      <w:tr>
        <w:trPr>
          <w:cantSplit/>
        </w:trPr>
        <w:tc>
          <w:tcPr>
            <w:tcW w:type="dxa" w:w="1328"/>
            <w:tcMar>
              <w:top w:w="90" w:type="dxa"/>
              <w:start w:w="120" w:type="dxa"/>
              <w:bottom w:w="90" w:type="dxa"/>
              <w:end w:w="120" w:type="dxa"/>
            </w:tcMar>
            <w:vAlign w:val="center"/>
          </w:tcPr>
          <w:p>
            <w:pPr>
              <w:spacing w:after="0"/>
            </w:pPr>
            <w:r>
              <w:rPr>
                <w:rFonts w:ascii="Arial" w:hAnsi="Arial"/>
                <w:sz w:val="15"/>
              </w:rPr>
              <w:t>Network &amp; Ecosystem</w:t>
            </w:r>
          </w:p>
        </w:tc>
        <w:tc>
          <w:tcPr>
            <w:tcW w:type="dxa" w:w="4195"/>
            <w:tcMar>
              <w:top w:w="90" w:type="dxa"/>
              <w:start w:w="120" w:type="dxa"/>
              <w:bottom w:w="90" w:type="dxa"/>
              <w:end w:w="120" w:type="dxa"/>
            </w:tcMar>
            <w:vAlign w:val="center"/>
          </w:tcPr>
          <w:p>
            <w:pPr>
              <w:spacing w:after="0"/>
            </w:pPr>
            <w:r>
              <w:rPr>
                <w:rFonts w:ascii="Arial" w:hAnsi="Arial"/>
                <w:sz w:val="15"/>
              </w:rPr>
              <w:t>People, inventory, channels, systems and specialist services Gu OS can mobilize.</w:t>
            </w:r>
          </w:p>
        </w:tc>
        <w:tc>
          <w:tcPr>
            <w:tcW w:type="dxa" w:w="4195"/>
            <w:tcMar>
              <w:top w:w="90" w:type="dxa"/>
              <w:start w:w="120" w:type="dxa"/>
              <w:bottom w:w="90" w:type="dxa"/>
              <w:end w:w="120" w:type="dxa"/>
            </w:tcMar>
            <w:vAlign w:val="center"/>
          </w:tcPr>
          <w:p>
            <w:pPr>
              <w:spacing w:after="0"/>
            </w:pPr>
            <w:r>
              <w:rPr>
                <w:rFonts w:ascii="Arial" w:hAnsi="Arial"/>
                <w:sz w:val="15"/>
              </w:rPr>
              <w:t>Reach expands without requiring Ungga to build every underlying capability.</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Commercial architecture: Ungga → Gu → Gu OS. Avoid multiplying product brands for every internal subsystem.</w:t>
            </w:r>
          </w:p>
        </w:tc>
      </w:tr>
    </w:tbl>
    <w:p>
      <w:pPr>
        <w:spacing w:after="0"/>
      </w:pPr>
    </w:p>
    <w:p>
      <w:pPr>
        <w:pStyle w:val="Heading1"/>
      </w:pPr>
      <w:r>
        <w:t>4. Six responsibilities of the product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240"/>
            <w:shd w:fill="21143D"/>
            <w:tcMar>
              <w:top w:w="90" w:type="dxa"/>
              <w:start w:w="120" w:type="dxa"/>
              <w:bottom w:w="90" w:type="dxa"/>
              <w:end w:w="120" w:type="dxa"/>
            </w:tcMar>
            <w:vAlign w:val="center"/>
          </w:tcPr>
          <w:p>
            <w:r>
              <w:rPr>
                <w:rFonts w:ascii="Arial" w:hAnsi="Arial"/>
                <w:b/>
                <w:color w:val="FFFFFF"/>
                <w:sz w:val="16"/>
              </w:rPr>
              <w:t>Responsibility</w:t>
            </w:r>
          </w:p>
        </w:tc>
        <w:tc>
          <w:tcPr>
            <w:tcW w:type="dxa" w:w="6480"/>
            <w:shd w:fill="21143D"/>
            <w:tcMar>
              <w:top w:w="90" w:type="dxa"/>
              <w:start w:w="120" w:type="dxa"/>
              <w:bottom w:w="90" w:type="dxa"/>
              <w:end w:w="120" w:type="dxa"/>
            </w:tcMar>
            <w:vAlign w:val="center"/>
          </w:tcPr>
          <w:p>
            <w:r>
              <w:rPr>
                <w:rFonts w:ascii="Arial" w:hAnsi="Arial"/>
                <w:b/>
                <w:color w:val="FFFFFF"/>
                <w:sz w:val="16"/>
              </w:rPr>
              <w:t>What it means</w:t>
            </w:r>
          </w:p>
        </w:tc>
      </w:tr>
      <w:tr>
        <w:trPr>
          <w:cantSplit/>
        </w:trPr>
        <w:tc>
          <w:tcPr>
            <w:tcW w:type="dxa" w:w="3240"/>
            <w:tcMar>
              <w:top w:w="90" w:type="dxa"/>
              <w:start w:w="120" w:type="dxa"/>
              <w:bottom w:w="90" w:type="dxa"/>
              <w:end w:w="120" w:type="dxa"/>
            </w:tcMar>
            <w:vAlign w:val="center"/>
          </w:tcPr>
          <w:p>
            <w:pPr>
              <w:spacing w:after="0"/>
            </w:pPr>
            <w:r>
              <w:rPr>
                <w:rFonts w:ascii="Arial" w:hAnsi="Arial"/>
                <w:sz w:val="15"/>
              </w:rPr>
              <w:t>1 · Maintain operational state</w:t>
            </w:r>
          </w:p>
        </w:tc>
        <w:tc>
          <w:tcPr>
            <w:tcW w:type="dxa" w:w="6480"/>
            <w:tcMar>
              <w:top w:w="90" w:type="dxa"/>
              <w:start w:w="120" w:type="dxa"/>
              <w:bottom w:w="90" w:type="dxa"/>
              <w:end w:w="120" w:type="dxa"/>
            </w:tcMar>
            <w:vAlign w:val="center"/>
          </w:tcPr>
          <w:p>
            <w:pPr>
              <w:spacing w:after="0"/>
            </w:pPr>
            <w:r>
              <w:rPr>
                <w:rFonts w:ascii="Arial" w:hAnsi="Arial"/>
                <w:sz w:val="15"/>
              </w:rPr>
              <w:t>Important work keeps an explicit, durable state beyond a conversation.</w:t>
            </w:r>
          </w:p>
        </w:tc>
      </w:tr>
      <w:tr>
        <w:trPr>
          <w:cantSplit/>
        </w:trPr>
        <w:tc>
          <w:tcPr>
            <w:tcW w:type="dxa" w:w="3240"/>
            <w:tcMar>
              <w:top w:w="90" w:type="dxa"/>
              <w:start w:w="120" w:type="dxa"/>
              <w:bottom w:w="90" w:type="dxa"/>
              <w:end w:w="120" w:type="dxa"/>
            </w:tcMar>
            <w:vAlign w:val="center"/>
            <w:shd w:fill="F5F6F8"/>
          </w:tcPr>
          <w:p>
            <w:pPr>
              <w:spacing w:after="0"/>
            </w:pPr>
            <w:r>
              <w:rPr>
                <w:rFonts w:ascii="Arial" w:hAnsi="Arial"/>
                <w:sz w:val="15"/>
              </w:rPr>
              <w:t>2 · Understand context</w:t>
            </w:r>
          </w:p>
        </w:tc>
        <w:tc>
          <w:tcPr>
            <w:tcW w:type="dxa" w:w="6480"/>
            <w:tcMar>
              <w:top w:w="90" w:type="dxa"/>
              <w:start w:w="120" w:type="dxa"/>
              <w:bottom w:w="90" w:type="dxa"/>
              <w:end w:w="120" w:type="dxa"/>
            </w:tcMar>
            <w:vAlign w:val="center"/>
            <w:shd w:fill="F5F6F8"/>
          </w:tcPr>
          <w:p>
            <w:pPr>
              <w:spacing w:after="0"/>
            </w:pPr>
            <w:r>
              <w:rPr>
                <w:rFonts w:ascii="Arial" w:hAnsi="Arial"/>
                <w:sz w:val="15"/>
              </w:rPr>
              <w:t>Gu uses relevant business, company and user knowledge with scope and provenance.</w:t>
            </w:r>
          </w:p>
        </w:tc>
      </w:tr>
      <w:tr>
        <w:trPr>
          <w:cantSplit/>
        </w:trPr>
        <w:tc>
          <w:tcPr>
            <w:tcW w:type="dxa" w:w="3240"/>
            <w:tcMar>
              <w:top w:w="90" w:type="dxa"/>
              <w:start w:w="120" w:type="dxa"/>
              <w:bottom w:w="90" w:type="dxa"/>
              <w:end w:w="120" w:type="dxa"/>
            </w:tcMar>
            <w:vAlign w:val="center"/>
          </w:tcPr>
          <w:p>
            <w:pPr>
              <w:spacing w:after="0"/>
            </w:pPr>
            <w:r>
              <w:rPr>
                <w:rFonts w:ascii="Arial" w:hAnsi="Arial"/>
                <w:sz w:val="15"/>
              </w:rPr>
              <w:t>3 · Decide and coordinate</w:t>
            </w:r>
          </w:p>
        </w:tc>
        <w:tc>
          <w:tcPr>
            <w:tcW w:type="dxa" w:w="6480"/>
            <w:tcMar>
              <w:top w:w="90" w:type="dxa"/>
              <w:start w:w="120" w:type="dxa"/>
              <w:bottom w:w="90" w:type="dxa"/>
              <w:end w:w="120" w:type="dxa"/>
            </w:tcMar>
            <w:vAlign w:val="center"/>
          </w:tcPr>
          <w:p>
            <w:pPr>
              <w:spacing w:after="0"/>
            </w:pPr>
            <w:r>
              <w:rPr>
                <w:rFonts w:ascii="Arial" w:hAnsi="Arial"/>
                <w:sz w:val="15"/>
              </w:rPr>
              <w:t>Gu determines useful next work within policies, dependencies and authority.</w:t>
            </w:r>
          </w:p>
        </w:tc>
      </w:tr>
      <w:tr>
        <w:trPr>
          <w:cantSplit/>
        </w:trPr>
        <w:tc>
          <w:tcPr>
            <w:tcW w:type="dxa" w:w="3240"/>
            <w:tcMar>
              <w:top w:w="90" w:type="dxa"/>
              <w:start w:w="120" w:type="dxa"/>
              <w:bottom w:w="90" w:type="dxa"/>
              <w:end w:w="120" w:type="dxa"/>
            </w:tcMar>
            <w:vAlign w:val="center"/>
            <w:shd w:fill="F5F6F8"/>
          </w:tcPr>
          <w:p>
            <w:pPr>
              <w:spacing w:after="0"/>
            </w:pPr>
            <w:r>
              <w:rPr>
                <w:rFonts w:ascii="Arial" w:hAnsi="Arial"/>
                <w:sz w:val="15"/>
              </w:rPr>
              <w:t>4 · Execute</w:t>
            </w:r>
          </w:p>
        </w:tc>
        <w:tc>
          <w:tcPr>
            <w:tcW w:type="dxa" w:w="6480"/>
            <w:tcMar>
              <w:top w:w="90" w:type="dxa"/>
              <w:start w:w="120" w:type="dxa"/>
              <w:bottom w:w="90" w:type="dxa"/>
              <w:end w:w="120" w:type="dxa"/>
            </w:tcMar>
            <w:vAlign w:val="center"/>
            <w:shd w:fill="F5F6F8"/>
          </w:tcPr>
          <w:p>
            <w:pPr>
              <w:spacing w:after="0"/>
            </w:pPr>
            <w:r>
              <w:rPr>
                <w:rFonts w:ascii="Arial" w:hAnsi="Arial"/>
                <w:sz w:val="15"/>
              </w:rPr>
              <w:t>Skills, tools, services, humans and providers perform bounded capabilities.</w:t>
            </w:r>
          </w:p>
        </w:tc>
      </w:tr>
      <w:tr>
        <w:trPr>
          <w:cantSplit/>
        </w:trPr>
        <w:tc>
          <w:tcPr>
            <w:tcW w:type="dxa" w:w="3240"/>
            <w:tcMar>
              <w:top w:w="90" w:type="dxa"/>
              <w:start w:w="120" w:type="dxa"/>
              <w:bottom w:w="90" w:type="dxa"/>
              <w:end w:w="120" w:type="dxa"/>
            </w:tcMar>
            <w:vAlign w:val="center"/>
          </w:tcPr>
          <w:p>
            <w:pPr>
              <w:spacing w:after="0"/>
            </w:pPr>
            <w:r>
              <w:rPr>
                <w:rFonts w:ascii="Arial" w:hAnsi="Arial"/>
                <w:sz w:val="15"/>
              </w:rPr>
              <w:t>5 · Involve humans</w:t>
            </w:r>
          </w:p>
        </w:tc>
        <w:tc>
          <w:tcPr>
            <w:tcW w:type="dxa" w:w="6480"/>
            <w:tcMar>
              <w:top w:w="90" w:type="dxa"/>
              <w:start w:w="120" w:type="dxa"/>
              <w:bottom w:w="90" w:type="dxa"/>
              <w:end w:w="120" w:type="dxa"/>
            </w:tcMar>
            <w:vAlign w:val="center"/>
          </w:tcPr>
          <w:p>
            <w:pPr>
              <w:spacing w:after="0"/>
            </w:pPr>
            <w:r>
              <w:rPr>
                <w:rFonts w:ascii="Arial" w:hAnsi="Arial"/>
                <w:sz w:val="15"/>
              </w:rPr>
              <w:t>Judgment, relationship, contribution and authority enter deliberately.</w:t>
            </w:r>
          </w:p>
        </w:tc>
      </w:tr>
      <w:tr>
        <w:trPr>
          <w:cantSplit/>
        </w:trPr>
        <w:tc>
          <w:tcPr>
            <w:tcW w:type="dxa" w:w="3240"/>
            <w:tcMar>
              <w:top w:w="90" w:type="dxa"/>
              <w:start w:w="120" w:type="dxa"/>
              <w:bottom w:w="90" w:type="dxa"/>
              <w:end w:w="120" w:type="dxa"/>
            </w:tcMar>
            <w:vAlign w:val="center"/>
            <w:shd w:fill="F5F6F8"/>
          </w:tcPr>
          <w:p>
            <w:pPr>
              <w:spacing w:after="0"/>
            </w:pPr>
            <w:r>
              <w:rPr>
                <w:rFonts w:ascii="Arial" w:hAnsi="Arial"/>
                <w:sz w:val="15"/>
              </w:rPr>
              <w:t>6 · Close with evidence</w:t>
            </w:r>
          </w:p>
        </w:tc>
        <w:tc>
          <w:tcPr>
            <w:tcW w:type="dxa" w:w="6480"/>
            <w:tcMar>
              <w:top w:w="90" w:type="dxa"/>
              <w:start w:w="120" w:type="dxa"/>
              <w:bottom w:w="90" w:type="dxa"/>
              <w:end w:w="120" w:type="dxa"/>
            </w:tcMar>
            <w:vAlign w:val="center"/>
            <w:shd w:fill="F5F6F8"/>
          </w:tcPr>
          <w:p>
            <w:pPr>
              <w:spacing w:after="0"/>
            </w:pPr>
            <w:r>
              <w:rPr>
                <w:rFonts w:ascii="Arial" w:hAnsi="Arial"/>
                <w:sz w:val="15"/>
              </w:rPr>
              <w:t>Consequential work closes on admissible outcomes, not fluent claims or activity.</w:t>
            </w:r>
          </w:p>
        </w:tc>
      </w:tr>
    </w:tbl>
    <w:p>
      <w:pPr>
        <w:spacing w:after="0"/>
      </w:pPr>
    </w:p>
    <w:p>
      <w:pPr>
        <w:pStyle w:val="SourceNote"/>
        <w:spacing w:before="20" w:after="100"/>
      </w:pPr>
      <w:r>
        <w:rPr>
          <w:i/>
        </w:rPr>
        <w:t>Source basis: Product PRD §5.</w:t>
      </w:r>
    </w:p>
    <w:p>
      <w:pPr>
        <w:pStyle w:val="Heading1"/>
      </w:pPr>
      <w:r>
        <w:t>5. Bounded work, durable responsibility and durable roots</w:t>
      </w:r>
    </w:p>
    <w:p>
      <w:r>
        <w:t>Not every useful request becomes a Case. The smallest sufficient abstraction depends on the kind of truth that must survive.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63"/>
            <w:shd w:fill="21143D"/>
            <w:tcMar>
              <w:top w:w="90" w:type="dxa"/>
              <w:start w:w="120" w:type="dxa"/>
              <w:bottom w:w="90" w:type="dxa"/>
              <w:end w:w="120" w:type="dxa"/>
            </w:tcMar>
            <w:vAlign w:val="center"/>
          </w:tcPr>
          <w:p>
            <w:r>
              <w:rPr>
                <w:rFonts w:ascii="Arial" w:hAnsi="Arial"/>
                <w:b/>
                <w:color w:val="FFFFFF"/>
                <w:sz w:val="16"/>
              </w:rPr>
              <w:t>Root / construct</w:t>
            </w:r>
          </w:p>
        </w:tc>
        <w:tc>
          <w:tcPr>
            <w:tcW w:type="dxa" w:w="4078"/>
            <w:shd w:fill="21143D"/>
            <w:tcMar>
              <w:top w:w="90" w:type="dxa"/>
              <w:start w:w="120" w:type="dxa"/>
              <w:bottom w:w="90" w:type="dxa"/>
              <w:end w:w="120" w:type="dxa"/>
            </w:tcMar>
            <w:vAlign w:val="center"/>
          </w:tcPr>
          <w:p>
            <w:r>
              <w:rPr>
                <w:rFonts w:ascii="Arial" w:hAnsi="Arial"/>
                <w:b/>
                <w:color w:val="FFFFFF"/>
                <w:sz w:val="16"/>
              </w:rPr>
              <w:t>Question it owns</w:t>
            </w:r>
          </w:p>
        </w:tc>
        <w:tc>
          <w:tcPr>
            <w:tcW w:type="dxa" w:w="4078"/>
            <w:shd w:fill="21143D"/>
            <w:tcMar>
              <w:top w:w="90" w:type="dxa"/>
              <w:start w:w="120" w:type="dxa"/>
              <w:bottom w:w="90" w:type="dxa"/>
              <w:end w:w="120" w:type="dxa"/>
            </w:tcMar>
            <w:vAlign w:val="center"/>
          </w:tcPr>
          <w:p>
            <w:r>
              <w:rPr>
                <w:rFonts w:ascii="Arial" w:hAnsi="Arial"/>
                <w:b/>
                <w:color w:val="FFFFFF"/>
                <w:sz w:val="16"/>
              </w:rPr>
              <w:t>Example</w:t>
            </w:r>
          </w:p>
        </w:tc>
      </w:tr>
      <w:tr>
        <w:trPr>
          <w:cantSplit/>
        </w:trPr>
        <w:tc>
          <w:tcPr>
            <w:tcW w:type="dxa" w:w="1563"/>
            <w:tcMar>
              <w:top w:w="90" w:type="dxa"/>
              <w:start w:w="120" w:type="dxa"/>
              <w:bottom w:w="90" w:type="dxa"/>
              <w:end w:w="120" w:type="dxa"/>
            </w:tcMar>
            <w:vAlign w:val="center"/>
          </w:tcPr>
          <w:p>
            <w:pPr>
              <w:spacing w:after="0"/>
            </w:pPr>
            <w:r>
              <w:rPr>
                <w:rFonts w:ascii="Arial" w:hAnsi="Arial"/>
                <w:sz w:val="15"/>
              </w:rPr>
              <w:t>One-turn / bounded work</w:t>
            </w:r>
          </w:p>
        </w:tc>
        <w:tc>
          <w:tcPr>
            <w:tcW w:type="dxa" w:w="4078"/>
            <w:tcMar>
              <w:top w:w="90" w:type="dxa"/>
              <w:start w:w="120" w:type="dxa"/>
              <w:bottom w:w="90" w:type="dxa"/>
              <w:end w:w="120" w:type="dxa"/>
            </w:tcMar>
            <w:vAlign w:val="center"/>
          </w:tcPr>
          <w:p>
            <w:pPr>
              <w:spacing w:after="0"/>
            </w:pPr>
            <w:r>
              <w:rPr>
                <w:rFonts w:ascii="Arial" w:hAnsi="Arial"/>
                <w:sz w:val="15"/>
              </w:rPr>
              <w:t>Can the request be completed now without remaining responsibility?</w:t>
            </w:r>
          </w:p>
        </w:tc>
        <w:tc>
          <w:tcPr>
            <w:tcW w:type="dxa" w:w="4078"/>
            <w:tcMar>
              <w:top w:w="90" w:type="dxa"/>
              <w:start w:w="120" w:type="dxa"/>
              <w:bottom w:w="90" w:type="dxa"/>
              <w:end w:w="120" w:type="dxa"/>
            </w:tcMar>
            <w:vAlign w:val="center"/>
          </w:tcPr>
          <w:p>
            <w:pPr>
              <w:spacing w:after="0"/>
            </w:pPr>
            <w:r>
              <w:rPr>
                <w:rFonts w:ascii="Arial" w:hAnsi="Arial"/>
                <w:sz w:val="15"/>
              </w:rPr>
              <w:t>Compare five properties for a buyer.</w:t>
            </w:r>
          </w:p>
        </w:tc>
      </w:tr>
      <w:tr>
        <w:trPr>
          <w:cantSplit/>
        </w:trPr>
        <w:tc>
          <w:tcPr>
            <w:tcW w:type="dxa" w:w="1563"/>
            <w:tcMar>
              <w:top w:w="90" w:type="dxa"/>
              <w:start w:w="120" w:type="dxa"/>
              <w:bottom w:w="90" w:type="dxa"/>
              <w:end w:w="120" w:type="dxa"/>
            </w:tcMar>
            <w:vAlign w:val="center"/>
            <w:shd w:fill="F5F6F8"/>
          </w:tcPr>
          <w:p>
            <w:pPr>
              <w:spacing w:after="0"/>
            </w:pPr>
            <w:r>
              <w:rPr>
                <w:rFonts w:ascii="Arial" w:hAnsi="Arial"/>
                <w:sz w:val="15"/>
              </w:rPr>
              <w:t>Case</w:t>
            </w:r>
          </w:p>
        </w:tc>
        <w:tc>
          <w:tcPr>
            <w:tcW w:type="dxa" w:w="4078"/>
            <w:tcMar>
              <w:top w:w="90" w:type="dxa"/>
              <w:start w:w="120" w:type="dxa"/>
              <w:bottom w:w="90" w:type="dxa"/>
              <w:end w:w="120" w:type="dxa"/>
            </w:tcMar>
            <w:vAlign w:val="center"/>
            <w:shd w:fill="F5F6F8"/>
          </w:tcPr>
          <w:p>
            <w:pPr>
              <w:spacing w:after="0"/>
            </w:pPr>
            <w:r>
              <w:rPr>
                <w:rFonts w:ascii="Arial" w:hAnsi="Arial"/>
                <w:sz w:val="15"/>
              </w:rPr>
              <w:t>What is commercially or operationally true about this entity or process now?</w:t>
            </w:r>
          </w:p>
        </w:tc>
        <w:tc>
          <w:tcPr>
            <w:tcW w:type="dxa" w:w="4078"/>
            <w:tcMar>
              <w:top w:w="90" w:type="dxa"/>
              <w:start w:w="120" w:type="dxa"/>
              <w:bottom w:w="90" w:type="dxa"/>
              <w:end w:w="120" w:type="dxa"/>
            </w:tcMar>
            <w:vAlign w:val="center"/>
            <w:shd w:fill="F5F6F8"/>
          </w:tcPr>
          <w:p>
            <w:pPr>
              <w:spacing w:after="0"/>
            </w:pPr>
            <w:r>
              <w:rPr>
                <w:rFonts w:ascii="Arial" w:hAnsi="Arial"/>
                <w:sz w:val="15"/>
              </w:rPr>
              <w:t>Keep this opportunity moving toward its best achievable outcome.</w:t>
            </w:r>
          </w:p>
        </w:tc>
      </w:tr>
      <w:tr>
        <w:trPr>
          <w:cantSplit/>
        </w:trPr>
        <w:tc>
          <w:tcPr>
            <w:tcW w:type="dxa" w:w="1563"/>
            <w:tcMar>
              <w:top w:w="90" w:type="dxa"/>
              <w:start w:w="120" w:type="dxa"/>
              <w:bottom w:w="90" w:type="dxa"/>
              <w:end w:w="120" w:type="dxa"/>
            </w:tcMar>
            <w:vAlign w:val="center"/>
          </w:tcPr>
          <w:p>
            <w:pPr>
              <w:spacing w:after="0"/>
            </w:pPr>
            <w:r>
              <w:rPr>
                <w:rFonts w:ascii="Arial" w:hAnsi="Arial"/>
                <w:sz w:val="15"/>
              </w:rPr>
              <w:t>Durable Task</w:t>
            </w:r>
          </w:p>
        </w:tc>
        <w:tc>
          <w:tcPr>
            <w:tcW w:type="dxa" w:w="4078"/>
            <w:tcMar>
              <w:top w:w="90" w:type="dxa"/>
              <w:start w:w="120" w:type="dxa"/>
              <w:bottom w:w="90" w:type="dxa"/>
              <w:end w:w="120" w:type="dxa"/>
            </w:tcMar>
            <w:vAlign w:val="center"/>
          </w:tcPr>
          <w:p>
            <w:pPr>
              <w:spacing w:after="0"/>
            </w:pPr>
            <w:r>
              <w:rPr>
                <w:rFonts w:ascii="Arial" w:hAnsi="Arial"/>
                <w:sz w:val="15"/>
              </w:rPr>
              <w:t>How is this independent job progressing and what did it deliver?</w:t>
            </w:r>
          </w:p>
        </w:tc>
        <w:tc>
          <w:tcPr>
            <w:tcW w:type="dxa" w:w="4078"/>
            <w:tcMar>
              <w:top w:w="90" w:type="dxa"/>
              <w:start w:w="120" w:type="dxa"/>
              <w:bottom w:w="90" w:type="dxa"/>
              <w:end w:w="120" w:type="dxa"/>
            </w:tcMar>
            <w:vAlign w:val="center"/>
          </w:tcPr>
          <w:p>
            <w:pPr>
              <w:spacing w:after="0"/>
            </w:pPr>
            <w:r>
              <w:rPr>
                <w:rFonts w:ascii="Arial" w:hAnsi="Arial"/>
                <w:sz w:val="15"/>
              </w:rPr>
              <w:t>Process a bounded document batch that is not itself a commercial dossier.</w:t>
            </w:r>
          </w:p>
        </w:tc>
      </w:tr>
      <w:tr>
        <w:trPr>
          <w:cantSplit/>
        </w:trPr>
        <w:tc>
          <w:tcPr>
            <w:tcW w:type="dxa" w:w="1563"/>
            <w:tcMar>
              <w:top w:w="90" w:type="dxa"/>
              <w:start w:w="120" w:type="dxa"/>
              <w:bottom w:w="90" w:type="dxa"/>
              <w:end w:w="120" w:type="dxa"/>
            </w:tcMar>
            <w:vAlign w:val="center"/>
            <w:shd w:fill="F5F6F8"/>
          </w:tcPr>
          <w:p>
            <w:pPr>
              <w:spacing w:after="0"/>
            </w:pPr>
            <w:r>
              <w:rPr>
                <w:rFonts w:ascii="Arial" w:hAnsi="Arial"/>
                <w:sz w:val="15"/>
              </w:rPr>
              <w:t>Skill</w:t>
            </w:r>
          </w:p>
        </w:tc>
        <w:tc>
          <w:tcPr>
            <w:tcW w:type="dxa" w:w="4078"/>
            <w:tcMar>
              <w:top w:w="90" w:type="dxa"/>
              <w:start w:w="120" w:type="dxa"/>
              <w:bottom w:w="90" w:type="dxa"/>
              <w:end w:w="120" w:type="dxa"/>
            </w:tcMar>
            <w:vAlign w:val="center"/>
            <w:shd w:fill="F5F6F8"/>
          </w:tcPr>
          <w:p>
            <w:pPr>
              <w:spacing w:after="0"/>
            </w:pPr>
            <w:r>
              <w:rPr>
                <w:rFonts w:ascii="Arial" w:hAnsi="Arial"/>
                <w:sz w:val="15"/>
              </w:rPr>
              <w:t>How should a reusable class of work be performed?</w:t>
            </w:r>
          </w:p>
        </w:tc>
        <w:tc>
          <w:tcPr>
            <w:tcW w:type="dxa" w:w="4078"/>
            <w:tcMar>
              <w:top w:w="90" w:type="dxa"/>
              <w:start w:w="120" w:type="dxa"/>
              <w:bottom w:w="90" w:type="dxa"/>
              <w:end w:w="120" w:type="dxa"/>
            </w:tcMar>
            <w:vAlign w:val="center"/>
            <w:shd w:fill="F5F6F8"/>
          </w:tcPr>
          <w:p>
            <w:pPr>
              <w:spacing w:after="0"/>
            </w:pPr>
            <w:r>
              <w:rPr>
                <w:rFonts w:ascii="Arial" w:hAnsi="Arial"/>
                <w:sz w:val="15"/>
              </w:rPr>
              <w:t>Prepare and validate a listing package.</w:t>
            </w:r>
          </w:p>
        </w:tc>
      </w:tr>
      <w:tr>
        <w:trPr>
          <w:cantSplit/>
        </w:trPr>
        <w:tc>
          <w:tcPr>
            <w:tcW w:type="dxa" w:w="1563"/>
            <w:tcMar>
              <w:top w:w="90" w:type="dxa"/>
              <w:start w:w="120" w:type="dxa"/>
              <w:bottom w:w="90" w:type="dxa"/>
              <w:end w:w="120" w:type="dxa"/>
            </w:tcMar>
            <w:vAlign w:val="center"/>
          </w:tcPr>
          <w:p>
            <w:pPr>
              <w:spacing w:after="0"/>
            </w:pPr>
            <w:r>
              <w:rPr>
                <w:rFonts w:ascii="Arial" w:hAnsi="Arial"/>
                <w:sz w:val="15"/>
              </w:rPr>
              <w:t>Schedule</w:t>
            </w:r>
          </w:p>
        </w:tc>
        <w:tc>
          <w:tcPr>
            <w:tcW w:type="dxa" w:w="4078"/>
            <w:tcMar>
              <w:top w:w="90" w:type="dxa"/>
              <w:start w:w="120" w:type="dxa"/>
              <w:bottom w:w="90" w:type="dxa"/>
              <w:end w:w="120" w:type="dxa"/>
            </w:tcMar>
            <w:vAlign w:val="center"/>
          </w:tcPr>
          <w:p>
            <w:pPr>
              <w:spacing w:after="0"/>
            </w:pPr>
            <w:r>
              <w:rPr>
                <w:rFonts w:ascii="Arial" w:hAnsi="Arial"/>
                <w:sz w:val="15"/>
              </w:rPr>
              <w:t>When should underlying work start or repeat?</w:t>
            </w:r>
          </w:p>
        </w:tc>
        <w:tc>
          <w:tcPr>
            <w:tcW w:type="dxa" w:w="4078"/>
            <w:tcMar>
              <w:top w:w="90" w:type="dxa"/>
              <w:start w:w="120" w:type="dxa"/>
              <w:bottom w:w="90" w:type="dxa"/>
              <w:end w:w="120" w:type="dxa"/>
            </w:tcMar>
            <w:vAlign w:val="center"/>
          </w:tcPr>
          <w:p>
            <w:pPr>
              <w:spacing w:after="0"/>
            </w:pPr>
            <w:r>
              <w:rPr>
                <w:rFonts w:ascii="Arial" w:hAnsi="Arial"/>
                <w:sz w:val="15"/>
              </w:rPr>
              <w:t>Reconsider an opportunity tomorrow; run a weekly review.</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Duration and HITL do not decide the root. Truth kind does.</w:t>
            </w:r>
          </w:p>
        </w:tc>
      </w:tr>
    </w:tbl>
    <w:p>
      <w:pPr>
        <w:spacing w:after="0"/>
      </w:pPr>
    </w:p>
    <w:p>
      <w:pPr>
        <w:pStyle w:val="SourceNote"/>
        <w:spacing w:before="20" w:after="100"/>
      </w:pPr>
      <w:r>
        <w:rPr>
          <w:i/>
        </w:rPr>
        <w:t>Source basis: ADR-0001 Durable Work Roots; Product PRD §8.1.</w:t>
      </w:r>
    </w:p>
    <w:p>
      <w:pPr>
        <w:pStyle w:val="Heading1"/>
      </w:pPr>
      <w:r>
        <w:t>6. Revenue loop and operating domains are different views</w:t>
      </w:r>
    </w:p>
    <w:p>
      <w:r>
        <w:t>The revenue loop explains where value is created over time. Operating domains explain where business semantics live. They must not be collapsed.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Revenue loop</w:t>
            </w:r>
          </w:p>
        </w:tc>
        <w:tc>
          <w:tcPr>
            <w:tcW w:type="dxa" w:w="4860"/>
            <w:shd w:fill="21143D"/>
            <w:tcMar>
              <w:top w:w="90" w:type="dxa"/>
              <w:start w:w="120" w:type="dxa"/>
              <w:bottom w:w="90" w:type="dxa"/>
              <w:end w:w="120" w:type="dxa"/>
            </w:tcMar>
            <w:vAlign w:val="center"/>
          </w:tcPr>
          <w:p>
            <w:r>
              <w:rPr>
                <w:rFonts w:ascii="Arial" w:hAnsi="Arial"/>
                <w:b/>
                <w:color w:val="FFFFFF"/>
                <w:sz w:val="16"/>
              </w:rPr>
              <w:t>Operating domains over one kernel</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Property Onboarding → Demand Generation → Conversion → Transaction → Outcome Feedback → Better Decisions</w:t>
            </w:r>
          </w:p>
        </w:tc>
        <w:tc>
          <w:tcPr>
            <w:tcW w:type="dxa" w:w="4860"/>
            <w:tcMar>
              <w:top w:w="90" w:type="dxa"/>
              <w:start w:w="120" w:type="dxa"/>
              <w:bottom w:w="90" w:type="dxa"/>
              <w:end w:w="120" w:type="dxa"/>
            </w:tcMar>
            <w:vAlign w:val="center"/>
          </w:tcPr>
          <w:p>
            <w:pPr>
              <w:spacing w:after="0"/>
            </w:pPr>
            <w:r>
              <w:rPr>
                <w:rFonts w:ascii="Arial" w:hAnsi="Arial"/>
                <w:sz w:val="15"/>
              </w:rPr>
              <w:t>Property Operations · Demand Operations · Relationship Operations · Transaction Operations · Network/Ecosystem Operations</w:t>
            </w:r>
          </w:p>
        </w:tc>
      </w:tr>
    </w:tbl>
    <w:p>
      <w:pPr>
        <w:spacing w:after="0"/>
      </w:pPr>
    </w:p>
    <w:p>
      <w:pPr>
        <w:pStyle w:val="ListBullet"/>
        <w:spacing w:after="56"/>
        <w:ind w:left="360" w:hanging="202"/>
      </w:pPr>
      <w:r>
        <w:t>Property Operations: make inventory understood, prepared, governed and market-ready.</w:t>
      </w:r>
    </w:p>
    <w:p>
      <w:pPr>
        <w:pStyle w:val="ListBullet"/>
        <w:spacing w:after="56"/>
        <w:ind w:left="360" w:hanging="202"/>
      </w:pPr>
      <w:r>
        <w:t>Demand Operations: generate and improve demand using downstream outcome evidence.</w:t>
      </w:r>
    </w:p>
    <w:p>
      <w:pPr>
        <w:pStyle w:val="ListBullet"/>
        <w:spacing w:after="56"/>
        <w:ind w:left="360" w:hanging="202"/>
      </w:pPr>
      <w:r>
        <w:t>Relationship Operations: keep opportunities alive and moving.</w:t>
      </w:r>
    </w:p>
    <w:p>
      <w:pPr>
        <w:pStyle w:val="ListBullet"/>
        <w:spacing w:after="56"/>
        <w:ind w:left="360" w:hanging="202"/>
      </w:pPr>
      <w:r>
        <w:t>Transaction Operations: preserve responsibility through concrete deal execution.</w:t>
      </w:r>
    </w:p>
    <w:p>
      <w:pPr>
        <w:pStyle w:val="ListBullet"/>
        <w:spacing w:after="56"/>
        <w:ind w:left="360" w:hanging="202"/>
      </w:pPr>
      <w:r>
        <w:t>Network/Ecosystem Operations: mobilize shared inventory and specialist services under explicit economic rules.</w:t>
      </w:r>
    </w:p>
    <w:p>
      <w:pPr>
        <w:pStyle w:val="Heading1"/>
      </w:pPr>
      <w:r>
        <w:t>7. Humans lead: the operating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94"/>
            <w:shd w:fill="21143D"/>
            <w:tcMar>
              <w:top w:w="90" w:type="dxa"/>
              <w:start w:w="120" w:type="dxa"/>
              <w:bottom w:w="90" w:type="dxa"/>
              <w:end w:w="120" w:type="dxa"/>
            </w:tcMar>
            <w:vAlign w:val="center"/>
          </w:tcPr>
          <w:p>
            <w:r>
              <w:rPr>
                <w:rFonts w:ascii="Arial" w:hAnsi="Arial"/>
                <w:b/>
                <w:color w:val="FFFFFF"/>
                <w:sz w:val="16"/>
              </w:rPr>
              <w:t>Decision/work type</w:t>
            </w:r>
          </w:p>
        </w:tc>
        <w:tc>
          <w:tcPr>
            <w:tcW w:type="dxa" w:w="3762"/>
            <w:shd w:fill="21143D"/>
            <w:tcMar>
              <w:top w:w="90" w:type="dxa"/>
              <w:start w:w="120" w:type="dxa"/>
              <w:bottom w:w="90" w:type="dxa"/>
              <w:end w:w="120" w:type="dxa"/>
            </w:tcMar>
            <w:vAlign w:val="center"/>
          </w:tcPr>
          <w:p>
            <w:r>
              <w:rPr>
                <w:rFonts w:ascii="Arial" w:hAnsi="Arial"/>
                <w:b/>
                <w:color w:val="FFFFFF"/>
                <w:sz w:val="16"/>
              </w:rPr>
              <w:t>Gu</w:t>
            </w:r>
          </w:p>
        </w:tc>
        <w:tc>
          <w:tcPr>
            <w:tcW w:type="dxa" w:w="3762"/>
            <w:shd w:fill="21143D"/>
            <w:tcMar>
              <w:top w:w="90" w:type="dxa"/>
              <w:start w:w="120" w:type="dxa"/>
              <w:bottom w:w="90" w:type="dxa"/>
              <w:end w:w="120" w:type="dxa"/>
            </w:tcMar>
            <w:vAlign w:val="center"/>
          </w:tcPr>
          <w:p>
            <w:r>
              <w:rPr>
                <w:rFonts w:ascii="Arial" w:hAnsi="Arial"/>
                <w:b/>
                <w:color w:val="FFFFFF"/>
                <w:sz w:val="16"/>
              </w:rPr>
              <w:t>Human</w:t>
            </w:r>
          </w:p>
        </w:tc>
      </w:tr>
      <w:tr>
        <w:trPr>
          <w:cantSplit/>
        </w:trPr>
        <w:tc>
          <w:tcPr>
            <w:tcW w:type="dxa" w:w="2194"/>
            <w:tcMar>
              <w:top w:w="90" w:type="dxa"/>
              <w:start w:w="120" w:type="dxa"/>
              <w:bottom w:w="90" w:type="dxa"/>
              <w:end w:w="120" w:type="dxa"/>
            </w:tcMar>
            <w:vAlign w:val="center"/>
          </w:tcPr>
          <w:p>
            <w:pPr>
              <w:spacing w:after="0"/>
            </w:pPr>
            <w:r>
              <w:rPr>
                <w:rFonts w:ascii="Arial" w:hAnsi="Arial"/>
                <w:sz w:val="15"/>
              </w:rPr>
              <w:t>Routine operational</w:t>
            </w:r>
          </w:p>
        </w:tc>
        <w:tc>
          <w:tcPr>
            <w:tcW w:type="dxa" w:w="3762"/>
            <w:tcMar>
              <w:top w:w="90" w:type="dxa"/>
              <w:start w:w="120" w:type="dxa"/>
              <w:bottom w:w="90" w:type="dxa"/>
              <w:end w:w="120" w:type="dxa"/>
            </w:tcMar>
            <w:vAlign w:val="center"/>
          </w:tcPr>
          <w:p>
            <w:pPr>
              <w:spacing w:after="0"/>
            </w:pPr>
            <w:r>
              <w:rPr>
                <w:rFonts w:ascii="Arial" w:hAnsi="Arial"/>
                <w:sz w:val="15"/>
              </w:rPr>
              <w:t>May understand, decide and execute within delegated policy.</w:t>
            </w:r>
          </w:p>
        </w:tc>
        <w:tc>
          <w:tcPr>
            <w:tcW w:type="dxa" w:w="3762"/>
            <w:tcMar>
              <w:top w:w="90" w:type="dxa"/>
              <w:start w:w="120" w:type="dxa"/>
              <w:bottom w:w="90" w:type="dxa"/>
              <w:end w:w="120" w:type="dxa"/>
            </w:tcMar>
            <w:vAlign w:val="center"/>
          </w:tcPr>
          <w:p>
            <w:pPr>
              <w:spacing w:after="0"/>
            </w:pPr>
            <w:r>
              <w:rPr>
                <w:rFonts w:ascii="Arial" w:hAnsi="Arial"/>
                <w:sz w:val="15"/>
              </w:rPr>
              <w:t>Supervises outcomes and can intervene.</w:t>
            </w:r>
          </w:p>
        </w:tc>
      </w:tr>
      <w:tr>
        <w:trPr>
          <w:cantSplit/>
        </w:trPr>
        <w:tc>
          <w:tcPr>
            <w:tcW w:type="dxa" w:w="2194"/>
            <w:tcMar>
              <w:top w:w="90" w:type="dxa"/>
              <w:start w:w="120" w:type="dxa"/>
              <w:bottom w:w="90" w:type="dxa"/>
              <w:end w:w="120" w:type="dxa"/>
            </w:tcMar>
            <w:vAlign w:val="center"/>
            <w:shd w:fill="F5F6F8"/>
          </w:tcPr>
          <w:p>
            <w:pPr>
              <w:spacing w:after="0"/>
            </w:pPr>
            <w:r>
              <w:rPr>
                <w:rFonts w:ascii="Arial" w:hAnsi="Arial"/>
                <w:sz w:val="15"/>
              </w:rPr>
              <w:t>Strategic or relationship-sensitive</w:t>
            </w:r>
          </w:p>
        </w:tc>
        <w:tc>
          <w:tcPr>
            <w:tcW w:type="dxa" w:w="3762"/>
            <w:tcMar>
              <w:top w:w="90" w:type="dxa"/>
              <w:start w:w="120" w:type="dxa"/>
              <w:bottom w:w="90" w:type="dxa"/>
              <w:end w:w="120" w:type="dxa"/>
            </w:tcMar>
            <w:vAlign w:val="center"/>
            <w:shd w:fill="F5F6F8"/>
          </w:tcPr>
          <w:p>
            <w:pPr>
              <w:spacing w:after="0"/>
            </w:pPr>
            <w:r>
              <w:rPr>
                <w:rFonts w:ascii="Arial" w:hAnsi="Arial"/>
                <w:sz w:val="15"/>
              </w:rPr>
              <w:t>Analyzes, prepares context, recommends and executes consequences.</w:t>
            </w:r>
          </w:p>
        </w:tc>
        <w:tc>
          <w:tcPr>
            <w:tcW w:type="dxa" w:w="3762"/>
            <w:tcMar>
              <w:top w:w="90" w:type="dxa"/>
              <w:start w:w="120" w:type="dxa"/>
              <w:bottom w:w="90" w:type="dxa"/>
              <w:end w:w="120" w:type="dxa"/>
            </w:tcMar>
            <w:vAlign w:val="center"/>
            <w:shd w:fill="F5F6F8"/>
          </w:tcPr>
          <w:p>
            <w:pPr>
              <w:spacing w:after="0"/>
            </w:pPr>
            <w:r>
              <w:rPr>
                <w:rFonts w:ascii="Arial" w:hAnsi="Arial"/>
                <w:sz w:val="15"/>
              </w:rPr>
              <w:t>Leads judgment, relationship, negotiation and decision.</w:t>
            </w:r>
          </w:p>
        </w:tc>
      </w:tr>
      <w:tr>
        <w:trPr>
          <w:cantSplit/>
        </w:trPr>
        <w:tc>
          <w:tcPr>
            <w:tcW w:type="dxa" w:w="2194"/>
            <w:tcMar>
              <w:top w:w="90" w:type="dxa"/>
              <w:start w:w="120" w:type="dxa"/>
              <w:bottom w:w="90" w:type="dxa"/>
              <w:end w:w="120" w:type="dxa"/>
            </w:tcMar>
            <w:vAlign w:val="center"/>
          </w:tcPr>
          <w:p>
            <w:pPr>
              <w:spacing w:after="0"/>
            </w:pPr>
            <w:r>
              <w:rPr>
                <w:rFonts w:ascii="Arial" w:hAnsi="Arial"/>
                <w:sz w:val="15"/>
              </w:rPr>
              <w:t>High-risk / authority-sensitive</w:t>
            </w:r>
          </w:p>
        </w:tc>
        <w:tc>
          <w:tcPr>
            <w:tcW w:type="dxa" w:w="3762"/>
            <w:tcMar>
              <w:top w:w="90" w:type="dxa"/>
              <w:start w:w="120" w:type="dxa"/>
              <w:bottom w:w="90" w:type="dxa"/>
              <w:end w:w="120" w:type="dxa"/>
            </w:tcMar>
            <w:vAlign w:val="center"/>
          </w:tcPr>
          <w:p>
            <w:pPr>
              <w:spacing w:after="0"/>
            </w:pPr>
            <w:r>
              <w:rPr>
                <w:rFonts w:ascii="Arial" w:hAnsi="Arial"/>
                <w:sz w:val="15"/>
              </w:rPr>
              <w:t>Prepares the decision and pauses or routes at the correct boundary.</w:t>
            </w:r>
          </w:p>
        </w:tc>
        <w:tc>
          <w:tcPr>
            <w:tcW w:type="dxa" w:w="3762"/>
            <w:tcMar>
              <w:top w:w="90" w:type="dxa"/>
              <w:start w:w="120" w:type="dxa"/>
              <w:bottom w:w="90" w:type="dxa"/>
              <w:end w:w="120" w:type="dxa"/>
            </w:tcMar>
            <w:vAlign w:val="center"/>
          </w:tcPr>
          <w:p>
            <w:pPr>
              <w:spacing w:after="0"/>
            </w:pPr>
            <w:r>
              <w:rPr>
                <w:rFonts w:ascii="Arial" w:hAnsi="Arial"/>
                <w:sz w:val="15"/>
              </w:rPr>
              <w:t>Authorizes, rejects or changes the protected decision.</w:t>
            </w:r>
          </w:p>
        </w:tc>
      </w:tr>
      <w:tr>
        <w:trPr>
          <w:cantSplit/>
        </w:trPr>
        <w:tc>
          <w:tcPr>
            <w:tcW w:type="dxa" w:w="2194"/>
            <w:tcMar>
              <w:top w:w="90" w:type="dxa"/>
              <w:start w:w="120" w:type="dxa"/>
              <w:bottom w:w="90" w:type="dxa"/>
              <w:end w:w="120" w:type="dxa"/>
            </w:tcMar>
            <w:vAlign w:val="center"/>
            <w:shd w:fill="F5F6F8"/>
          </w:tcPr>
          <w:p>
            <w:pPr>
              <w:spacing w:after="0"/>
            </w:pPr>
            <w:r>
              <w:rPr>
                <w:rFonts w:ascii="Arial" w:hAnsi="Arial"/>
                <w:sz w:val="15"/>
              </w:rPr>
              <w:t>Human contribution</w:t>
            </w:r>
          </w:p>
        </w:tc>
        <w:tc>
          <w:tcPr>
            <w:tcW w:type="dxa" w:w="3762"/>
            <w:tcMar>
              <w:top w:w="90" w:type="dxa"/>
              <w:start w:w="120" w:type="dxa"/>
              <w:bottom w:w="90" w:type="dxa"/>
              <w:end w:w="120" w:type="dxa"/>
            </w:tcMar>
            <w:vAlign w:val="center"/>
            <w:shd w:fill="F5F6F8"/>
          </w:tcPr>
          <w:p>
            <w:pPr>
              <w:spacing w:after="0"/>
            </w:pPr>
            <w:r>
              <w:rPr>
                <w:rFonts w:ascii="Arial" w:hAnsi="Arial"/>
                <w:sz w:val="15"/>
              </w:rPr>
              <w:t>Requests a bounded input or action and later re-evaluates current truth.</w:t>
            </w:r>
          </w:p>
        </w:tc>
        <w:tc>
          <w:tcPr>
            <w:tcW w:type="dxa" w:w="3762"/>
            <w:tcMar>
              <w:top w:w="90" w:type="dxa"/>
              <w:start w:w="120" w:type="dxa"/>
              <w:bottom w:w="90" w:type="dxa"/>
              <w:end w:w="120" w:type="dxa"/>
            </w:tcMar>
            <w:vAlign w:val="center"/>
            <w:shd w:fill="F5F6F8"/>
          </w:tcPr>
          <w:p>
            <w:pPr>
              <w:spacing w:after="0"/>
            </w:pPr>
            <w:r>
              <w:rPr>
                <w:rFonts w:ascii="Arial" w:hAnsi="Arial"/>
                <w:sz w:val="15"/>
              </w:rPr>
              <w:t>Provides knowledge, performs physical work or resolves ambiguity.</w:t>
            </w:r>
          </w:p>
        </w:tc>
      </w:tr>
    </w:tbl>
    <w:p>
      <w:pPr>
        <w:spacing w:after="0"/>
      </w:pPr>
    </w:p>
    <w:p>
      <w:r>
        <w:t>HITL is not one universal “approval” state. Gu OS distinguishes action authorization, business decision, human contribution and exception review. Human-on-the-loop supervision is different again.</w:t>
      </w:r>
    </w:p>
    <w:p>
      <w:pPr>
        <w:pStyle w:val="Heading1"/>
      </w:pPr>
      <w:r>
        <w:t>8. One Gu experience</w:t>
      </w:r>
    </w:p>
    <w:p>
      <w:r>
        <w:t>Conversation remains a primary control surface, but it is not the only useful representation. Gu may bring a comparison, approval, map, document, Work Portfolio or Case view when that better fits the work.</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The user experiences…</w:t>
            </w:r>
          </w:p>
        </w:tc>
        <w:tc>
          <w:tcPr>
            <w:tcW w:type="dxa" w:w="4860"/>
            <w:shd w:fill="21143D"/>
            <w:tcMar>
              <w:top w:w="90" w:type="dxa"/>
              <w:start w:w="120" w:type="dxa"/>
              <w:bottom w:w="90" w:type="dxa"/>
              <w:end w:w="120" w:type="dxa"/>
            </w:tcMar>
            <w:vAlign w:val="center"/>
          </w:tcPr>
          <w:p>
            <w:r>
              <w:rPr>
                <w:rFonts w:ascii="Arial" w:hAnsi="Arial"/>
                <w:b/>
                <w:color w:val="FFFFFF"/>
                <w:sz w:val="16"/>
              </w:rPr>
              <w:t>Behind the experience…</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One Gu across web, messaging and future voice/multimodal surfaces.</w:t>
            </w:r>
          </w:p>
        </w:tc>
        <w:tc>
          <w:tcPr>
            <w:tcW w:type="dxa" w:w="4860"/>
            <w:tcMar>
              <w:top w:w="90" w:type="dxa"/>
              <w:start w:w="120" w:type="dxa"/>
              <w:bottom w:w="90" w:type="dxa"/>
              <w:end w:w="120" w:type="dxa"/>
            </w:tcMar>
            <w:vAlign w:val="center"/>
          </w:tcPr>
          <w:p>
            <w:pPr>
              <w:spacing w:after="0"/>
            </w:pPr>
            <w:r>
              <w:rPr>
                <w:rFonts w:ascii="Arial" w:hAnsi="Arial"/>
                <w:sz w:val="15"/>
              </w:rPr>
              <w:t>Shared meaning, authority and work context with surface-specific rendering.</w:t>
            </w:r>
          </w:p>
        </w:tc>
      </w:tr>
      <w:tr>
        <w:trPr>
          <w:cantSplit/>
        </w:trPr>
        <w:tc>
          <w:tcPr>
            <w:tcW w:type="dxa" w:w="4860"/>
            <w:tcMar>
              <w:top w:w="90" w:type="dxa"/>
              <w:start w:w="120" w:type="dxa"/>
              <w:bottom w:w="90" w:type="dxa"/>
              <w:end w:w="120" w:type="dxa"/>
            </w:tcMar>
            <w:vAlign w:val="center"/>
            <w:shd w:fill="F5F6F8"/>
          </w:tcPr>
          <w:p>
            <w:pPr>
              <w:spacing w:after="0"/>
            </w:pPr>
            <w:r>
              <w:rPr>
                <w:rFonts w:ascii="Arial" w:hAnsi="Arial"/>
                <w:sz w:val="15"/>
              </w:rPr>
              <w:t>The right interface where the work requires it.</w:t>
            </w:r>
          </w:p>
        </w:tc>
        <w:tc>
          <w:tcPr>
            <w:tcW w:type="dxa" w:w="4860"/>
            <w:tcMar>
              <w:top w:w="90" w:type="dxa"/>
              <w:start w:w="120" w:type="dxa"/>
              <w:bottom w:w="90" w:type="dxa"/>
              <w:end w:w="120" w:type="dxa"/>
            </w:tcMar>
            <w:vAlign w:val="center"/>
            <w:shd w:fill="F5F6F8"/>
          </w:tcPr>
          <w:p>
            <w:pPr>
              <w:spacing w:after="0"/>
            </w:pPr>
            <w:r>
              <w:rPr>
                <w:rFonts w:ascii="Arial" w:hAnsi="Arial"/>
                <w:sz w:val="15"/>
              </w:rPr>
              <w:t>Contextual Views and Artifacts derived from canonical truth, not independent status stores.</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Continuity without unsafe guessing.</w:t>
            </w:r>
          </w:p>
        </w:tc>
        <w:tc>
          <w:tcPr>
            <w:tcW w:type="dxa" w:w="4860"/>
            <w:tcMar>
              <w:top w:w="90" w:type="dxa"/>
              <w:start w:w="120" w:type="dxa"/>
              <w:bottom w:w="90" w:type="dxa"/>
              <w:end w:w="120" w:type="dxa"/>
            </w:tcMar>
            <w:vAlign w:val="center"/>
          </w:tcPr>
          <w:p>
            <w:pPr>
              <w:spacing w:after="0"/>
            </w:pPr>
            <w:r>
              <w:rPr>
                <w:rFonts w:ascii="Arial" w:hAnsi="Arial"/>
                <w:sz w:val="15"/>
              </w:rPr>
              <w:t>Conservative identity, Case and antecedent resolution; ambiguity cannot authorize side effects.</w:t>
            </w:r>
          </w:p>
        </w:tc>
      </w:tr>
    </w:tbl>
    <w:p>
      <w:pPr>
        <w:spacing w:after="0"/>
      </w:pPr>
    </w:p>
    <w:p>
      <w:pPr>
        <w:pStyle w:val="SourceNote"/>
        <w:spacing w:before="20" w:after="100"/>
      </w:pPr>
      <w:r>
        <w:rPr>
          <w:i/>
        </w:rPr>
        <w:t>Source basis: Experience Architecture v0.1; Doctrine UX-01/RP-09; Product PRD §10.</w:t>
      </w:r>
    </w:p>
    <w:p>
      <w:pPr>
        <w:pStyle w:val="Heading1"/>
      </w:pPr>
      <w:r>
        <w:t>9. OWN vs ORCHESTRATE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Tend to OWN</w:t>
            </w:r>
          </w:p>
        </w:tc>
        <w:tc>
          <w:tcPr>
            <w:tcW w:type="dxa" w:w="4860"/>
            <w:shd w:fill="21143D"/>
            <w:tcMar>
              <w:top w:w="90" w:type="dxa"/>
              <w:start w:w="120" w:type="dxa"/>
              <w:bottom w:w="90" w:type="dxa"/>
              <w:end w:w="120" w:type="dxa"/>
            </w:tcMar>
            <w:vAlign w:val="center"/>
          </w:tcPr>
          <w:p>
            <w:r>
              <w:rPr>
                <w:rFonts w:ascii="Arial" w:hAnsi="Arial"/>
                <w:b/>
                <w:color w:val="FFFFFF"/>
                <w:sz w:val="16"/>
              </w:rPr>
              <w:t>Tend to ORCHESTRATE</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Vertical operating semantics; durable responsibility; governance; customer experience; cumulative intelligence; outcome feedback; strategic network control.</w:t>
            </w:r>
          </w:p>
        </w:tc>
        <w:tc>
          <w:tcPr>
            <w:tcW w:type="dxa" w:w="4860"/>
            <w:tcMar>
              <w:top w:w="90" w:type="dxa"/>
              <w:start w:w="120" w:type="dxa"/>
              <w:bottom w:w="90" w:type="dxa"/>
              <w:end w:w="120" w:type="dxa"/>
            </w:tcMar>
            <w:vAlign w:val="center"/>
          </w:tcPr>
          <w:p>
            <w:pPr>
              <w:spacing w:after="0"/>
            </w:pPr>
            <w:r>
              <w:rPr>
                <w:rFonts w:ascii="Arial" w:hAnsi="Arial"/>
                <w:sz w:val="15"/>
              </w:rPr>
              <w:t>Foundation models; calendars; portal publication rails; replaceable valuation engines; advertising rails; external systems that can remain behind clear capability contracts.</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The boundary is not “inside versus outside.” Gu must preserve responsibility, continuity, authority, evidence and learning in both cases.</w:t>
            </w:r>
          </w:p>
        </w:tc>
      </w:tr>
    </w:tbl>
    <w:p>
      <w:pPr>
        <w:spacing w:after="0"/>
      </w:pPr>
    </w:p>
    <w:p>
      <w:pPr>
        <w:pStyle w:val="Heading1"/>
      </w:pPr>
      <w:r>
        <w:t>10. Current, next and vision — verified baseline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01"/>
            <w:shd w:fill="21143D"/>
            <w:tcMar>
              <w:top w:w="90" w:type="dxa"/>
              <w:start w:w="120" w:type="dxa"/>
              <w:bottom w:w="90" w:type="dxa"/>
              <w:end w:w="120" w:type="dxa"/>
            </w:tcMar>
            <w:vAlign w:val="center"/>
          </w:tcPr>
          <w:p>
            <w:r>
              <w:rPr>
                <w:rFonts w:ascii="Arial" w:hAnsi="Arial"/>
                <w:b/>
                <w:color w:val="FFFFFF"/>
                <w:sz w:val="16"/>
              </w:rPr>
              <w:t>Area</w:t>
            </w:r>
          </w:p>
        </w:tc>
        <w:tc>
          <w:tcPr>
            <w:tcW w:type="dxa" w:w="2872"/>
            <w:shd w:fill="21143D"/>
            <w:tcMar>
              <w:top w:w="90" w:type="dxa"/>
              <w:start w:w="120" w:type="dxa"/>
              <w:bottom w:w="90" w:type="dxa"/>
              <w:end w:w="120" w:type="dxa"/>
            </w:tcMar>
            <w:vAlign w:val="center"/>
          </w:tcPr>
          <w:p>
            <w:r>
              <w:rPr>
                <w:rFonts w:ascii="Arial" w:hAnsi="Arial"/>
                <w:b/>
                <w:color w:val="FFFFFF"/>
                <w:sz w:val="16"/>
              </w:rPr>
              <w:t>Current / repo foundation</w:t>
            </w:r>
          </w:p>
        </w:tc>
        <w:tc>
          <w:tcPr>
            <w:tcW w:type="dxa" w:w="2872"/>
            <w:shd w:fill="21143D"/>
            <w:tcMar>
              <w:top w:w="90" w:type="dxa"/>
              <w:start w:w="120" w:type="dxa"/>
              <w:bottom w:w="90" w:type="dxa"/>
              <w:end w:w="120" w:type="dxa"/>
            </w:tcMar>
            <w:vAlign w:val="center"/>
          </w:tcPr>
          <w:p>
            <w:r>
              <w:rPr>
                <w:rFonts w:ascii="Arial" w:hAnsi="Arial"/>
                <w:b/>
                <w:color w:val="FFFFFF"/>
                <w:sz w:val="16"/>
              </w:rPr>
              <w:t>Next / closure or R1</w:t>
            </w:r>
          </w:p>
        </w:tc>
        <w:tc>
          <w:tcPr>
            <w:tcW w:type="dxa" w:w="2872"/>
            <w:shd w:fill="21143D"/>
            <w:tcMar>
              <w:top w:w="90" w:type="dxa"/>
              <w:start w:w="120" w:type="dxa"/>
              <w:bottom w:w="90" w:type="dxa"/>
              <w:end w:w="120" w:type="dxa"/>
            </w:tcMar>
            <w:vAlign w:val="center"/>
          </w:tcPr>
          <w:p>
            <w:r>
              <w:rPr>
                <w:rFonts w:ascii="Arial" w:hAnsi="Arial"/>
                <w:b/>
                <w:color w:val="FFFFFF"/>
                <w:sz w:val="16"/>
              </w:rPr>
              <w:t>Vision</w:t>
            </w:r>
          </w:p>
        </w:tc>
      </w:tr>
      <w:tr>
        <w:trPr>
          <w:cantSplit/>
        </w:trPr>
        <w:tc>
          <w:tcPr>
            <w:tcW w:type="dxa" w:w="1101"/>
            <w:tcMar>
              <w:top w:w="90" w:type="dxa"/>
              <w:start w:w="120" w:type="dxa"/>
              <w:bottom w:w="90" w:type="dxa"/>
              <w:end w:w="120" w:type="dxa"/>
            </w:tcMar>
            <w:vAlign w:val="center"/>
          </w:tcPr>
          <w:p>
            <w:pPr>
              <w:spacing w:after="0"/>
            </w:pPr>
            <w:r>
              <w:rPr>
                <w:rFonts w:ascii="Arial" w:hAnsi="Arial"/>
                <w:sz w:val="15"/>
              </w:rPr>
              <w:t>Gu experience</w:t>
            </w:r>
          </w:p>
        </w:tc>
        <w:tc>
          <w:tcPr>
            <w:tcW w:type="dxa" w:w="2872"/>
            <w:tcMar>
              <w:top w:w="90" w:type="dxa"/>
              <w:start w:w="120" w:type="dxa"/>
              <w:bottom w:w="90" w:type="dxa"/>
              <w:end w:w="120" w:type="dxa"/>
            </w:tcMar>
            <w:vAlign w:val="center"/>
          </w:tcPr>
          <w:p>
            <w:pPr>
              <w:spacing w:after="0"/>
            </w:pPr>
            <w:r>
              <w:rPr>
                <w:rFonts w:ascii="Arial" w:hAnsi="Arial"/>
                <w:sz w:val="15"/>
              </w:rPr>
              <w:t>Web/Telegram chat, proactive outputs, HITL and operational views exist in varying maturity.</w:t>
            </w:r>
          </w:p>
        </w:tc>
        <w:tc>
          <w:tcPr>
            <w:tcW w:type="dxa" w:w="2872"/>
            <w:tcMar>
              <w:top w:w="90" w:type="dxa"/>
              <w:start w:w="120" w:type="dxa"/>
              <w:bottom w:w="90" w:type="dxa"/>
              <w:end w:w="120" w:type="dxa"/>
            </w:tcMar>
            <w:vAlign w:val="center"/>
          </w:tcPr>
          <w:p>
            <w:pPr>
              <w:spacing w:after="0"/>
            </w:pPr>
            <w:r>
              <w:rPr>
                <w:rFonts w:ascii="Arial" w:hAnsi="Arial"/>
                <w:sz w:val="15"/>
              </w:rPr>
              <w:t>One coherent supervisory experience for Relationship Operations and controlled rollout.</w:t>
            </w:r>
          </w:p>
        </w:tc>
        <w:tc>
          <w:tcPr>
            <w:tcW w:type="dxa" w:w="2872"/>
            <w:tcMar>
              <w:top w:w="90" w:type="dxa"/>
              <w:start w:w="120" w:type="dxa"/>
              <w:bottom w:w="90" w:type="dxa"/>
              <w:end w:w="120" w:type="dxa"/>
            </w:tcMar>
            <w:vAlign w:val="center"/>
          </w:tcPr>
          <w:p>
            <w:pPr>
              <w:spacing w:after="0"/>
            </w:pPr>
            <w:r>
              <w:rPr>
                <w:rFonts w:ascii="Arial" w:hAnsi="Arial"/>
                <w:sz w:val="15"/>
              </w:rPr>
              <w:t>Cross-surface adaptive experience centered on one Gu.</w:t>
            </w:r>
          </w:p>
        </w:tc>
      </w:tr>
      <w:tr>
        <w:trPr>
          <w:cantSplit/>
        </w:trPr>
        <w:tc>
          <w:tcPr>
            <w:tcW w:type="dxa" w:w="1101"/>
            <w:tcMar>
              <w:top w:w="90" w:type="dxa"/>
              <w:start w:w="120" w:type="dxa"/>
              <w:bottom w:w="90" w:type="dxa"/>
              <w:end w:w="120" w:type="dxa"/>
            </w:tcMar>
            <w:vAlign w:val="center"/>
            <w:shd w:fill="F5F6F8"/>
          </w:tcPr>
          <w:p>
            <w:pPr>
              <w:spacing w:after="0"/>
            </w:pPr>
            <w:r>
              <w:rPr>
                <w:rFonts w:ascii="Arial" w:hAnsi="Arial"/>
                <w:sz w:val="15"/>
              </w:rPr>
              <w:t>Operating kernel</w:t>
            </w:r>
          </w:p>
        </w:tc>
        <w:tc>
          <w:tcPr>
            <w:tcW w:type="dxa" w:w="2872"/>
            <w:tcMar>
              <w:top w:w="90" w:type="dxa"/>
              <w:start w:w="120" w:type="dxa"/>
              <w:bottom w:w="90" w:type="dxa"/>
              <w:end w:w="120" w:type="dxa"/>
            </w:tcMar>
            <w:vAlign w:val="center"/>
            <w:shd w:fill="F5F6F8"/>
          </w:tcPr>
          <w:p>
            <w:pPr>
              <w:spacing w:after="0"/>
            </w:pPr>
            <w:r>
              <w:rPr>
                <w:rFonts w:ascii="Arial" w:hAnsi="Arial"/>
                <w:sz w:val="15"/>
              </w:rPr>
              <w:t>Cases, versioned definitions, Work Plane, Impact Plane, executor profiles and Durable Task foundations are in the repo.</w:t>
            </w:r>
          </w:p>
        </w:tc>
        <w:tc>
          <w:tcPr>
            <w:tcW w:type="dxa" w:w="2872"/>
            <w:tcMar>
              <w:top w:w="90" w:type="dxa"/>
              <w:start w:w="120" w:type="dxa"/>
              <w:bottom w:w="90" w:type="dxa"/>
              <w:end w:w="120" w:type="dxa"/>
            </w:tcMar>
            <w:vAlign w:val="center"/>
            <w:shd w:fill="F5F6F8"/>
          </w:tcPr>
          <w:p>
            <w:pPr>
              <w:spacing w:after="0"/>
            </w:pPr>
            <w:r>
              <w:rPr>
                <w:rFonts w:ascii="Arial" w:hAnsi="Arial"/>
                <w:sz w:val="15"/>
              </w:rPr>
              <w:t>Close production E2E/readiness gaps; apply the kernel to R1.</w:t>
            </w:r>
          </w:p>
        </w:tc>
        <w:tc>
          <w:tcPr>
            <w:tcW w:type="dxa" w:w="2872"/>
            <w:tcMar>
              <w:top w:w="90" w:type="dxa"/>
              <w:start w:w="120" w:type="dxa"/>
              <w:bottom w:w="90" w:type="dxa"/>
              <w:end w:w="120" w:type="dxa"/>
            </w:tcMar>
            <w:vAlign w:val="center"/>
            <w:shd w:fill="F5F6F8"/>
          </w:tcPr>
          <w:p>
            <w:pPr>
              <w:spacing w:after="0"/>
            </w:pPr>
            <w:r>
              <w:rPr>
                <w:rFonts w:ascii="Arial" w:hAnsi="Arial"/>
                <w:sz w:val="15"/>
              </w:rPr>
              <w:t>Reusable governed kernel across operating domains.</w:t>
            </w:r>
          </w:p>
        </w:tc>
      </w:tr>
      <w:tr>
        <w:trPr>
          <w:cantSplit/>
        </w:trPr>
        <w:tc>
          <w:tcPr>
            <w:tcW w:type="dxa" w:w="1101"/>
            <w:tcMar>
              <w:top w:w="90" w:type="dxa"/>
              <w:start w:w="120" w:type="dxa"/>
              <w:bottom w:w="90" w:type="dxa"/>
              <w:end w:w="120" w:type="dxa"/>
            </w:tcMar>
            <w:vAlign w:val="center"/>
          </w:tcPr>
          <w:p>
            <w:pPr>
              <w:spacing w:after="0"/>
            </w:pPr>
            <w:r>
              <w:rPr>
                <w:rFonts w:ascii="Arial" w:hAnsi="Arial"/>
                <w:sz w:val="15"/>
              </w:rPr>
              <w:t>Relationship Operations</w:t>
            </w:r>
          </w:p>
        </w:tc>
        <w:tc>
          <w:tcPr>
            <w:tcW w:type="dxa" w:w="2872"/>
            <w:tcMar>
              <w:top w:w="90" w:type="dxa"/>
              <w:start w:w="120" w:type="dxa"/>
              <w:bottom w:w="90" w:type="dxa"/>
              <w:end w:w="120" w:type="dxa"/>
            </w:tcMar>
            <w:vAlign w:val="center"/>
          </w:tcPr>
          <w:p>
            <w:pPr>
              <w:spacing w:after="0"/>
            </w:pPr>
            <w:r>
              <w:rPr>
                <w:rFonts w:ascii="Arial" w:hAnsi="Arial"/>
                <w:sz w:val="15"/>
              </w:rPr>
              <w:t>Traditional Gu conversion remains the baseline. Gu OS R1 SL-0–SL-3 are Done; organization schema and RLS exist, with partial runtime adoption.</w:t>
            </w:r>
          </w:p>
        </w:tc>
        <w:tc>
          <w:tcPr>
            <w:tcW w:type="dxa" w:w="2872"/>
            <w:tcMar>
              <w:top w:w="90" w:type="dxa"/>
              <w:start w:w="120" w:type="dxa"/>
              <w:bottom w:w="90" w:type="dxa"/>
              <w:end w:w="120" w:type="dxa"/>
            </w:tcMar>
            <w:vAlign w:val="center"/>
          </w:tcPr>
          <w:p>
            <w:pPr>
              <w:spacing w:after="0"/>
            </w:pPr>
            <w:r>
              <w:rPr>
                <w:rFonts w:ascii="Arial" w:hAnsi="Arial"/>
                <w:sz w:val="15"/>
              </w:rPr>
              <w:t>SL-4 supervisor loop in shadow is READY, not Planned; later multi-advisor and portfolio work remains ahead.</w:t>
            </w:r>
          </w:p>
        </w:tc>
        <w:tc>
          <w:tcPr>
            <w:tcW w:type="dxa" w:w="2872"/>
            <w:tcMar>
              <w:top w:w="90" w:type="dxa"/>
              <w:start w:w="120" w:type="dxa"/>
              <w:bottom w:w="90" w:type="dxa"/>
              <w:end w:w="120" w:type="dxa"/>
            </w:tcMar>
            <w:vAlign w:val="center"/>
          </w:tcPr>
          <w:p>
            <w:pPr>
              <w:spacing w:after="0"/>
            </w:pPr>
            <w:r>
              <w:rPr>
                <w:rFonts w:ascii="Arial" w:hAnsi="Arial"/>
                <w:sz w:val="15"/>
              </w:rPr>
              <w:t>Continuous governed opportunity operation.</w:t>
            </w:r>
          </w:p>
        </w:tc>
      </w:tr>
      <w:tr>
        <w:trPr>
          <w:cantSplit/>
        </w:trPr>
        <w:tc>
          <w:tcPr>
            <w:tcW w:type="dxa" w:w="1101"/>
            <w:tcMar>
              <w:top w:w="90" w:type="dxa"/>
              <w:start w:w="120" w:type="dxa"/>
              <w:bottom w:w="90" w:type="dxa"/>
              <w:end w:w="120" w:type="dxa"/>
            </w:tcMar>
            <w:vAlign w:val="center"/>
            <w:shd w:fill="F5F6F8"/>
          </w:tcPr>
          <w:p>
            <w:pPr>
              <w:spacing w:after="0"/>
            </w:pPr>
            <w:r>
              <w:rPr>
                <w:rFonts w:ascii="Arial" w:hAnsi="Arial"/>
                <w:sz w:val="15"/>
              </w:rPr>
              <w:t>Business Brain</w:t>
            </w:r>
          </w:p>
        </w:tc>
        <w:tc>
          <w:tcPr>
            <w:tcW w:type="dxa" w:w="2872"/>
            <w:tcMar>
              <w:top w:w="90" w:type="dxa"/>
              <w:start w:w="120" w:type="dxa"/>
              <w:bottom w:w="90" w:type="dxa"/>
              <w:end w:w="120" w:type="dxa"/>
            </w:tcMar>
            <w:vAlign w:val="center"/>
            <w:shd w:fill="F5F6F8"/>
          </w:tcPr>
          <w:p>
            <w:pPr>
              <w:spacing w:after="0"/>
            </w:pPr>
            <w:r>
              <w:rPr>
                <w:rFonts w:ascii="Arial" w:hAnsi="Arial"/>
                <w:sz w:val="15"/>
              </w:rPr>
              <w:t>Personal memory and narrow account business context exist; broad Brain Layer is not implemented.</w:t>
            </w:r>
          </w:p>
        </w:tc>
        <w:tc>
          <w:tcPr>
            <w:tcW w:type="dxa" w:w="2872"/>
            <w:tcMar>
              <w:top w:w="90" w:type="dxa"/>
              <w:start w:w="120" w:type="dxa"/>
              <w:bottom w:w="90" w:type="dxa"/>
              <w:end w:w="120" w:type="dxa"/>
            </w:tcMar>
            <w:vAlign w:val="center"/>
            <w:shd w:fill="F5F6F8"/>
          </w:tcPr>
          <w:p>
            <w:pPr>
              <w:spacing w:after="0"/>
            </w:pPr>
            <w:r>
              <w:rPr>
                <w:rFonts w:ascii="Arial" w:hAnsi="Arial"/>
                <w:sz w:val="15"/>
              </w:rPr>
              <w:t>Start only when one repeated cross-Case knowledge need proves value.</w:t>
            </w:r>
          </w:p>
        </w:tc>
        <w:tc>
          <w:tcPr>
            <w:tcW w:type="dxa" w:w="2872"/>
            <w:tcMar>
              <w:top w:w="90" w:type="dxa"/>
              <w:start w:w="120" w:type="dxa"/>
              <w:bottom w:w="90" w:type="dxa"/>
              <w:end w:w="120" w:type="dxa"/>
            </w:tcMar>
            <w:vAlign w:val="center"/>
            <w:shd w:fill="F5F6F8"/>
          </w:tcPr>
          <w:p>
            <w:pPr>
              <w:spacing w:after="0"/>
            </w:pPr>
            <w:r>
              <w:rPr>
                <w:rFonts w:ascii="Arial" w:hAnsi="Arial"/>
                <w:sz w:val="15"/>
              </w:rPr>
              <w:t>Governed organizational cognition linked to outcomes.</w:t>
            </w:r>
          </w:p>
        </w:tc>
      </w:tr>
      <w:tr>
        <w:trPr>
          <w:cantSplit/>
        </w:trPr>
        <w:tc>
          <w:tcPr>
            <w:tcW w:type="dxa" w:w="1101"/>
            <w:tcMar>
              <w:top w:w="90" w:type="dxa"/>
              <w:start w:w="120" w:type="dxa"/>
              <w:bottom w:w="90" w:type="dxa"/>
              <w:end w:w="120" w:type="dxa"/>
            </w:tcMar>
            <w:vAlign w:val="center"/>
          </w:tcPr>
          <w:p>
            <w:pPr>
              <w:spacing w:after="0"/>
            </w:pPr>
            <w:r>
              <w:rPr>
                <w:rFonts w:ascii="Arial" w:hAnsi="Arial"/>
                <w:sz w:val="15"/>
              </w:rPr>
              <w:t>Experience Architecture</w:t>
            </w:r>
          </w:p>
        </w:tc>
        <w:tc>
          <w:tcPr>
            <w:tcW w:type="dxa" w:w="2872"/>
            <w:tcMar>
              <w:top w:w="90" w:type="dxa"/>
              <w:start w:w="120" w:type="dxa"/>
              <w:bottom w:w="90" w:type="dxa"/>
              <w:end w:w="120" w:type="dxa"/>
            </w:tcMar>
            <w:vAlign w:val="center"/>
          </w:tcPr>
          <w:p>
            <w:pPr>
              <w:spacing w:after="0"/>
            </w:pPr>
            <w:r>
              <w:rPr>
                <w:rFonts w:ascii="Arial" w:hAnsi="Arial"/>
                <w:sz w:val="15"/>
              </w:rPr>
              <w:t>Supporting UI seams exist; the cross-domain target is approved.</w:t>
            </w:r>
          </w:p>
        </w:tc>
        <w:tc>
          <w:tcPr>
            <w:tcW w:type="dxa" w:w="2872"/>
            <w:tcMar>
              <w:top w:w="90" w:type="dxa"/>
              <w:start w:w="120" w:type="dxa"/>
              <w:bottom w:w="90" w:type="dxa"/>
              <w:end w:w="120" w:type="dxa"/>
            </w:tcMar>
            <w:vAlign w:val="center"/>
          </w:tcPr>
          <w:p>
            <w:pPr>
              <w:spacing w:after="0"/>
            </w:pPr>
            <w:r>
              <w:rPr>
                <w:rFonts w:ascii="Arial" w:hAnsi="Arial"/>
                <w:sz w:val="15"/>
              </w:rPr>
              <w:t>Consume the architecture incrementally in R1.</w:t>
            </w:r>
          </w:p>
        </w:tc>
        <w:tc>
          <w:tcPr>
            <w:tcW w:type="dxa" w:w="2872"/>
            <w:tcMar>
              <w:top w:w="90" w:type="dxa"/>
              <w:start w:w="120" w:type="dxa"/>
              <w:bottom w:w="90" w:type="dxa"/>
              <w:end w:w="120" w:type="dxa"/>
            </w:tcMar>
            <w:vAlign w:val="center"/>
          </w:tcPr>
          <w:p>
            <w:pPr>
              <w:spacing w:after="0"/>
            </w:pPr>
            <w:r>
              <w:rPr>
                <w:rFonts w:ascii="Arial" w:hAnsi="Arial"/>
                <w:sz w:val="15"/>
              </w:rPr>
              <w:t>Adaptive/generative views with governed semantics and no ambient authority.</w:t>
            </w:r>
          </w:p>
        </w:tc>
      </w:tr>
      <w:tr>
        <w:trPr>
          <w:cantSplit/>
        </w:trPr>
        <w:tc>
          <w:tcPr>
            <w:tcW w:type="dxa" w:w="1101"/>
            <w:tcMar>
              <w:top w:w="90" w:type="dxa"/>
              <w:start w:w="120" w:type="dxa"/>
              <w:bottom w:w="90" w:type="dxa"/>
              <w:end w:w="120" w:type="dxa"/>
            </w:tcMar>
            <w:vAlign w:val="center"/>
            <w:shd w:fill="F5F6F8"/>
          </w:tcPr>
          <w:p>
            <w:pPr>
              <w:spacing w:after="0"/>
            </w:pPr>
            <w:r>
              <w:rPr>
                <w:rFonts w:ascii="Arial" w:hAnsi="Arial"/>
                <w:sz w:val="15"/>
              </w:rPr>
              <w:t>Network</w:t>
            </w:r>
          </w:p>
        </w:tc>
        <w:tc>
          <w:tcPr>
            <w:tcW w:type="dxa" w:w="2872"/>
            <w:tcMar>
              <w:top w:w="90" w:type="dxa"/>
              <w:start w:w="120" w:type="dxa"/>
              <w:bottom w:w="90" w:type="dxa"/>
              <w:end w:w="120" w:type="dxa"/>
            </w:tcMar>
            <w:vAlign w:val="center"/>
            <w:shd w:fill="F5F6F8"/>
          </w:tcPr>
          <w:p>
            <w:pPr>
              <w:spacing w:after="0"/>
            </w:pPr>
            <w:r>
              <w:rPr>
                <w:rFonts w:ascii="Arial" w:hAnsi="Arial"/>
                <w:sz w:val="15"/>
              </w:rPr>
              <w:t>Shared Inventory and integrated services exist.</w:t>
            </w:r>
          </w:p>
        </w:tc>
        <w:tc>
          <w:tcPr>
            <w:tcW w:type="dxa" w:w="2872"/>
            <w:tcMar>
              <w:top w:w="90" w:type="dxa"/>
              <w:start w:w="120" w:type="dxa"/>
              <w:bottom w:w="90" w:type="dxa"/>
              <w:end w:w="120" w:type="dxa"/>
            </w:tcMar>
            <w:vAlign w:val="center"/>
            <w:shd w:fill="F5F6F8"/>
          </w:tcPr>
          <w:p>
            <w:pPr>
              <w:spacing w:after="0"/>
            </w:pPr>
            <w:r>
              <w:rPr>
                <w:rFonts w:ascii="Arial" w:hAnsi="Arial"/>
                <w:sz w:val="15"/>
              </w:rPr>
              <w:t>Improve liquidity, rules and measurable contribution.</w:t>
            </w:r>
          </w:p>
        </w:tc>
        <w:tc>
          <w:tcPr>
            <w:tcW w:type="dxa" w:w="2872"/>
            <w:tcMar>
              <w:top w:w="90" w:type="dxa"/>
              <w:start w:w="120" w:type="dxa"/>
              <w:bottom w:w="90" w:type="dxa"/>
              <w:end w:w="120" w:type="dxa"/>
            </w:tcMar>
            <w:vAlign w:val="center"/>
            <w:shd w:fill="F5F6F8"/>
          </w:tcPr>
          <w:p>
            <w:pPr>
              <w:spacing w:after="0"/>
            </w:pPr>
            <w:r>
              <w:rPr>
                <w:rFonts w:ascii="Arial" w:hAnsi="Arial"/>
                <w:sz w:val="15"/>
              </w:rPr>
              <w:t>A governed real-estate operating network/ecosystem.</w:t>
            </w:r>
          </w:p>
        </w:tc>
      </w:tr>
    </w:tbl>
    <w:p>
      <w:pPr>
        <w:spacing w:after="0"/>
      </w:pPr>
    </w:p>
    <w:p>
      <w:pPr>
        <w:pStyle w:val="SourceNote"/>
        <w:spacing w:before="20" w:after="100"/>
      </w:pPr>
      <w:r>
        <w:rPr>
          <w:i/>
        </w:rPr>
        <w:t>Source basis: Roadmap v1.1, current migrations/code, Experience Architecture v0.1 and R1 sources. “Implemented in repo” is not the same as broadly validated in production.</w:t>
      </w:r>
    </w:p>
    <w:p>
      <w:pPr>
        <w:pStyle w:val="Heading1"/>
      </w:pPr>
      <w:r>
        <w:t>11. The near-term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05"/>
            <w:shd w:fill="21143D"/>
            <w:tcMar>
              <w:top w:w="90" w:type="dxa"/>
              <w:start w:w="120" w:type="dxa"/>
              <w:bottom w:w="90" w:type="dxa"/>
              <w:end w:w="120" w:type="dxa"/>
            </w:tcMar>
            <w:vAlign w:val="center"/>
          </w:tcPr>
          <w:p>
            <w:r>
              <w:rPr>
                <w:rFonts w:ascii="Arial" w:hAnsi="Arial"/>
                <w:b/>
                <w:color w:val="FFFFFF"/>
                <w:sz w:val="16"/>
              </w:rPr>
              <w:t>Horizon</w:t>
            </w:r>
          </w:p>
        </w:tc>
        <w:tc>
          <w:tcPr>
            <w:tcW w:type="dxa" w:w="4107"/>
            <w:shd w:fill="21143D"/>
            <w:tcMar>
              <w:top w:w="90" w:type="dxa"/>
              <w:start w:w="120" w:type="dxa"/>
              <w:bottom w:w="90" w:type="dxa"/>
              <w:end w:w="120" w:type="dxa"/>
            </w:tcMar>
            <w:vAlign w:val="center"/>
          </w:tcPr>
          <w:p>
            <w:r>
              <w:rPr>
                <w:rFonts w:ascii="Arial" w:hAnsi="Arial"/>
                <w:b/>
                <w:color w:val="FFFFFF"/>
                <w:sz w:val="16"/>
              </w:rPr>
              <w:t>Job to be done</w:t>
            </w:r>
          </w:p>
        </w:tc>
        <w:tc>
          <w:tcPr>
            <w:tcW w:type="dxa" w:w="4107"/>
            <w:shd w:fill="21143D"/>
            <w:tcMar>
              <w:top w:w="90" w:type="dxa"/>
              <w:start w:w="120" w:type="dxa"/>
              <w:bottom w:w="90" w:type="dxa"/>
              <w:end w:w="120" w:type="dxa"/>
            </w:tcMar>
            <w:vAlign w:val="center"/>
          </w:tcPr>
          <w:p>
            <w:r>
              <w:rPr>
                <w:rFonts w:ascii="Arial" w:hAnsi="Arial"/>
                <w:b/>
                <w:color w:val="FFFFFF"/>
                <w:sz w:val="16"/>
              </w:rPr>
              <w:t>Graduation emphasis</w:t>
            </w:r>
          </w:p>
        </w:tc>
      </w:tr>
      <w:tr>
        <w:trPr>
          <w:cantSplit/>
        </w:trPr>
        <w:tc>
          <w:tcPr>
            <w:tcW w:type="dxa" w:w="1505"/>
            <w:tcMar>
              <w:top w:w="90" w:type="dxa"/>
              <w:start w:w="120" w:type="dxa"/>
              <w:bottom w:w="90" w:type="dxa"/>
              <w:end w:w="120" w:type="dxa"/>
            </w:tcMar>
            <w:vAlign w:val="center"/>
          </w:tcPr>
          <w:p>
            <w:pPr>
              <w:spacing w:after="0"/>
            </w:pPr>
            <w:r>
              <w:rPr>
                <w:rFonts w:ascii="Arial" w:hAnsi="Arial"/>
                <w:sz w:val="15"/>
              </w:rPr>
              <w:t>R0</w:t>
            </w:r>
          </w:p>
        </w:tc>
        <w:tc>
          <w:tcPr>
            <w:tcW w:type="dxa" w:w="4107"/>
            <w:tcMar>
              <w:top w:w="90" w:type="dxa"/>
              <w:start w:w="120" w:type="dxa"/>
              <w:bottom w:w="90" w:type="dxa"/>
              <w:end w:w="120" w:type="dxa"/>
            </w:tcMar>
            <w:vAlign w:val="center"/>
          </w:tcPr>
          <w:p>
            <w:pPr>
              <w:spacing w:after="0"/>
            </w:pPr>
            <w:r>
              <w:rPr>
                <w:rFonts w:ascii="Arial" w:hAnsi="Arial"/>
                <w:sz w:val="15"/>
              </w:rPr>
              <w:t>Close Studio, Durable Tasks, attachments and Property Optioning rollout/evidence gaps.</w:t>
            </w:r>
          </w:p>
        </w:tc>
        <w:tc>
          <w:tcPr>
            <w:tcW w:type="dxa" w:w="4107"/>
            <w:tcMar>
              <w:top w:w="90" w:type="dxa"/>
              <w:start w:w="120" w:type="dxa"/>
              <w:bottom w:w="90" w:type="dxa"/>
              <w:end w:w="120" w:type="dxa"/>
            </w:tcMar>
            <w:vAlign w:val="center"/>
          </w:tcPr>
          <w:p>
            <w:pPr>
              <w:spacing w:after="0"/>
            </w:pPr>
            <w:r>
              <w:rPr>
                <w:rFonts w:ascii="Arial" w:hAnsi="Arial"/>
                <w:sz w:val="15"/>
              </w:rPr>
              <w:t>Real production paths, controlled canary, no critical tenancy/authority regression.</w:t>
            </w:r>
          </w:p>
        </w:tc>
      </w:tr>
      <w:tr>
        <w:trPr>
          <w:cantSplit/>
        </w:trPr>
        <w:tc>
          <w:tcPr>
            <w:tcW w:type="dxa" w:w="1505"/>
            <w:tcMar>
              <w:top w:w="90" w:type="dxa"/>
              <w:start w:w="120" w:type="dxa"/>
              <w:bottom w:w="90" w:type="dxa"/>
              <w:end w:w="120" w:type="dxa"/>
            </w:tcMar>
            <w:vAlign w:val="center"/>
            <w:shd w:fill="F5F6F8"/>
          </w:tcPr>
          <w:p>
            <w:pPr>
              <w:spacing w:after="0"/>
            </w:pPr>
            <w:r>
              <w:rPr>
                <w:rFonts w:ascii="Arial" w:hAnsi="Arial"/>
                <w:sz w:val="15"/>
              </w:rPr>
              <w:t>R1</w:t>
            </w:r>
          </w:p>
        </w:tc>
        <w:tc>
          <w:tcPr>
            <w:tcW w:type="dxa" w:w="4107"/>
            <w:tcMar>
              <w:top w:w="90" w:type="dxa"/>
              <w:start w:w="120" w:type="dxa"/>
              <w:bottom w:w="90" w:type="dxa"/>
              <w:end w:w="120" w:type="dxa"/>
            </w:tcMar>
            <w:vAlign w:val="center"/>
            <w:shd w:fill="F5F6F8"/>
          </w:tcPr>
          <w:p>
            <w:pPr>
              <w:spacing w:after="0"/>
            </w:pPr>
            <w:r>
              <w:rPr>
                <w:rFonts w:ascii="Arial" w:hAnsi="Arial"/>
                <w:sz w:val="15"/>
              </w:rPr>
              <w:t>Relationship Operations v1: keep viable opportunities moving toward the best achievable outcome.</w:t>
            </w:r>
          </w:p>
        </w:tc>
        <w:tc>
          <w:tcPr>
            <w:tcW w:type="dxa" w:w="4107"/>
            <w:tcMar>
              <w:top w:w="90" w:type="dxa"/>
              <w:start w:w="120" w:type="dxa"/>
              <w:bottom w:w="90" w:type="dxa"/>
              <w:end w:w="120" w:type="dxa"/>
            </w:tcMar>
            <w:vAlign w:val="center"/>
            <w:shd w:fill="F5F6F8"/>
          </w:tcPr>
          <w:p>
            <w:pPr>
              <w:spacing w:after="0"/>
            </w:pPr>
            <w:r>
              <w:rPr>
                <w:rFonts w:ascii="Arial" w:hAnsi="Arial"/>
                <w:sz w:val="15"/>
              </w:rPr>
              <w:t>Cross-session continuity, correct human routing and visit progression evidence.</w:t>
            </w:r>
          </w:p>
        </w:tc>
      </w:tr>
      <w:tr>
        <w:trPr>
          <w:cantSplit/>
        </w:trPr>
        <w:tc>
          <w:tcPr>
            <w:tcW w:type="dxa" w:w="1505"/>
            <w:tcMar>
              <w:top w:w="90" w:type="dxa"/>
              <w:start w:w="120" w:type="dxa"/>
              <w:bottom w:w="90" w:type="dxa"/>
              <w:end w:w="120" w:type="dxa"/>
            </w:tcMar>
            <w:vAlign w:val="center"/>
          </w:tcPr>
          <w:p>
            <w:pPr>
              <w:spacing w:after="0"/>
            </w:pPr>
            <w:r>
              <w:rPr>
                <w:rFonts w:ascii="Arial" w:hAnsi="Arial"/>
                <w:sz w:val="15"/>
              </w:rPr>
              <w:t>R2</w:t>
            </w:r>
          </w:p>
        </w:tc>
        <w:tc>
          <w:tcPr>
            <w:tcW w:type="dxa" w:w="4107"/>
            <w:tcMar>
              <w:top w:w="90" w:type="dxa"/>
              <w:start w:w="120" w:type="dxa"/>
              <w:bottom w:w="90" w:type="dxa"/>
              <w:end w:w="120" w:type="dxa"/>
            </w:tcMar>
            <w:vAlign w:val="center"/>
          </w:tcPr>
          <w:p>
            <w:pPr>
              <w:spacing w:after="0"/>
            </w:pPr>
            <w:r>
              <w:rPr>
                <w:rFonts w:ascii="Arial" w:hAnsi="Arial"/>
                <w:sz w:val="15"/>
              </w:rPr>
              <w:t>Outcome loop and repeatable deployment.</w:t>
            </w:r>
          </w:p>
        </w:tc>
        <w:tc>
          <w:tcPr>
            <w:tcW w:type="dxa" w:w="4107"/>
            <w:tcMar>
              <w:top w:w="90" w:type="dxa"/>
              <w:start w:w="120" w:type="dxa"/>
              <w:bottom w:w="90" w:type="dxa"/>
              <w:end w:w="120" w:type="dxa"/>
            </w:tcMar>
            <w:vAlign w:val="center"/>
          </w:tcPr>
          <w:p>
            <w:pPr>
              <w:spacing w:after="0"/>
            </w:pPr>
            <w:r>
              <w:rPr>
                <w:rFonts w:ascii="Arial" w:hAnsi="Arial"/>
                <w:sz w:val="15"/>
              </w:rPr>
              <w:t>More than one materially different customer reaches valuable delegated work with limited bespoke engineering.</w:t>
            </w:r>
          </w:p>
        </w:tc>
      </w:tr>
      <w:tr>
        <w:trPr>
          <w:cantSplit/>
        </w:trPr>
        <w:tc>
          <w:tcPr>
            <w:tcW w:type="dxa" w:w="1505"/>
            <w:tcMar>
              <w:top w:w="90" w:type="dxa"/>
              <w:start w:w="120" w:type="dxa"/>
              <w:bottom w:w="90" w:type="dxa"/>
              <w:end w:w="120" w:type="dxa"/>
            </w:tcMar>
            <w:vAlign w:val="center"/>
            <w:shd w:fill="F5F6F8"/>
          </w:tcPr>
          <w:p>
            <w:pPr>
              <w:spacing w:after="0"/>
            </w:pPr>
            <w:r>
              <w:rPr>
                <w:rFonts w:ascii="Arial" w:hAnsi="Arial"/>
                <w:sz w:val="15"/>
              </w:rPr>
              <w:t>Later / evidence-gated</w:t>
            </w:r>
          </w:p>
        </w:tc>
        <w:tc>
          <w:tcPr>
            <w:tcW w:type="dxa" w:w="4107"/>
            <w:tcMar>
              <w:top w:w="90" w:type="dxa"/>
              <w:start w:w="120" w:type="dxa"/>
              <w:bottom w:w="90" w:type="dxa"/>
              <w:end w:w="120" w:type="dxa"/>
            </w:tcMar>
            <w:vAlign w:val="center"/>
            <w:shd w:fill="F5F6F8"/>
          </w:tcPr>
          <w:p>
            <w:pPr>
              <w:spacing w:after="0"/>
            </w:pPr>
            <w:r>
              <w:rPr>
                <w:rFonts w:ascii="Arial" w:hAnsi="Arial"/>
                <w:sz w:val="15"/>
              </w:rPr>
              <w:t>Organization maturity, Demand Operations, Business Brain, Transaction Operations, Network expansion, consumer discovery and governed improvement.</w:t>
            </w:r>
          </w:p>
        </w:tc>
        <w:tc>
          <w:tcPr>
            <w:tcW w:type="dxa" w:w="4107"/>
            <w:tcMar>
              <w:top w:w="90" w:type="dxa"/>
              <w:start w:w="120" w:type="dxa"/>
              <w:bottom w:w="90" w:type="dxa"/>
              <w:end w:w="120" w:type="dxa"/>
            </w:tcMar>
            <w:vAlign w:val="center"/>
            <w:shd w:fill="F5F6F8"/>
          </w:tcPr>
          <w:p>
            <w:pPr>
              <w:spacing w:after="0"/>
            </w:pPr>
            <w:r>
              <w:rPr>
                <w:rFonts w:ascii="Arial" w:hAnsi="Arial"/>
                <w:sz w:val="15"/>
              </w:rPr>
              <w:t>Pulled by product evidence rather than platform ambition alone.</w:t>
            </w:r>
          </w:p>
        </w:tc>
      </w:tr>
    </w:tbl>
    <w:p>
      <w:pPr>
        <w:spacing w:after="0"/>
      </w:pPr>
    </w:p>
    <w:p>
      <w:pPr>
        <w:pStyle w:val="Heading1"/>
      </w:pPr>
      <w:r>
        <w:t>12. What this means for the team</w:t>
      </w:r>
    </w:p>
    <w:p>
      <w:pPr>
        <w:pStyle w:val="ListBullet"/>
        <w:spacing w:after="56"/>
        <w:ind w:left="360" w:hanging="202"/>
      </w:pPr>
      <w:r>
        <w:t>Start from business responsibility and outcome, not a screen, agent, table or tool.</w:t>
      </w:r>
    </w:p>
    <w:p>
      <w:pPr>
        <w:pStyle w:val="ListBullet"/>
        <w:spacing w:after="56"/>
        <w:ind w:left="360" w:hanging="202"/>
      </w:pPr>
      <w:r>
        <w:t>Name the owner of each kind of truth before designing prompts or interfaces.</w:t>
      </w:r>
    </w:p>
    <w:p>
      <w:pPr>
        <w:pStyle w:val="ListBullet"/>
        <w:spacing w:after="56"/>
        <w:ind w:left="360" w:hanging="202"/>
      </w:pPr>
      <w:r>
        <w:t>Reuse the operating kernel and specialize domain semantics.</w:t>
      </w:r>
    </w:p>
    <w:p>
      <w:pPr>
        <w:pStyle w:val="ListBullet"/>
        <w:spacing w:after="56"/>
        <w:ind w:left="360" w:hanging="202"/>
      </w:pPr>
      <w:r>
        <w:t>Use models for semantic/contextual judgment and deterministic mechanisms for repeatable guarantees.</w:t>
      </w:r>
    </w:p>
    <w:p>
      <w:pPr>
        <w:pStyle w:val="ListBullet"/>
        <w:spacing w:after="56"/>
        <w:ind w:left="360" w:hanging="202"/>
      </w:pPr>
      <w:r>
        <w:t>Request capabilities instead of hard-coding providers or worker identities.</w:t>
      </w:r>
    </w:p>
    <w:p>
      <w:pPr>
        <w:pStyle w:val="ListBullet"/>
        <w:spacing w:after="56"/>
        <w:ind w:left="360" w:hanging="202"/>
      </w:pPr>
      <w:r>
        <w:t>Define authority and evidence before claiming autonomy or completion.</w:t>
      </w:r>
    </w:p>
    <w:p>
      <w:pPr>
        <w:pStyle w:val="ListBullet"/>
        <w:spacing w:after="56"/>
        <w:ind w:left="360" w:hanging="202"/>
      </w:pPr>
      <w:r>
        <w:t>Preserve current/partial/target/vision precision.</w:t>
      </w:r>
    </w:p>
    <w:p>
      <w:pPr>
        <w:pStyle w:val="ListBullet"/>
        <w:spacing w:after="56"/>
        <w:ind w:left="360" w:hanging="202"/>
      </w:pPr>
      <w:r>
        <w:t>Evolve the working Gu brownfield through adapters, flags, versioning and reversible rollout.</w:t>
      </w:r>
    </w:p>
    <w:p>
      <w:pPr>
        <w:pStyle w:val="Heading1"/>
      </w:pPr>
      <w:r>
        <w:t>Working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938"/>
            <w:shd w:fill="21143D"/>
            <w:tcMar>
              <w:top w:w="90" w:type="dxa"/>
              <w:start w:w="120" w:type="dxa"/>
              <w:bottom w:w="90" w:type="dxa"/>
              <w:end w:w="120" w:type="dxa"/>
            </w:tcMar>
            <w:vAlign w:val="center"/>
          </w:tcPr>
          <w:p>
            <w:r>
              <w:rPr>
                <w:rFonts w:ascii="Arial" w:hAnsi="Arial"/>
                <w:b/>
                <w:color w:val="FFFFFF"/>
                <w:sz w:val="16"/>
              </w:rPr>
              <w:t>Term</w:t>
            </w:r>
          </w:p>
        </w:tc>
        <w:tc>
          <w:tcPr>
            <w:tcW w:type="dxa" w:w="6781"/>
            <w:shd w:fill="21143D"/>
            <w:tcMar>
              <w:top w:w="90" w:type="dxa"/>
              <w:start w:w="120" w:type="dxa"/>
              <w:bottom w:w="90" w:type="dxa"/>
              <w:end w:w="120" w:type="dxa"/>
            </w:tcMar>
            <w:vAlign w:val="center"/>
          </w:tcPr>
          <w:p>
            <w:r>
              <w:rPr>
                <w:rFonts w:ascii="Arial" w:hAnsi="Arial"/>
                <w:b/>
                <w:color w:val="FFFFFF"/>
                <w:sz w:val="16"/>
              </w:rPr>
              <w:t>Team-level meaning</w:t>
            </w:r>
          </w:p>
        </w:tc>
      </w:tr>
      <w:tr>
        <w:trPr>
          <w:cantSplit/>
        </w:trPr>
        <w:tc>
          <w:tcPr>
            <w:tcW w:type="dxa" w:w="2938"/>
            <w:tcMar>
              <w:top w:w="90" w:type="dxa"/>
              <w:start w:w="120" w:type="dxa"/>
              <w:bottom w:w="90" w:type="dxa"/>
              <w:end w:w="120" w:type="dxa"/>
            </w:tcMar>
            <w:vAlign w:val="center"/>
          </w:tcPr>
          <w:p>
            <w:pPr>
              <w:spacing w:after="0"/>
            </w:pPr>
            <w:r>
              <w:rPr>
                <w:rFonts w:ascii="Arial" w:hAnsi="Arial"/>
                <w:sz w:val="15"/>
              </w:rPr>
              <w:t>Gu</w:t>
            </w:r>
          </w:p>
        </w:tc>
        <w:tc>
          <w:tcPr>
            <w:tcW w:type="dxa" w:w="6781"/>
            <w:tcMar>
              <w:top w:w="90" w:type="dxa"/>
              <w:start w:w="120" w:type="dxa"/>
              <w:bottom w:w="90" w:type="dxa"/>
              <w:end w:w="120" w:type="dxa"/>
            </w:tcMar>
            <w:vAlign w:val="center"/>
          </w:tcPr>
          <w:p>
            <w:pPr>
              <w:spacing w:after="0"/>
            </w:pPr>
            <w:r>
              <w:rPr>
                <w:rFonts w:ascii="Arial" w:hAnsi="Arial"/>
                <w:sz w:val="15"/>
              </w:rPr>
              <w:t>The AI coworker the user works with.</w:t>
            </w:r>
          </w:p>
        </w:tc>
      </w:tr>
      <w:tr>
        <w:trPr>
          <w:cantSplit/>
        </w:trPr>
        <w:tc>
          <w:tcPr>
            <w:tcW w:type="dxa" w:w="2938"/>
            <w:tcMar>
              <w:top w:w="90" w:type="dxa"/>
              <w:start w:w="120" w:type="dxa"/>
              <w:bottom w:w="90" w:type="dxa"/>
              <w:end w:w="120" w:type="dxa"/>
            </w:tcMar>
            <w:vAlign w:val="center"/>
            <w:shd w:fill="F5F6F8"/>
          </w:tcPr>
          <w:p>
            <w:pPr>
              <w:spacing w:after="0"/>
            </w:pPr>
            <w:r>
              <w:rPr>
                <w:rFonts w:ascii="Arial" w:hAnsi="Arial"/>
                <w:sz w:val="15"/>
              </w:rPr>
              <w:t>Gu OS</w:t>
            </w:r>
          </w:p>
        </w:tc>
        <w:tc>
          <w:tcPr>
            <w:tcW w:type="dxa" w:w="6781"/>
            <w:tcMar>
              <w:top w:w="90" w:type="dxa"/>
              <w:start w:w="120" w:type="dxa"/>
              <w:bottom w:w="90" w:type="dxa"/>
              <w:end w:w="120" w:type="dxa"/>
            </w:tcMar>
            <w:vAlign w:val="center"/>
            <w:shd w:fill="F5F6F8"/>
          </w:tcPr>
          <w:p>
            <w:pPr>
              <w:spacing w:after="0"/>
            </w:pPr>
            <w:r>
              <w:rPr>
                <w:rFonts w:ascii="Arial" w:hAnsi="Arial"/>
                <w:sz w:val="15"/>
              </w:rPr>
              <w:t>The enabling vertical operating environment.</w:t>
            </w:r>
          </w:p>
        </w:tc>
      </w:tr>
      <w:tr>
        <w:trPr>
          <w:cantSplit/>
        </w:trPr>
        <w:tc>
          <w:tcPr>
            <w:tcW w:type="dxa" w:w="2938"/>
            <w:tcMar>
              <w:top w:w="90" w:type="dxa"/>
              <w:start w:w="120" w:type="dxa"/>
              <w:bottom w:w="90" w:type="dxa"/>
              <w:end w:w="120" w:type="dxa"/>
            </w:tcMar>
            <w:vAlign w:val="center"/>
          </w:tcPr>
          <w:p>
            <w:pPr>
              <w:spacing w:after="0"/>
            </w:pPr>
            <w:r>
              <w:rPr>
                <w:rFonts w:ascii="Arial" w:hAnsi="Arial"/>
                <w:sz w:val="15"/>
              </w:rPr>
              <w:t>Case</w:t>
            </w:r>
          </w:p>
        </w:tc>
        <w:tc>
          <w:tcPr>
            <w:tcW w:type="dxa" w:w="6781"/>
            <w:tcMar>
              <w:top w:w="90" w:type="dxa"/>
              <w:start w:w="120" w:type="dxa"/>
              <w:bottom w:w="90" w:type="dxa"/>
              <w:end w:w="120" w:type="dxa"/>
            </w:tcMar>
            <w:vAlign w:val="center"/>
          </w:tcPr>
          <w:p>
            <w:pPr>
              <w:spacing w:after="0"/>
            </w:pPr>
            <w:r>
              <w:rPr>
                <w:rFonts w:ascii="Arial" w:hAnsi="Arial"/>
                <w:sz w:val="15"/>
              </w:rPr>
              <w:t>Durable commercial/operational truth and responsibility.</w:t>
            </w:r>
          </w:p>
        </w:tc>
      </w:tr>
      <w:tr>
        <w:trPr>
          <w:cantSplit/>
        </w:trPr>
        <w:tc>
          <w:tcPr>
            <w:tcW w:type="dxa" w:w="2938"/>
            <w:tcMar>
              <w:top w:w="90" w:type="dxa"/>
              <w:start w:w="120" w:type="dxa"/>
              <w:bottom w:w="90" w:type="dxa"/>
              <w:end w:w="120" w:type="dxa"/>
            </w:tcMar>
            <w:vAlign w:val="center"/>
            <w:shd w:fill="F5F6F8"/>
          </w:tcPr>
          <w:p>
            <w:pPr>
              <w:spacing w:after="0"/>
            </w:pPr>
            <w:r>
              <w:rPr>
                <w:rFonts w:ascii="Arial" w:hAnsi="Arial"/>
                <w:sz w:val="15"/>
              </w:rPr>
              <w:t>Work Item</w:t>
            </w:r>
          </w:p>
        </w:tc>
        <w:tc>
          <w:tcPr>
            <w:tcW w:type="dxa" w:w="6781"/>
            <w:tcMar>
              <w:top w:w="90" w:type="dxa"/>
              <w:start w:w="120" w:type="dxa"/>
              <w:bottom w:w="90" w:type="dxa"/>
              <w:end w:w="120" w:type="dxa"/>
            </w:tcMar>
            <w:vAlign w:val="center"/>
            <w:shd w:fill="F5F6F8"/>
          </w:tcPr>
          <w:p>
            <w:pPr>
              <w:spacing w:after="0"/>
            </w:pPr>
            <w:r>
              <w:rPr>
                <w:rFonts w:ascii="Arial" w:hAnsi="Arial"/>
                <w:sz w:val="15"/>
              </w:rPr>
              <w:t>A bounded executable unit attached to a Case or Work Run.</w:t>
            </w:r>
          </w:p>
        </w:tc>
      </w:tr>
      <w:tr>
        <w:trPr>
          <w:cantSplit/>
        </w:trPr>
        <w:tc>
          <w:tcPr>
            <w:tcW w:type="dxa" w:w="2938"/>
            <w:tcMar>
              <w:top w:w="90" w:type="dxa"/>
              <w:start w:w="120" w:type="dxa"/>
              <w:bottom w:w="90" w:type="dxa"/>
              <w:end w:w="120" w:type="dxa"/>
            </w:tcMar>
            <w:vAlign w:val="center"/>
          </w:tcPr>
          <w:p>
            <w:pPr>
              <w:spacing w:after="0"/>
            </w:pPr>
            <w:r>
              <w:rPr>
                <w:rFonts w:ascii="Arial" w:hAnsi="Arial"/>
                <w:sz w:val="15"/>
              </w:rPr>
              <w:t>Workflow definition</w:t>
            </w:r>
          </w:p>
        </w:tc>
        <w:tc>
          <w:tcPr>
            <w:tcW w:type="dxa" w:w="6781"/>
            <w:tcMar>
              <w:top w:w="90" w:type="dxa"/>
              <w:start w:w="120" w:type="dxa"/>
              <w:bottom w:w="90" w:type="dxa"/>
              <w:end w:w="120" w:type="dxa"/>
            </w:tcMar>
            <w:vAlign w:val="center"/>
          </w:tcPr>
          <w:p>
            <w:pPr>
              <w:spacing w:after="0"/>
            </w:pPr>
            <w:r>
              <w:rPr>
                <w:rFonts w:ascii="Arial" w:hAnsi="Arial"/>
                <w:sz w:val="15"/>
              </w:rPr>
              <w:t>Versioned governed behavior/transition contract.</w:t>
            </w:r>
          </w:p>
        </w:tc>
      </w:tr>
      <w:tr>
        <w:trPr>
          <w:cantSplit/>
        </w:trPr>
        <w:tc>
          <w:tcPr>
            <w:tcW w:type="dxa" w:w="2938"/>
            <w:tcMar>
              <w:top w:w="90" w:type="dxa"/>
              <w:start w:w="120" w:type="dxa"/>
              <w:bottom w:w="90" w:type="dxa"/>
              <w:end w:w="120" w:type="dxa"/>
            </w:tcMar>
            <w:vAlign w:val="center"/>
            <w:shd w:fill="F5F6F8"/>
          </w:tcPr>
          <w:p>
            <w:pPr>
              <w:spacing w:after="0"/>
            </w:pPr>
            <w:r>
              <w:rPr>
                <w:rFonts w:ascii="Arial" w:hAnsi="Arial"/>
                <w:sz w:val="15"/>
              </w:rPr>
              <w:t>Skill</w:t>
            </w:r>
          </w:p>
        </w:tc>
        <w:tc>
          <w:tcPr>
            <w:tcW w:type="dxa" w:w="6781"/>
            <w:tcMar>
              <w:top w:w="90" w:type="dxa"/>
              <w:start w:w="120" w:type="dxa"/>
              <w:bottom w:w="90" w:type="dxa"/>
              <w:end w:w="120" w:type="dxa"/>
            </w:tcMar>
            <w:vAlign w:val="center"/>
            <w:shd w:fill="F5F6F8"/>
          </w:tcPr>
          <w:p>
            <w:pPr>
              <w:spacing w:after="0"/>
            </w:pPr>
            <w:r>
              <w:rPr>
                <w:rFonts w:ascii="Arial" w:hAnsi="Arial"/>
                <w:sz w:val="15"/>
              </w:rPr>
              <w:t>Reusable procedure and model guidance.</w:t>
            </w:r>
          </w:p>
        </w:tc>
      </w:tr>
      <w:tr>
        <w:trPr>
          <w:cantSplit/>
        </w:trPr>
        <w:tc>
          <w:tcPr>
            <w:tcW w:type="dxa" w:w="2938"/>
            <w:tcMar>
              <w:top w:w="90" w:type="dxa"/>
              <w:start w:w="120" w:type="dxa"/>
              <w:bottom w:w="90" w:type="dxa"/>
              <w:end w:w="120" w:type="dxa"/>
            </w:tcMar>
            <w:vAlign w:val="center"/>
          </w:tcPr>
          <w:p>
            <w:pPr>
              <w:spacing w:after="0"/>
            </w:pPr>
            <w:r>
              <w:rPr>
                <w:rFonts w:ascii="Arial" w:hAnsi="Arial"/>
                <w:sz w:val="15"/>
              </w:rPr>
              <w:t>Tool / capability</w:t>
            </w:r>
          </w:p>
        </w:tc>
        <w:tc>
          <w:tcPr>
            <w:tcW w:type="dxa" w:w="6781"/>
            <w:tcMar>
              <w:top w:w="90" w:type="dxa"/>
              <w:start w:w="120" w:type="dxa"/>
              <w:bottom w:w="90" w:type="dxa"/>
              <w:end w:w="120" w:type="dxa"/>
            </w:tcMar>
            <w:vAlign w:val="center"/>
          </w:tcPr>
          <w:p>
            <w:pPr>
              <w:spacing w:after="0"/>
            </w:pPr>
            <w:r>
              <w:rPr>
                <w:rFonts w:ascii="Arial" w:hAnsi="Arial"/>
                <w:sz w:val="15"/>
              </w:rPr>
              <w:t>Bounded executable contract.</w:t>
            </w:r>
          </w:p>
        </w:tc>
      </w:tr>
      <w:tr>
        <w:trPr>
          <w:cantSplit/>
        </w:trPr>
        <w:tc>
          <w:tcPr>
            <w:tcW w:type="dxa" w:w="2938"/>
            <w:tcMar>
              <w:top w:w="90" w:type="dxa"/>
              <w:start w:w="120" w:type="dxa"/>
              <w:bottom w:w="90" w:type="dxa"/>
              <w:end w:w="120" w:type="dxa"/>
            </w:tcMar>
            <w:vAlign w:val="center"/>
            <w:shd w:fill="F5F6F8"/>
          </w:tcPr>
          <w:p>
            <w:pPr>
              <w:spacing w:after="0"/>
            </w:pPr>
            <w:r>
              <w:rPr>
                <w:rFonts w:ascii="Arial" w:hAnsi="Arial"/>
                <w:sz w:val="15"/>
              </w:rPr>
              <w:t>Business Brain</w:t>
            </w:r>
          </w:p>
        </w:tc>
        <w:tc>
          <w:tcPr>
            <w:tcW w:type="dxa" w:w="6781"/>
            <w:tcMar>
              <w:top w:w="90" w:type="dxa"/>
              <w:start w:w="120" w:type="dxa"/>
              <w:bottom w:w="90" w:type="dxa"/>
              <w:end w:w="120" w:type="dxa"/>
            </w:tcMar>
            <w:vAlign w:val="center"/>
            <w:shd w:fill="F5F6F8"/>
          </w:tcPr>
          <w:p>
            <w:pPr>
              <w:spacing w:after="0"/>
            </w:pPr>
            <w:r>
              <w:rPr>
                <w:rFonts w:ascii="Arial" w:hAnsi="Arial"/>
                <w:sz w:val="15"/>
              </w:rPr>
              <w:t>Company-specific compiled knowledge; not an action queue.</w:t>
            </w:r>
          </w:p>
        </w:tc>
      </w:tr>
      <w:tr>
        <w:trPr>
          <w:cantSplit/>
        </w:trPr>
        <w:tc>
          <w:tcPr>
            <w:tcW w:type="dxa" w:w="2938"/>
            <w:tcMar>
              <w:top w:w="90" w:type="dxa"/>
              <w:start w:w="120" w:type="dxa"/>
              <w:bottom w:w="90" w:type="dxa"/>
              <w:end w:w="120" w:type="dxa"/>
            </w:tcMar>
            <w:vAlign w:val="center"/>
          </w:tcPr>
          <w:p>
            <w:pPr>
              <w:spacing w:after="0"/>
            </w:pPr>
            <w:r>
              <w:rPr>
                <w:rFonts w:ascii="Arial" w:hAnsi="Arial"/>
                <w:sz w:val="15"/>
              </w:rPr>
              <w:t>Contextual View / Artifact</w:t>
            </w:r>
          </w:p>
        </w:tc>
        <w:tc>
          <w:tcPr>
            <w:tcW w:type="dxa" w:w="6781"/>
            <w:tcMar>
              <w:top w:w="90" w:type="dxa"/>
              <w:start w:w="120" w:type="dxa"/>
              <w:bottom w:w="90" w:type="dxa"/>
              <w:end w:w="120" w:type="dxa"/>
            </w:tcMar>
            <w:vAlign w:val="center"/>
          </w:tcPr>
          <w:p>
            <w:pPr>
              <w:spacing w:after="0"/>
            </w:pPr>
            <w:r>
              <w:rPr>
                <w:rFonts w:ascii="Arial" w:hAnsi="Arial"/>
                <w:sz w:val="15"/>
              </w:rPr>
              <w:t>A useful representation or work product derived from valid truth.</w:t>
            </w:r>
          </w:p>
        </w:tc>
      </w:tr>
      <w:tr>
        <w:trPr>
          <w:cantSplit/>
        </w:trPr>
        <w:tc>
          <w:tcPr>
            <w:tcW w:type="dxa" w:w="2938"/>
            <w:tcMar>
              <w:top w:w="90" w:type="dxa"/>
              <w:start w:w="120" w:type="dxa"/>
              <w:bottom w:w="90" w:type="dxa"/>
              <w:end w:w="120" w:type="dxa"/>
            </w:tcMar>
            <w:vAlign w:val="center"/>
            <w:shd w:fill="F5F6F8"/>
          </w:tcPr>
          <w:p>
            <w:pPr>
              <w:spacing w:after="0"/>
            </w:pPr>
            <w:r>
              <w:rPr>
                <w:rFonts w:ascii="Arial" w:hAnsi="Arial"/>
                <w:sz w:val="15"/>
              </w:rPr>
              <w:t>Evidence</w:t>
            </w:r>
          </w:p>
        </w:tc>
        <w:tc>
          <w:tcPr>
            <w:tcW w:type="dxa" w:w="6781"/>
            <w:tcMar>
              <w:top w:w="90" w:type="dxa"/>
              <w:start w:w="120" w:type="dxa"/>
              <w:bottom w:w="90" w:type="dxa"/>
              <w:end w:w="120" w:type="dxa"/>
            </w:tcMar>
            <w:vAlign w:val="center"/>
            <w:shd w:fill="F5F6F8"/>
          </w:tcPr>
          <w:p>
            <w:pPr>
              <w:spacing w:after="0"/>
            </w:pPr>
            <w:r>
              <w:rPr>
                <w:rFonts w:ascii="Arial" w:hAnsi="Arial"/>
                <w:sz w:val="15"/>
              </w:rPr>
              <w:t>Admissible proof appropriate to the business/risk contract.</w:t>
            </w:r>
          </w:p>
        </w:tc>
      </w:tr>
    </w:tbl>
    <w:p>
      <w:pPr>
        <w:spacing w:after="0"/>
      </w:pPr>
    </w:p>
    <w:p>
      <w:pPr>
        <w:pStyle w:val="Heading1"/>
      </w:pPr>
      <w:r>
        <w:t>What changed in the baseline</w:t>
      </w:r>
    </w:p>
    <w:p>
      <w:r>
        <w:t>Gu remains the coworker the user works with; Gu OS remains the vertical operating environment that makes delegable real-estate work durable, governed and measurable. The current repo now contains more of the organizational and Relationship Operations substrate than the historical package described.</w:t>
      </w:r>
    </w:p>
    <w:p>
      <w:pPr>
        <w:pStyle w:val="ListBullet"/>
      </w:pPr>
      <w:r>
        <w:t>Relationship Operations R1: SL-0 through SL-3 are Done; SL-4 is READY but not Planned and has no confirmed DRI.</w:t>
      </w:r>
    </w:p>
    <w:p>
      <w:pPr>
        <w:pStyle w:val="ListBullet"/>
      </w:pPr>
      <w:r>
        <w:t>Organizations, memberships, Organization-scoped secrets, identity bindings and RLS foundations exist; runtime adoption is still partial and must not be presented as complete multi-seat operation.</w:t>
      </w:r>
    </w:p>
    <w:p>
      <w:pPr>
        <w:pStyle w:val="ListBullet"/>
      </w:pPr>
      <w:r>
        <w:t>Personal memory and retrieval are implemented; broad Business Brain / organizational cognition remains target architecture.</w:t>
      </w:r>
    </w:p>
    <w:p>
      <w:pPr>
        <w:pStyle w:val="ListBullet"/>
      </w:pPr>
      <w:r>
        <w:t>The team should distinguish Current (code/evidence), Partial (real but incomplete path), Target (approved direction) and Vision (longer-horizon thesis).</w:t>
      </w:r>
    </w:p>
    <w:p>
      <w:pPr>
        <w:pStyle w:val="Heading1"/>
      </w:pPr>
      <w:r>
        <w:t>Recommended learning route</w:t>
      </w:r>
    </w:p>
    <w:p>
      <w:r>
        <w:t>Use this guide as the shared entry point, then follow the sessions in order: why Gu OS; general agentic systems; Gu OS architecture; runtime and harness; development methodology.</w:t>
      </w:r>
    </w:p>
    <w:p>
      <w:pPr>
        <w:pStyle w:val="Heading1"/>
      </w:pPr>
      <w:r>
        <w:t>Canonical source register</w:t>
      </w:r>
    </w:p>
    <w:p>
      <w:pPr>
        <w:pStyle w:val="ListBullet"/>
        <w:spacing w:after="56"/>
        <w:ind w:left="360" w:hanging="202"/>
      </w:pPr>
      <w:r>
        <w:t>docs/README.md — authority map.</w:t>
      </w:r>
    </w:p>
    <w:p>
      <w:pPr>
        <w:pStyle w:val="ListBullet"/>
        <w:spacing w:after="56"/>
        <w:ind w:left="360" w:hanging="202"/>
      </w:pPr>
      <w:r>
        <w:t>docs/product/PRD.md — approved product intent v0.1.1.</w:t>
      </w:r>
    </w:p>
    <w:p>
      <w:pPr>
        <w:pStyle w:val="ListBullet"/>
        <w:spacing w:after="56"/>
        <w:ind w:left="360" w:hanging="202"/>
      </w:pPr>
      <w:r>
        <w:t>docs/principles/gu-os-principles-and-design-doctrine.md — canonical doctrine v1.0.</w:t>
      </w:r>
    </w:p>
    <w:p>
      <w:pPr>
        <w:pStyle w:val="ListBullet"/>
        <w:spacing w:after="56"/>
        <w:ind w:left="360" w:hanging="202"/>
      </w:pPr>
      <w:r>
        <w:t>docs/roadmap/gu-os-evolution-roadmap.md — product sequencing v1.1.</w:t>
      </w:r>
    </w:p>
    <w:p>
      <w:pPr>
        <w:pStyle w:val="ListBullet"/>
        <w:spacing w:after="56"/>
        <w:ind w:left="360" w:hanging="202"/>
      </w:pPr>
      <w:r>
        <w:t>docs/manuals/architecture-manual.md plus current code/migrations — integrated architecture and implementation evidence.</w:t>
      </w:r>
    </w:p>
    <w:p>
      <w:pPr>
        <w:pStyle w:val="ListBullet"/>
        <w:spacing w:after="56"/>
        <w:ind w:left="360" w:hanging="202"/>
      </w:pPr>
      <w:r>
        <w:t>docs/manuals/gu-os-experience-architecture.md — approved target Experience Architecture v0.1.</w:t>
      </w:r>
    </w:p>
    <w:p>
      <w:pPr>
        <w:pStyle w:val="ListBullet"/>
        <w:spacing w:after="56"/>
        <w:ind w:left="360" w:hanging="202"/>
      </w:pPr>
      <w:r>
        <w:t>docs/product/operating-domains/relationship-operations/ — behavior Specs; docs/product/roadmap-increments/r1-relationship-operations-v1/ — R1 delivery and evidence.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This v2.1 supersedes Ungga_Gu_to_GuOS_Team_Primer_v1.2 as the active team pre-read. The prior document remains historical/reference material.</w:t>
            </w:r>
          </w:p>
        </w:tc>
      </w:tr>
    </w:tbl>
    <w:p>
      <w:pPr>
        <w:spacing w:after="0"/>
      </w:pPr>
    </w:p>
    <w:p>
      <w:pPr>
        <w:pStyle w:val="Heading1"/>
      </w:pPr>
      <w:r>
        <w:t>Sources that govern this guide</w:t>
      </w:r>
    </w:p>
    <w:p>
      <w:pPr>
        <w:pStyle w:val="ListBullet"/>
        <w:spacing w:after="20" w:line="240" w:lineRule="auto"/>
      </w:pPr>
      <w:r>
        <w:rPr>
          <w:rFonts w:ascii="Arial" w:hAnsi="Arial"/>
          <w:color w:val="1F1B30"/>
          <w:sz w:val="17"/>
        </w:rPr>
        <w:t>docs/architecture.md</w:t>
      </w:r>
    </w:p>
    <w:p>
      <w:pPr>
        <w:pStyle w:val="ListBullet"/>
        <w:spacing w:after="20" w:line="240" w:lineRule="auto"/>
      </w:pPr>
      <w:r>
        <w:rPr>
          <w:rFonts w:ascii="Arial" w:hAnsi="Arial"/>
          <w:color w:val="1F1B30"/>
          <w:sz w:val="17"/>
        </w:rPr>
        <w:t>docs/product/roadmap-increments/r1-relationship-operations-v1/slice-plan.md</w:t>
      </w:r>
    </w:p>
    <w:sectPr w:rsidR="00FC693F" w:rsidRPr="0006063C" w:rsidSect="00034616">
      <w:headerReference w:type="default" r:id="rId9"/>
      <w:footerReference w:type="default" r:id="rId10"/>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170"/>
        <w:sz w:val="14"/>
      </w:rPr>
      <w:t xml:space="preserve">Internal explanatory material · Not a canonical source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2" w:color="6C36D9"/>
      </w:pBdr>
    </w:pPr>
    <w:r>
      <w:rPr>
        <w:rFonts w:ascii="Arial" w:hAnsi="Arial"/>
        <w:b/>
        <w:color w:val="6C36D9"/>
        <w:sz w:val="14"/>
      </w:rPr>
      <w:t>UNGGA  |  INTERNAL TEAM COMMUNICATION                                      GU OS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color w:val="1D23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114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6C36D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B63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2114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B61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6C36D9"/>
      <w:sz w:val="16"/>
    </w:rPr>
  </w:style>
  <w:style w:type="paragraph" w:customStyle="1" w:styleId="Callout">
    <w:name w:val="Callout"/>
    <w:rPr>
      <w:rFonts w:ascii="Arial" w:hAnsi="Arial"/>
      <w:b/>
      <w:color w:val="21143D"/>
      <w:sz w:val="19"/>
    </w:rPr>
  </w:style>
  <w:style w:type="paragraph" w:customStyle="1" w:styleId="SourceNote">
    <w:name w:val="Source Note"/>
    <w:rPr>
      <w:rFonts w:ascii="Arial" w:hAnsi="Arial"/>
      <w:b w:val="0"/>
      <w:color w:val="5B617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 Gu OS</dc:title>
  <dc:subject>Internal team pre-read and shared product mental model</dc:subject>
  <dc:creator>Ungga</dc:creator>
  <cp:keywords/>
  <dc:description>Internal explanatory material v2.0; derived from canonical repository sources.</dc:description>
  <cp:lastModifiedBy>Ungga</cp:lastModifiedBy>
  <cp:revision>1</cp:revision>
  <dcterms:created xsi:type="dcterms:W3CDTF">2013-12-23T23:15:00Z</dcterms:created>
  <dcterms:modified xsi:type="dcterms:W3CDTF">2013-12-23T23:15:00Z</dcterms:modified>
  <cp:category/>
</cp:coreProperties>
</file>