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aps/>
          <w:color w:val="7B848D"/>
          <w:spacing w:val="40"/>
          <w:sz w:val="15"/>
          <w:szCs w:val="15"/>
        </w:rPr>
        <w:t xml:space="preserve">LM-10 · Kalkulator skritih stroškov · Interno gradivo</w:t>
      </w:r>
    </w:p>
    <w:p>
      <w:pPr>
        <w:spacing w:after="80" w:before="60" w:line="280"/>
      </w:pPr>
      <w:r>
        <w:rPr>
          <w:rFonts w:ascii="Calibri" w:cs="Calibri" w:eastAsia="Calibri" w:hAnsi="Calibri"/>
          <w:b/>
          <w:bCs/>
          <w:color w:val="1B3A5C"/>
          <w:sz w:val="44"/>
          <w:szCs w:val="44"/>
        </w:rPr>
        <w:t xml:space="preserve">Koliko časa vzame vprašalnik</w:t>
      </w:r>
    </w:p>
    <w:p>
      <w:pPr>
        <w:pBdr>
          <w:bottom w:val="single" w:color="1C5CAB" w:sz="8" w:space="10"/>
        </w:pBdr>
        <w:spacing w:after="160" w:line="300"/>
      </w:pPr>
      <w:r>
        <w:rPr>
          <w:rFonts w:ascii="Cambria" w:cs="Cambria" w:eastAsia="Cambria" w:hAnsi="Cambria"/>
          <w:color w:val="4B545D"/>
          <w:sz w:val="26"/>
          <w:szCs w:val="26"/>
        </w:rPr>
        <w:t xml:space="preserve">Projekcija trajanja pri 3 do 10 izbranih področjih</w:t>
      </w:r>
    </w:p>
    <w:p>
      <w:pPr>
        <w:spacing w:after="200" w:before="0" w:line="276"/>
      </w:pPr>
      <w:r>
        <w:rPr>
          <w:rFonts w:ascii="Calibri" w:cs="Calibri" w:eastAsia="Calibri" w:hAnsi="Calibri"/>
          <w:color w:val="4B545D"/>
          <w:sz w:val="21"/>
          <w:szCs w:val="21"/>
        </w:rPr>
        <w:t xml:space="preserve">Analiza je izmerjena iz kode, ne ocenjena. Za vseh sedem segmentov je prešteto število triažnih področij, polj v vsakem modulu in tip vsakega polja; vsakemu tipu interakcije je pripisan čas, model pa je umerjen tako, da proizvodnja s tremi področji pade v pas 13–15 minut, ki ga je izmeril UX pregled z 25. avgusta 2026.</w:t>
      </w:r>
    </w:p>
    <w:p>
      <w:pPr>
        <w:spacing w:after="40" w:before="0" w:line="264"/>
      </w:pPr>
      <w:r>
        <w:rPr>
          <w:rFonts w:ascii="Calibri" w:cs="Calibri" w:eastAsia="Calibri" w:hAnsi="Calibri"/>
          <w:b/>
          <w:bCs/>
          <w:color w:val="7B848D"/>
          <w:sz w:val="16"/>
          <w:szCs w:val="16"/>
        </w:rPr>
        <w:t xml:space="preserve">Vir podatkov  </w:t>
      </w:r>
      <w:r>
        <w:rPr>
          <w:rFonts w:ascii="Consolas" w:cs="Consolas" w:eastAsia="Consolas" w:hAnsi="Consolas"/>
          <w:color w:val="4B545D"/>
          <w:sz w:val="16"/>
          <w:szCs w:val="16"/>
        </w:rPr>
        <w:t xml:space="preserve">src/config/segments.ts, src/config/modules/*, src/config/contexts/*</w:t>
      </w:r>
    </w:p>
    <w:p>
      <w:pPr>
        <w:spacing w:after="300" w:before="0" w:line="264"/>
      </w:pPr>
      <w:r>
        <w:rPr>
          <w:rFonts w:ascii="Calibri" w:cs="Calibri" w:eastAsia="Calibri" w:hAnsi="Calibri"/>
          <w:b/>
          <w:bCs/>
          <w:color w:val="7B848D"/>
          <w:sz w:val="16"/>
          <w:szCs w:val="16"/>
        </w:rPr>
        <w:t xml:space="preserve">Umeritev  </w:t>
      </w:r>
      <w:r>
        <w:rPr>
          <w:rFonts w:ascii="Consolas" w:cs="Consolas" w:eastAsia="Consolas" w:hAnsi="Consolas"/>
          <w:color w:val="4B545D"/>
          <w:sz w:val="16"/>
          <w:szCs w:val="16"/>
        </w:rPr>
        <w:t xml:space="preserve">navodila/ux/POROCILO-globoka-ux-raziskava-2026-08-25.md</w:t>
      </w:r>
    </w:p>
    <w:p>
      <w:pPr>
        <w:pStyle w:val="Heading1"/>
        <w:keepNext/>
        <w:pBdr>
          <w:bottom w:val="single" w:color="D6DDE5" w:sz="6" w:space="6"/>
        </w:pBdr>
        <w:spacing w:after="60" w:before="300" w:line="240"/>
      </w:pPr>
      <w:r>
        <w:rPr>
          <w:rFonts w:ascii="Calibri" w:cs="Calibri" w:eastAsia="Calibri" w:hAnsi="Calibri"/>
          <w:b/>
          <w:bCs/>
          <w:color w:val="1B3A5C"/>
          <w:sz w:val="28"/>
          <w:szCs w:val="28"/>
        </w:rPr>
        <w:t xml:space="preserve">1 · Povzetek</w:t>
      </w:r>
    </w:p>
    <w:p>
      <w:pPr>
        <w:spacing w:after="140" w:before="0" w:line="264"/>
      </w:pPr>
      <w:r>
        <w:rPr>
          <w:rFonts w:ascii="Calibri" w:cs="Calibri" w:eastAsia="Calibri" w:hAnsi="Calibri"/>
          <w:color w:val="4B545D"/>
          <w:sz w:val="21"/>
          <w:szCs w:val="21"/>
        </w:rPr>
        <w:t xml:space="preserve">Trajanje raste s številom izbranih področij skoraj popolnoma linearno. Celoten vprašalnik opiše ena formula:</w:t>
      </w:r>
    </w:p>
    <w:p>
      <w:pPr>
        <w:pBdr>
          <w:top w:val="single" w:color="D6DDE5" w:sz="2" w:space="10"/>
          <w:bottom w:val="single" w:color="D6DDE5" w:sz="2" w:space="10"/>
          <w:left w:val="single" w:color="D6DDE5" w:sz="2" w:space="10"/>
          <w:right w:val="single" w:color="D6DDE5" w:sz="2" w:space="10"/>
        </w:pBdr>
        <w:shd w:fill="EDF1F6" w:color="auto" w:val="clear"/>
        <w:spacing w:after="60" w:before="60" w:line="300"/>
        <w:jc w:val="center"/>
      </w:pPr>
      <w:r>
        <w:rPr>
          <w:rFonts w:ascii="Consolas" w:cs="Consolas" w:eastAsia="Consolas" w:hAnsi="Consolas"/>
          <w:b/>
          <w:bCs/>
          <w:color w:val="1B3A5C"/>
          <w:sz w:val="28"/>
          <w:szCs w:val="28"/>
        </w:rPr>
        <w:t xml:space="preserve">čas ≈ 6:25 + 2:25 × k</w:t>
      </w:r>
    </w:p>
    <w:p>
      <w:pPr>
        <w:spacing w:after="220" w:before="0" w:line="252"/>
      </w:pPr>
      <w:r>
        <w:rPr>
          <w:rFonts w:ascii="Calibri" w:cs="Calibri" w:eastAsia="Calibri" w:hAnsi="Calibri"/>
          <w:color w:val="7B848D"/>
          <w:sz w:val="18"/>
          <w:szCs w:val="18"/>
        </w:rPr>
        <w:t xml:space="preserve">k = število izbranih stroškovnih področij. Fiksni del poti (dejavnost, zaposleni, kontekst, triaža, finančna osnova, diagnostika) je po segmentih 5:42–6:58, vsako dodatno področje doda 2:18–2:30. Znotraj posameznega segmenta odklon od premice ne preseže 3 %; enotna formula čez vse segmente odstopa do 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pPr>
            <w:r>
              <w:rPr>
                <w:rFonts w:ascii="Calibri" w:cs="Calibri" w:eastAsia="Calibri" w:hAnsi="Calibri"/>
                <w:b/>
                <w:bCs/>
                <w:color w:val="4B545D"/>
                <w:sz w:val="18"/>
                <w:szCs w:val="18"/>
              </w:rPr>
              <w:t xml:space="preserve">Izbranih področij</w:t>
            </w:r>
          </w:p>
        </w:tc>
        <w:tc>
          <w:tcPr>
            <w:tcW w:type="dxa" w:w="18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8"/>
                <w:szCs w:val="18"/>
              </w:rPr>
              <w:t xml:space="preserve">3 (priporočeno)</w:t>
            </w:r>
          </w:p>
        </w:tc>
        <w:tc>
          <w:tcPr>
            <w:tcW w:type="dxa" w:w="18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8"/>
                <w:szCs w:val="18"/>
              </w:rPr>
              <w:t xml:space="preserve">5</w:t>
            </w:r>
          </w:p>
        </w:tc>
        <w:tc>
          <w:tcPr>
            <w:tcW w:type="dxa" w:w="18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8"/>
                <w:szCs w:val="18"/>
              </w:rPr>
              <w:t xml:space="preserve">8</w:t>
            </w:r>
          </w:p>
        </w:tc>
        <w:tc>
          <w:tcPr>
            <w:tcW w:type="dxa" w:w="18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8"/>
                <w:szCs w:val="18"/>
              </w:rPr>
              <w:t xml:space="preserve">10</w:t>
            </w:r>
          </w:p>
        </w:tc>
      </w:tr>
      <w:tr>
        <w:tc>
          <w:tcPr>
            <w:tcW w:type="dxa" w:w="2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Hiter tempo</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8:57</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12:08</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16:49</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20:05</w:t>
            </w:r>
          </w:p>
        </w:tc>
      </w:tr>
      <w:tr>
        <w:tc>
          <w:tcPr>
            <w:tcW w:type="dxa" w:w="24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b/>
                <w:bCs/>
                <w:color w:val="1A1D21"/>
                <w:sz w:val="19"/>
                <w:szCs w:val="19"/>
              </w:rPr>
              <w:t xml:space="preserve">Realen tempo</w:t>
            </w:r>
          </w:p>
        </w:tc>
        <w:tc>
          <w:tcPr>
            <w:tcW w:type="dxa" w:w="18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1C5CAB"/>
                <w:sz w:val="19"/>
                <w:szCs w:val="19"/>
              </w:rPr>
              <w:t xml:space="preserve">13:47</w:t>
            </w:r>
          </w:p>
        </w:tc>
        <w:tc>
          <w:tcPr>
            <w:tcW w:type="dxa" w:w="18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1C5CAB"/>
                <w:sz w:val="19"/>
                <w:szCs w:val="19"/>
              </w:rPr>
              <w:t xml:space="preserve">18:40</w:t>
            </w:r>
          </w:p>
        </w:tc>
        <w:tc>
          <w:tcPr>
            <w:tcW w:type="dxa" w:w="18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1C5CAB"/>
                <w:sz w:val="19"/>
                <w:szCs w:val="19"/>
              </w:rPr>
              <w:t xml:space="preserve">25:53</w:t>
            </w:r>
          </w:p>
        </w:tc>
        <w:tc>
          <w:tcPr>
            <w:tcW w:type="dxa" w:w="18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1C5CAB"/>
                <w:sz w:val="19"/>
                <w:szCs w:val="19"/>
              </w:rPr>
              <w:t xml:space="preserve">30:53</w:t>
            </w:r>
          </w:p>
        </w:tc>
      </w:tr>
      <w:tr>
        <w:tc>
          <w:tcPr>
            <w:tcW w:type="dxa" w:w="2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Temeljit tempo</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23:25</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31:44</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44:00</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52:31</w:t>
            </w:r>
          </w:p>
        </w:tc>
      </w:tr>
      <w:tr>
        <w:tc>
          <w:tcPr>
            <w:tcW w:type="dxa" w:w="2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4B545D"/>
                <w:sz w:val="19"/>
                <w:szCs w:val="19"/>
              </w:rPr>
              <w:t xml:space="preserve">Zaslonov v toku</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9</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11</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14</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16</w:t>
            </w:r>
          </w:p>
        </w:tc>
      </w:tr>
      <w:tr>
        <w:tc>
          <w:tcPr>
            <w:tcW w:type="dxa" w:w="2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4B545D"/>
                <w:sz w:val="19"/>
                <w:szCs w:val="19"/>
              </w:rPr>
              <w:t xml:space="preserve">Vnosnih polj</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≈40</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≈50</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≈66</w:t>
            </w:r>
          </w:p>
        </w:tc>
        <w:tc>
          <w:tcPr>
            <w:tcW w:type="dxa" w:w="18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4B545D"/>
                <w:sz w:val="19"/>
                <w:szCs w:val="19"/>
              </w:rPr>
              <w:t xml:space="preserve">≈77</w:t>
            </w:r>
          </w:p>
        </w:tc>
      </w:tr>
    </w:tbl>
    <w:p>
      <w:pPr>
        <w:spacing w:after="130" w:before="60"/>
      </w:pPr>
      <w:r>
        <w:rPr>
          <w:rFonts w:ascii="Calibri" w:cs="Calibri" w:eastAsia="Calibri" w:hAnsi="Calibri"/>
          <w:i/>
          <w:iCs/>
          <w:color w:val="7B848D"/>
          <w:sz w:val="16"/>
          <w:szCs w:val="16"/>
        </w:rPr>
        <w:t xml:space="preserve">Tabela 1 — Povprečje sedmih segmentov. Pri osmih področjih povprečje zajema šest segmentov, pri desetih štiri — toliko jih toliko področij sploh ponuja. Do oddaje e-naslova prištejte še približno 2:50 za branje rezultata in obrazec.</w:t>
      </w:r>
    </w:p>
    <w:p>
      <w:pPr>
        <w:pStyle w:val="Heading1"/>
        <w:keepNext/>
        <w:pBdr>
          <w:bottom w:val="single" w:color="D6DDE5" w:sz="6" w:space="6"/>
        </w:pBdr>
        <w:spacing w:after="60" w:before="300" w:line="240"/>
      </w:pPr>
      <w:r>
        <w:rPr>
          <w:rFonts w:ascii="Calibri" w:cs="Calibri" w:eastAsia="Calibri" w:hAnsi="Calibri"/>
          <w:b/>
          <w:bCs/>
          <w:color w:val="1B3A5C"/>
          <w:sz w:val="28"/>
          <w:szCs w:val="28"/>
        </w:rPr>
        <w:t xml:space="preserve">2 · Projekcija: 1 do 11 področij</w:t>
      </w:r>
    </w:p>
    <w:p>
      <w:pPr>
        <w:spacing w:after="160" w:before="0" w:line="264"/>
      </w:pPr>
      <w:r>
        <w:rPr>
          <w:rFonts w:ascii="Calibri" w:cs="Calibri" w:eastAsia="Calibri" w:hAnsi="Calibri"/>
          <w:color w:val="4B545D"/>
          <w:sz w:val="21"/>
          <w:szCs w:val="21"/>
        </w:rPr>
        <w:t xml:space="preserve">Tri hitrosti izpolnjevanja iste poti. Realen tempo pomeni, da obiskovalec vprašanja prebere, številke oceni na pamet in ne odpira pojasnil pod gumbom »?«. Hiter tempo je 0,65-kratnik, temeljit 1,7-kratnik realnega.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40" w:before="60"/>
              <w:jc w:val="center"/>
            </w:pPr>
            <w:r>
              <w:drawing>
                <wp:inline distT="0" distB="0" distL="0" distR="0">
                  <wp:extent cx="6000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2638425"/>
                          </a:xfrm>
                          <a:prstGeom prst="rect">
                            <a:avLst/>
                          </a:prstGeom>
                        </pic:spPr>
                      </pic:pic>
                    </a:graphicData>
                  </a:graphic>
                </wp:inline>
              </w:drawing>
            </w:r>
          </w:p>
          <w:p>
            <w:pPr>
              <w:spacing w:after="130" w:before="60"/>
            </w:pPr>
            <w:r>
              <w:rPr>
                <w:rFonts w:ascii="Calibri" w:cs="Calibri" w:eastAsia="Calibri" w:hAnsi="Calibri"/>
                <w:i/>
                <w:iCs/>
                <w:color w:val="7B848D"/>
                <w:sz w:val="16"/>
                <w:szCs w:val="16"/>
              </w:rPr>
              <w:t xml:space="preserve">Graf 1 — Čas do prikaza rezultata glede na število izbranih področij. Črtkana vodoravna črta je obljuba iz aplikacije. Prazne točke od osmega področja naprej pomenijo, da povprečje tam zajema manj kot sedem segmentov.</w:t>
            </w:r>
          </w:p>
        </w:tc>
      </w:tr>
    </w:tbl>
    <w:p>
      <w:pPr>
        <w:pStyle w:val="Heading2"/>
        <w:keepNext/>
        <w:spacing w:after="50" w:before="190" w:line="240"/>
      </w:pPr>
      <w:r>
        <w:rPr>
          <w:rFonts w:ascii="Calibri" w:cs="Calibri" w:eastAsia="Calibri" w:hAnsi="Calibri"/>
          <w:b/>
          <w:bCs/>
          <w:color w:val="1A1D21"/>
          <w:sz w:val="23"/>
          <w:szCs w:val="23"/>
        </w:rPr>
        <w:t xml:space="preserve">Vse dejavnosti, realen tempo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825"/>
        <w:gridCol w:w="825"/>
        <w:gridCol w:w="825"/>
        <w:gridCol w:w="825"/>
        <w:gridCol w:w="825"/>
        <w:gridCol w:w="825"/>
        <w:gridCol w:w="825"/>
        <w:gridCol w:w="825"/>
        <w:gridCol w:w="720"/>
      </w:tblGrid>
      <w:tr>
        <w:trPr>
          <w:tblHeader/>
        </w:trPr>
        <w:tc>
          <w:tcPr>
            <w:tcW w:type="dxa" w:w="2318"/>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pPr>
            <w:r>
              <w:rPr>
                <w:rFonts w:ascii="Calibri" w:cs="Calibri" w:eastAsia="Calibri" w:hAnsi="Calibri"/>
                <w:b/>
                <w:bCs/>
                <w:color w:val="4B545D"/>
                <w:sz w:val="17"/>
                <w:szCs w:val="17"/>
              </w:rPr>
              <w:t xml:space="preserve">Dejavnost</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3</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4</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5</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6</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7</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8</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9</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10</w:t>
            </w:r>
          </w:p>
        </w:tc>
        <w:tc>
          <w:tcPr>
            <w:tcW w:type="dxa" w:w="72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7"/>
                <w:szCs w:val="17"/>
              </w:rPr>
              <w:t xml:space="preserve">maks.</w:t>
            </w:r>
          </w:p>
        </w:tc>
      </w:tr>
      <w:tr>
        <w:tc>
          <w:tcPr>
            <w:tcW w:type="dxa" w:w="231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Proizvodnja</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13:18</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15:30</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18:26</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20:38</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23:04</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25:30</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27:56</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30:08</w:t>
            </w:r>
          </w:p>
        </w:tc>
        <w:tc>
          <w:tcPr>
            <w:tcW w:type="dxa" w:w="72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10</w:t>
            </w:r>
          </w:p>
        </w:tc>
      </w:tr>
      <w:tr>
        <w:tc>
          <w:tcPr>
            <w:tcW w:type="dxa" w:w="231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Logistika in transport</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14:06</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16:34</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18:46</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20:58</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23:24</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25:50</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72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8</w:t>
            </w:r>
          </w:p>
        </w:tc>
      </w:tr>
      <w:tr>
        <w:tc>
          <w:tcPr>
            <w:tcW w:type="dxa" w:w="231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Veleprodaja in distribucija</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14:21</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17:03</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19:59</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22:11</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24:37</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27:03</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29:29</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31:41</w:t>
            </w:r>
          </w:p>
        </w:tc>
        <w:tc>
          <w:tcPr>
            <w:tcW w:type="dxa" w:w="72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10</w:t>
            </w:r>
          </w:p>
        </w:tc>
      </w:tr>
      <w:tr>
        <w:tc>
          <w:tcPr>
            <w:tcW w:type="dxa" w:w="231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Maloprodaja</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14:37</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17:03</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19:15</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22:11</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24:23</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26:49</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29:15</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31:41</w:t>
            </w:r>
          </w:p>
        </w:tc>
        <w:tc>
          <w:tcPr>
            <w:tcW w:type="dxa" w:w="72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11</w:t>
            </w:r>
          </w:p>
        </w:tc>
      </w:tr>
      <w:tr>
        <w:tc>
          <w:tcPr>
            <w:tcW w:type="dxa" w:w="231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Storitve in projekti</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13:57</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16:09</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18:21</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20:33</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22:59</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25:25</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27:51</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30:03</w:t>
            </w:r>
          </w:p>
        </w:tc>
        <w:tc>
          <w:tcPr>
            <w:tcW w:type="dxa" w:w="72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10</w:t>
            </w:r>
          </w:p>
        </w:tc>
      </w:tr>
      <w:tr>
        <w:tc>
          <w:tcPr>
            <w:tcW w:type="dxa" w:w="231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Računovodski servis</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13:10</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15:36</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18:32</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20:44</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23:10</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825"/>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72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7</w:t>
            </w:r>
          </w:p>
        </w:tc>
      </w:tr>
      <w:tr>
        <w:tc>
          <w:tcPr>
            <w:tcW w:type="dxa" w:w="231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8"/>
                <w:szCs w:val="18"/>
              </w:rPr>
              <w:t xml:space="preserve">Splošno / direktor</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8"/>
                <w:szCs w:val="18"/>
              </w:rPr>
              <w:t xml:space="preserve">12:57</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15:23</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17:21</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19:47</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22:13</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B8481A"/>
                <w:sz w:val="18"/>
                <w:szCs w:val="18"/>
              </w:rPr>
              <w:t xml:space="preserve">24:39</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825"/>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w:t>
            </w:r>
          </w:p>
        </w:tc>
        <w:tc>
          <w:tcPr>
            <w:tcW w:type="dxa" w:w="72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7B848D"/>
                <w:sz w:val="18"/>
                <w:szCs w:val="18"/>
              </w:rPr>
              <w:t xml:space="preserve">8</w:t>
            </w:r>
          </w:p>
        </w:tc>
      </w:tr>
      <w:tr>
        <w:tc>
          <w:tcPr>
            <w:tcW w:type="dxa" w:w="2318"/>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pPr>
            <w:r>
              <w:rPr>
                <w:rFonts w:ascii="Calibri" w:cs="Calibri" w:eastAsia="Calibri" w:hAnsi="Calibri"/>
                <w:b/>
                <w:bCs/>
                <w:color w:val="1A1D21"/>
                <w:sz w:val="18"/>
                <w:szCs w:val="18"/>
              </w:rPr>
              <w:t xml:space="preserve">Povprečje</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1A1D21"/>
                <w:sz w:val="18"/>
                <w:szCs w:val="18"/>
              </w:rPr>
              <w:t xml:space="preserve">13:47</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16:11</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18:40</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21:00</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23:24</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25:53</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28:38</w:t>
            </w:r>
          </w:p>
        </w:tc>
        <w:tc>
          <w:tcPr>
            <w:tcW w:type="dxa" w:w="825"/>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8"/>
                <w:szCs w:val="18"/>
              </w:rPr>
              <w:t xml:space="preserve">30:53</w:t>
            </w:r>
          </w:p>
        </w:tc>
        <w:tc>
          <w:tcPr>
            <w:tcW w:type="dxa" w:w="72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color w:val="7B848D"/>
                <w:sz w:val="18"/>
                <w:szCs w:val="18"/>
              </w:rPr>
              <w:t xml:space="preserve">—</w:t>
            </w:r>
          </w:p>
        </w:tc>
      </w:tr>
    </w:tbl>
    <w:p>
      <w:pPr>
        <w:spacing w:after="130" w:before="60"/>
      </w:pPr>
      <w:r>
        <w:rPr>
          <w:rFonts w:ascii="Calibri" w:cs="Calibri" w:eastAsia="Calibri" w:hAnsi="Calibri"/>
          <w:i/>
          <w:iCs/>
          <w:color w:val="7B848D"/>
          <w:sz w:val="16"/>
          <w:szCs w:val="16"/>
        </w:rPr>
        <w:t xml:space="preserve">Tabela 2 — Minute in sekunde do prikaza rezultata. Oranžno je vse nad petnajstimi minutami. Maloprodaja ponuja enajst področij, ne deset, kot navaja tabela horizontalnih področij v README.</w:t>
      </w:r>
    </w:p>
    <w:p>
      <w:pPr>
        <w:pStyle w:val="Heading1"/>
        <w:keepNext/>
        <w:pBdr>
          <w:bottom w:val="single" w:color="D6DDE5" w:sz="6" w:space="6"/>
        </w:pBdr>
        <w:spacing w:after="60" w:before="300" w:line="240"/>
      </w:pPr>
      <w:r>
        <w:rPr>
          <w:rFonts w:ascii="Calibri" w:cs="Calibri" w:eastAsia="Calibri" w:hAnsi="Calibri"/>
          <w:b/>
          <w:bCs/>
          <w:color w:val="1B3A5C"/>
          <w:sz w:val="28"/>
          <w:szCs w:val="28"/>
        </w:rPr>
        <w:t xml:space="preserve">3 · Kje čas nastane</w:t>
      </w:r>
    </w:p>
    <w:p>
      <w:pPr>
        <w:spacing w:after="160" w:before="0" w:line="264"/>
      </w:pPr>
      <w:r>
        <w:rPr>
          <w:rFonts w:ascii="Calibri" w:cs="Calibri" w:eastAsia="Calibri" w:hAnsi="Calibri"/>
          <w:color w:val="4B545D"/>
          <w:sz w:val="21"/>
          <w:szCs w:val="21"/>
        </w:rPr>
        <w:t xml:space="preserve">Šest korakov je fiksnih — obiskovalec jih opravi enkrat, ne glede na izbiro. Sedmi je edini, ki se množi: vsako obkljukano področje je ena stran s petimi do sedmimi polji.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438"/>
      </w:tblGrid>
      <w:tr>
        <w:trPr>
          <w:tblHeader/>
        </w:trPr>
        <w:tc>
          <w:tcPr>
            <w:tcW w:type="dxa" w:w="29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pPr>
            <w:r>
              <w:rPr>
                <w:rFonts w:ascii="Calibri" w:cs="Calibri" w:eastAsia="Calibri" w:hAnsi="Calibri"/>
                <w:b/>
                <w:bCs/>
                <w:color w:val="4B545D"/>
                <w:sz w:val="18"/>
                <w:szCs w:val="18"/>
              </w:rPr>
              <w:t xml:space="preserve">Del poti</w:t>
            </w:r>
          </w:p>
        </w:tc>
        <w:tc>
          <w:tcPr>
            <w:tcW w:type="dxa" w:w="13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8"/>
                <w:szCs w:val="18"/>
              </w:rPr>
              <w:t xml:space="preserve">Trajanje</w:t>
            </w:r>
          </w:p>
        </w:tc>
        <w:tc>
          <w:tcPr>
            <w:tcW w:type="dxa" w:w="5438"/>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pPr>
            <w:r>
              <w:rPr>
                <w:rFonts w:ascii="Calibri" w:cs="Calibri" w:eastAsia="Calibri" w:hAnsi="Calibri"/>
                <w:b/>
                <w:bCs/>
                <w:color w:val="4B545D"/>
                <w:sz w:val="18"/>
                <w:szCs w:val="18"/>
              </w:rPr>
              <w:t xml:space="preserve">Kaj vsebuje</w:t>
            </w:r>
          </w:p>
        </w:tc>
      </w:tr>
      <w:tr>
        <w:tc>
          <w:tcPr>
            <w:tcW w:type="dxa" w:w="29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b w:val="false"/>
                <w:bCs w:val="false"/>
                <w:color w:val="1A1D21"/>
                <w:sz w:val="19"/>
                <w:szCs w:val="19"/>
              </w:rPr>
              <w:t xml:space="preserve">Dejavnost</w:t>
            </w:r>
          </w:p>
        </w:tc>
        <w:tc>
          <w:tcPr>
            <w:tcW w:type="dxa" w:w="13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b w:val="false"/>
                <w:bCs w:val="false"/>
                <w:color w:val="1A1D21"/>
                <w:sz w:val="19"/>
                <w:szCs w:val="19"/>
              </w:rPr>
              <w:t xml:space="preserve">0:22</w:t>
            </w:r>
          </w:p>
        </w:tc>
        <w:tc>
          <w:tcPr>
            <w:tcW w:type="dxa" w:w="5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spustni seznam, 8 možnosti</w:t>
            </w:r>
          </w:p>
        </w:tc>
      </w:tr>
      <w:tr>
        <w:tc>
          <w:tcPr>
            <w:tcW w:type="dxa" w:w="29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b w:val="false"/>
                <w:bCs w:val="false"/>
                <w:color w:val="1A1D21"/>
                <w:sz w:val="19"/>
                <w:szCs w:val="19"/>
              </w:rPr>
              <w:t xml:space="preserve">Število zaposlenih</w:t>
            </w:r>
          </w:p>
        </w:tc>
        <w:tc>
          <w:tcPr>
            <w:tcW w:type="dxa" w:w="13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val="false"/>
                <w:bCs w:val="false"/>
                <w:color w:val="1A1D21"/>
                <w:sz w:val="19"/>
                <w:szCs w:val="19"/>
              </w:rPr>
              <w:t xml:space="preserve">0:22</w:t>
            </w:r>
          </w:p>
        </w:tc>
        <w:tc>
          <w:tcPr>
            <w:tcW w:type="dxa" w:w="54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eno število, ne vstopa v noben izračun</w:t>
            </w:r>
          </w:p>
        </w:tc>
      </w:tr>
      <w:tr>
        <w:tc>
          <w:tcPr>
            <w:tcW w:type="dxa" w:w="29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b w:val="false"/>
                <w:bCs w:val="false"/>
                <w:color w:val="1A1D21"/>
                <w:sz w:val="19"/>
                <w:szCs w:val="19"/>
              </w:rPr>
              <w:t xml:space="preserve">Kontekst</w:t>
            </w:r>
          </w:p>
        </w:tc>
        <w:tc>
          <w:tcPr>
            <w:tcW w:type="dxa" w:w="13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b w:val="false"/>
                <w:bCs w:val="false"/>
                <w:color w:val="1A1D21"/>
                <w:sz w:val="19"/>
                <w:szCs w:val="19"/>
              </w:rPr>
              <w:t xml:space="preserve">0:46</w:t>
            </w:r>
          </w:p>
        </w:tc>
        <w:tc>
          <w:tcPr>
            <w:tcW w:type="dxa" w:w="5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3 vprašanja × 5 možnosti</w:t>
            </w:r>
          </w:p>
        </w:tc>
      </w:tr>
      <w:tr>
        <w:tc>
          <w:tcPr>
            <w:tcW w:type="dxa" w:w="29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b w:val="false"/>
                <w:bCs w:val="false"/>
                <w:color w:val="1A1D21"/>
                <w:sz w:val="19"/>
                <w:szCs w:val="19"/>
              </w:rPr>
              <w:t xml:space="preserve">Triaža</w:t>
            </w:r>
          </w:p>
        </w:tc>
        <w:tc>
          <w:tcPr>
            <w:tcW w:type="dxa" w:w="13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val="false"/>
                <w:bCs w:val="false"/>
                <w:color w:val="1A1D21"/>
                <w:sz w:val="19"/>
                <w:szCs w:val="19"/>
              </w:rPr>
              <w:t xml:space="preserve">2:10</w:t>
            </w:r>
          </w:p>
        </w:tc>
        <w:tc>
          <w:tcPr>
            <w:tcW w:type="dxa" w:w="54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10 področij × 4 ocene</w:t>
            </w:r>
          </w:p>
        </w:tc>
      </w:tr>
      <w:tr>
        <w:tc>
          <w:tcPr>
            <w:tcW w:type="dxa" w:w="29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b w:val="false"/>
                <w:bCs w:val="false"/>
                <w:color w:val="1A1D21"/>
                <w:sz w:val="19"/>
                <w:szCs w:val="19"/>
              </w:rPr>
              <w:t xml:space="preserve">Finančna osnova</w:t>
            </w:r>
          </w:p>
        </w:tc>
        <w:tc>
          <w:tcPr>
            <w:tcW w:type="dxa" w:w="13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b w:val="false"/>
                <w:bCs w:val="false"/>
                <w:color w:val="1A1D21"/>
                <w:sz w:val="19"/>
                <w:szCs w:val="19"/>
              </w:rPr>
              <w:t xml:space="preserve">1:50</w:t>
            </w:r>
          </w:p>
        </w:tc>
        <w:tc>
          <w:tcPr>
            <w:tcW w:type="dxa" w:w="54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2 urni postavki, prihodek, marža</w:t>
            </w:r>
          </w:p>
        </w:tc>
      </w:tr>
      <w:tr>
        <w:tc>
          <w:tcPr>
            <w:tcW w:type="dxa" w:w="29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b w:val="false"/>
                <w:bCs w:val="false"/>
                <w:color w:val="1A1D21"/>
                <w:sz w:val="19"/>
                <w:szCs w:val="19"/>
              </w:rPr>
              <w:t xml:space="preserve">Diagnostika</w:t>
            </w:r>
          </w:p>
        </w:tc>
        <w:tc>
          <w:tcPr>
            <w:tcW w:type="dxa" w:w="13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b w:val="false"/>
                <w:bCs w:val="false"/>
                <w:color w:val="1A1D21"/>
                <w:sz w:val="19"/>
                <w:szCs w:val="19"/>
              </w:rPr>
              <w:t xml:space="preserve">0:50</w:t>
            </w:r>
          </w:p>
        </w:tc>
        <w:tc>
          <w:tcPr>
            <w:tcW w:type="dxa" w:w="54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4 vprašanja × 5 možnosti</w:t>
            </w:r>
          </w:p>
        </w:tc>
      </w:tr>
      <w:tr>
        <w:tc>
          <w:tcPr>
            <w:tcW w:type="dxa" w:w="2900"/>
            <w:tcBorders>
              <w:top w:val="single" w:color="D6DDE5" w:sz="4"/>
              <w:left w:val="none" w:color="FFFFFF" w:sz="0"/>
              <w:bottom w:val="single" w:color="D6DDE5" w:sz="4"/>
              <w:right w:val="none" w:color="FFFFFF" w:sz="0"/>
            </w:tcBorders>
            <w:shd w:fill="FCEEE6" w:color="auto" w:val="clear"/>
            <w:tcMar>
              <w:top w:type="dxa" w:w="58"/>
              <w:left w:type="dxa" w:w="110"/>
              <w:bottom w:type="dxa" w:w="58"/>
              <w:right w:type="dxa" w:w="110"/>
            </w:tcMar>
            <w:vAlign w:val="center"/>
          </w:tcPr>
          <w:p>
            <w:pPr>
              <w:spacing w:after="0" w:line="240"/>
            </w:pPr>
            <w:r>
              <w:rPr>
                <w:rFonts w:ascii="Calibri" w:cs="Calibri" w:eastAsia="Calibri" w:hAnsi="Calibri"/>
                <w:b/>
                <w:bCs/>
                <w:color w:val="1A1D21"/>
                <w:sz w:val="19"/>
                <w:szCs w:val="19"/>
              </w:rPr>
              <w:t xml:space="preserve">Eno stroškovno področje</w:t>
            </w:r>
          </w:p>
        </w:tc>
        <w:tc>
          <w:tcPr>
            <w:tcW w:type="dxa" w:w="1300"/>
            <w:tcBorders>
              <w:top w:val="single" w:color="D6DDE5" w:sz="4"/>
              <w:left w:val="none" w:color="FFFFFF" w:sz="0"/>
              <w:bottom w:val="single" w:color="D6DDE5" w:sz="4"/>
              <w:right w:val="none" w:color="FFFFFF" w:sz="0"/>
            </w:tcBorders>
            <w:shd w:fill="FCEEE6" w:color="auto" w:val="clear"/>
            <w:tcMar>
              <w:top w:type="dxa" w:w="58"/>
              <w:left w:type="dxa" w:w="110"/>
              <w:bottom w:type="dxa" w:w="58"/>
              <w:right w:type="dxa" w:w="110"/>
            </w:tcMar>
            <w:vAlign w:val="center"/>
          </w:tcPr>
          <w:p>
            <w:pPr>
              <w:spacing w:after="0" w:line="240"/>
              <w:jc w:val="right"/>
            </w:pPr>
            <w:r>
              <w:rPr>
                <w:rFonts w:ascii="Consolas" w:cs="Consolas" w:eastAsia="Consolas" w:hAnsi="Consolas"/>
                <w:b/>
                <w:bCs/>
                <w:color w:val="B8481A"/>
                <w:sz w:val="19"/>
                <w:szCs w:val="19"/>
              </w:rPr>
              <w:t xml:space="preserve">2:23 × k</w:t>
            </w:r>
          </w:p>
        </w:tc>
        <w:tc>
          <w:tcPr>
            <w:tcW w:type="dxa" w:w="5438"/>
            <w:tcBorders>
              <w:top w:val="single" w:color="D6DDE5" w:sz="4"/>
              <w:left w:val="none" w:color="FFFFFF" w:sz="0"/>
              <w:bottom w:val="single" w:color="D6DDE5" w:sz="4"/>
              <w:right w:val="none" w:color="FFFFFF" w:sz="0"/>
            </w:tcBorders>
            <w:shd w:fill="FCEEE6" w:color="auto" w:val="clear"/>
            <w:tcMar>
              <w:top w:type="dxa" w:w="58"/>
              <w:left w:type="dxa" w:w="110"/>
              <w:bottom w:type="dxa" w:w="58"/>
              <w:right w:type="dxa" w:w="110"/>
            </w:tcMar>
            <w:vAlign w:val="center"/>
          </w:tcPr>
          <w:p>
            <w:pPr>
              <w:spacing w:after="0" w:line="240"/>
            </w:pPr>
            <w:r>
              <w:rPr>
                <w:rFonts w:ascii="Calibri" w:cs="Calibri" w:eastAsia="Calibri" w:hAnsi="Calibri"/>
                <w:color w:val="4B545D"/>
                <w:sz w:val="18"/>
                <w:szCs w:val="18"/>
              </w:rPr>
              <w:t xml:space="preserve">5–7 polj, od tega 3–5 številk — ponovi se ob vsaki kljukici</w:t>
            </w:r>
          </w:p>
        </w:tc>
      </w:tr>
    </w:tbl>
    <w:p>
      <w:pPr>
        <w:spacing w:after="130" w:before="60"/>
      </w:pPr>
      <w:r>
        <w:rPr>
          <w:rFonts w:ascii="Calibri" w:cs="Calibri" w:eastAsia="Calibri" w:hAnsi="Calibri"/>
          <w:i/>
          <w:iCs/>
          <w:color w:val="7B848D"/>
          <w:sz w:val="16"/>
          <w:szCs w:val="16"/>
        </w:rPr>
        <w:t xml:space="preserve">Tabela 3 — Vrednosti za proizvodnjo, vključno z branjem naslova in klikom »Naprej« na vsakem zaslonu. Zgornjih šest vrstic je skupaj 6:20.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40" w:before="60"/>
              <w:jc w:val="center"/>
            </w:pPr>
            <w:r>
              <w:drawing>
                <wp:inline distT="0" distB="0" distL="0" distR="0">
                  <wp:extent cx="6000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181225"/>
                          </a:xfrm>
                          <a:prstGeom prst="rect">
                            <a:avLst/>
                          </a:prstGeom>
                        </pic:spPr>
                      </pic:pic>
                    </a:graphicData>
                  </a:graphic>
                </wp:inline>
              </w:drawing>
            </w:r>
          </w:p>
          <w:p>
            <w:pPr>
              <w:spacing w:after="130" w:before="60"/>
            </w:pPr>
            <w:r>
              <w:rPr>
                <w:rFonts w:ascii="Calibri" w:cs="Calibri" w:eastAsia="Calibri" w:hAnsi="Calibri"/>
                <w:i/>
                <w:iCs/>
                <w:color w:val="7B848D"/>
                <w:sz w:val="16"/>
                <w:szCs w:val="16"/>
              </w:rPr>
              <w:t xml:space="preserve">Graf 2 — Trajanje posameznega dela poti.</w:t>
            </w:r>
          </w:p>
        </w:tc>
      </w:tr>
    </w:tbl>
    <w:p>
      <w:pPr>
        <w:pStyle w:val="Heading1"/>
        <w:keepNext/>
        <w:pBdr>
          <w:bottom w:val="single" w:color="D6DDE5" w:sz="6" w:space="6"/>
        </w:pBdr>
        <w:spacing w:after="60" w:before="300" w:line="240"/>
      </w:pPr>
      <w:r>
        <w:rPr>
          <w:rFonts w:ascii="Calibri" w:cs="Calibri" w:eastAsia="Calibri" w:hAnsi="Calibri"/>
          <w:b/>
          <w:bCs/>
          <w:color w:val="1B3A5C"/>
          <w:sz w:val="28"/>
          <w:szCs w:val="28"/>
        </w:rPr>
        <w:t xml:space="preserve">4 · Razlike med dejavnostmi</w:t>
      </w:r>
    </w:p>
    <w:p>
      <w:pPr>
        <w:spacing w:after="160" w:before="0" w:line="264"/>
      </w:pPr>
      <w:r>
        <w:rPr>
          <w:rFonts w:ascii="Calibri" w:cs="Calibri" w:eastAsia="Calibri" w:hAnsi="Calibri"/>
          <w:color w:val="4B545D"/>
          <w:sz w:val="21"/>
          <w:szCs w:val="21"/>
        </w:rPr>
        <w:t xml:space="preserve">Pri priporočenih treh področjih so segmenti skoraj enaki — razlika med najhitrejšim in najpočasnejšim je pod dvema minutama. Razlika nastane šele na zgornjem robu, ker segmenti ponujajo različno število področij: računovodski servis sedem, maloprodaja enajst.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40" w:before="60"/>
              <w:jc w:val="center"/>
            </w:pPr>
            <w:r>
              <w:drawing>
                <wp:inline distT="0" distB="0" distL="0" distR="0">
                  <wp:extent cx="6000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762250"/>
                          </a:xfrm>
                          <a:prstGeom prst="rect">
                            <a:avLst/>
                          </a:prstGeom>
                        </pic:spPr>
                      </pic:pic>
                    </a:graphicData>
                  </a:graphic>
                </wp:inline>
              </w:drawing>
            </w:r>
          </w:p>
          <w:p>
            <w:pPr>
              <w:spacing w:after="130" w:before="60"/>
            </w:pPr>
            <w:r>
              <w:rPr>
                <w:rFonts w:ascii="Calibri" w:cs="Calibri" w:eastAsia="Calibri" w:hAnsi="Calibri"/>
                <w:i/>
                <w:iCs/>
                <w:color w:val="7B848D"/>
                <w:sz w:val="16"/>
                <w:szCs w:val="16"/>
              </w:rPr>
              <w:t xml:space="preserve">Graf 3 — Priporočena tri področja proti vsem ponujenim, realen tempo. Številka v oklepaju je največje število področij v segmentu.</w:t>
            </w:r>
          </w:p>
        </w:tc>
      </w:tr>
    </w:tbl>
    <w:p>
      <w:pPr>
        <w:pStyle w:val="Heading1"/>
        <w:keepNext/>
        <w:pBdr>
          <w:bottom w:val="single" w:color="D6DDE5" w:sz="6" w:space="6"/>
        </w:pBdr>
        <w:spacing w:after="60" w:before="300" w:line="240"/>
      </w:pPr>
      <w:r>
        <w:rPr>
          <w:rFonts w:ascii="Calibri" w:cs="Calibri" w:eastAsia="Calibri" w:hAnsi="Calibri"/>
          <w:b/>
          <w:bCs/>
          <w:color w:val="1B3A5C"/>
          <w:sz w:val="28"/>
          <w:szCs w:val="28"/>
        </w:rPr>
        <w:t xml:space="preserve">5 · Ugotovitve</w:t>
      </w:r>
    </w:p>
    <w:p>
      <w:pPr>
        <w:spacing w:after="200" w:before="0" w:line="264"/>
      </w:pPr>
      <w:r>
        <w:rPr>
          <w:rFonts w:ascii="Calibri" w:cs="Calibri" w:eastAsia="Calibri" w:hAnsi="Calibri"/>
          <w:color w:val="4B545D"/>
          <w:sz w:val="21"/>
          <w:szCs w:val="21"/>
        </w:rPr>
        <w:t xml:space="preserve">Štiri stvari, ki iz izmerjenih številk sledijo neposredno.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F6F8FA" w:color="auto" w:val="clear"/>
            <w:tcMar>
              <w:top w:type="dxa" w:w="95"/>
              <w:left w:type="dxa" w:w="0"/>
              <w:bottom w:type="dxa" w:w="95"/>
              <w:right w:type="dxa" w:w="160"/>
            </w:tcMar>
          </w:tcPr>
          <w:p>
            <w:pPr>
              <w:spacing w:after="0" w:line="240"/>
              <w:jc w:val="center"/>
            </w:pPr>
            <w:r>
              <w:rPr>
                <w:rFonts w:ascii="Calibri" w:cs="Calibri" w:eastAsia="Calibri" w:hAnsi="Calibri"/>
                <w:b/>
                <w:bCs/>
                <w:color w:val="1C5CAB"/>
                <w:sz w:val="30"/>
                <w:szCs w:val="30"/>
              </w:rPr>
              <w:t xml:space="preserve">+38 %</w:t>
            </w:r>
          </w:p>
        </w:tc>
        <w:tc>
          <w:tcPr>
            <w:tcW w:type="dxa" w:w="8138"/>
            <w:tcBorders>
              <w:top w:val="none" w:color="FFFFFF" w:sz="0"/>
              <w:left w:val="none" w:color="FFFFFF" w:sz="0"/>
              <w:bottom w:val="none" w:color="FFFFFF" w:sz="0"/>
              <w:right w:val="none" w:color="FFFFFF" w:sz="0"/>
            </w:tcBorders>
            <w:tcMar>
              <w:top w:type="dxa" w:w="95"/>
              <w:left w:type="dxa" w:w="160"/>
              <w:bottom w:type="dxa" w:w="95"/>
              <w:right w:type="dxa" w:w="0"/>
            </w:tcMar>
          </w:tcPr>
          <w:p>
            <w:pPr>
              <w:spacing w:after="60" w:line="240"/>
            </w:pPr>
            <w:r>
              <w:rPr>
                <w:rFonts w:ascii="Calibri" w:cs="Calibri" w:eastAsia="Calibri" w:hAnsi="Calibri"/>
                <w:b/>
                <w:bCs/>
                <w:color w:val="1A1D21"/>
                <w:sz w:val="21"/>
                <w:szCs w:val="21"/>
              </w:rPr>
              <w:t xml:space="preserve">Obljuba »okoli deset minut« ne drži niti pri treh področjih</w:t>
            </w:r>
          </w:p>
          <w:p>
            <w:pPr>
              <w:spacing w:after="0" w:line="252"/>
            </w:pPr>
            <w:r>
              <w:rPr>
                <w:rFonts w:ascii="Calibri" w:cs="Calibri" w:eastAsia="Calibri" w:hAnsi="Calibri"/>
                <w:color w:val="4B545D"/>
                <w:sz w:val="19"/>
                <w:szCs w:val="19"/>
              </w:rPr>
              <w:t xml:space="preserve">Uvodni zaslon obljublja, da izračun za priporočena tri področja vzame okoli deset minut (landingOffer v copy/copyTypes.ts). Model da 13:47 povprečno, po dejavnostih 12:57–14:37. Deset minut doseže samo obiskovalec, ki vprašanja preleti in številke ugane — in prav ta vpiše podatke, iz katerih nastane najslabši izračun. Obljubo je torej treba bodisi podpreti s krajšanjem poti bodisi popraviti v petnajst minut.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F6F8FA" w:color="auto" w:val="clear"/>
            <w:tcMar>
              <w:top w:type="dxa" w:w="95"/>
              <w:left w:type="dxa" w:w="0"/>
              <w:bottom w:type="dxa" w:w="95"/>
              <w:right w:type="dxa" w:w="160"/>
            </w:tcMar>
          </w:tcPr>
          <w:p>
            <w:pPr>
              <w:spacing w:after="0" w:line="240"/>
              <w:jc w:val="center"/>
            </w:pPr>
            <w:r>
              <w:rPr>
                <w:rFonts w:ascii="Calibri" w:cs="Calibri" w:eastAsia="Calibri" w:hAnsi="Calibri"/>
                <w:b/>
                <w:bCs/>
                <w:color w:val="1C5CAB"/>
                <w:sz w:val="30"/>
                <w:szCs w:val="30"/>
              </w:rPr>
              <w:t xml:space="preserve">2,4-krat</w:t>
            </w:r>
          </w:p>
        </w:tc>
        <w:tc>
          <w:tcPr>
            <w:tcW w:type="dxa" w:w="8138"/>
            <w:tcBorders>
              <w:top w:val="none" w:color="FFFFFF" w:sz="0"/>
              <w:left w:val="none" w:color="FFFFFF" w:sz="0"/>
              <w:bottom w:val="none" w:color="FFFFFF" w:sz="0"/>
              <w:right w:val="none" w:color="FFFFFF" w:sz="0"/>
            </w:tcBorders>
            <w:tcMar>
              <w:top w:type="dxa" w:w="95"/>
              <w:left w:type="dxa" w:w="160"/>
              <w:bottom w:type="dxa" w:w="95"/>
              <w:right w:type="dxa" w:w="0"/>
            </w:tcMar>
          </w:tcPr>
          <w:p>
            <w:pPr>
              <w:spacing w:after="60" w:line="240"/>
            </w:pPr>
            <w:r>
              <w:rPr>
                <w:rFonts w:ascii="Calibri" w:cs="Calibri" w:eastAsia="Calibri" w:hAnsi="Calibri"/>
                <w:b/>
                <w:bCs/>
                <w:color w:val="1A1D21"/>
                <w:sz w:val="21"/>
                <w:szCs w:val="21"/>
              </w:rPr>
              <w:t xml:space="preserve">Opomba v triaži podceni ceno ene kljukice</w:t>
            </w:r>
          </w:p>
          <w:p>
            <w:pPr>
              <w:spacing w:after="0" w:line="252"/>
            </w:pPr>
            <w:r>
              <w:rPr>
                <w:rFonts w:ascii="Calibri" w:cs="Calibri" w:eastAsia="Calibri" w:hAnsi="Calibri"/>
                <w:color w:val="4B545D"/>
                <w:sz w:val="19"/>
                <w:szCs w:val="19"/>
              </w:rPr>
              <w:t xml:space="preserve">Zaslon triaže pove, da je vsako izbrano področje »ena stran vprašanj, približno minuta« (StepTriage.tsx). Izmerjeno je 2:12–2:56, povprečno 2:24. Obiskovalec, ki po tej opombi obkljuka šest področij namesto treh, pričakuje tri minute dodatnega dela, dobi pa sedem. Popravek besedila je enovrstičen in stane nič.</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F6F8FA" w:color="auto" w:val="clear"/>
            <w:tcMar>
              <w:top w:type="dxa" w:w="95"/>
              <w:left w:type="dxa" w:w="0"/>
              <w:bottom w:type="dxa" w:w="95"/>
              <w:right w:type="dxa" w:w="160"/>
            </w:tcMar>
          </w:tcPr>
          <w:p>
            <w:pPr>
              <w:spacing w:after="0" w:line="240"/>
              <w:jc w:val="center"/>
            </w:pPr>
            <w:r>
              <w:rPr>
                <w:rFonts w:ascii="Calibri" w:cs="Calibri" w:eastAsia="Calibri" w:hAnsi="Calibri"/>
                <w:b/>
                <w:bCs/>
                <w:color w:val="1C5CAB"/>
                <w:sz w:val="30"/>
                <w:szCs w:val="30"/>
              </w:rPr>
              <w:t xml:space="preserve">6:25</w:t>
            </w:r>
          </w:p>
        </w:tc>
        <w:tc>
          <w:tcPr>
            <w:tcW w:type="dxa" w:w="8138"/>
            <w:tcBorders>
              <w:top w:val="none" w:color="FFFFFF" w:sz="0"/>
              <w:left w:val="none" w:color="FFFFFF" w:sz="0"/>
              <w:bottom w:val="none" w:color="FFFFFF" w:sz="0"/>
              <w:right w:val="none" w:color="FFFFFF" w:sz="0"/>
            </w:tcBorders>
            <w:tcMar>
              <w:top w:type="dxa" w:w="95"/>
              <w:left w:type="dxa" w:w="160"/>
              <w:bottom w:type="dxa" w:w="95"/>
              <w:right w:type="dxa" w:w="0"/>
            </w:tcMar>
          </w:tcPr>
          <w:p>
            <w:pPr>
              <w:spacing w:after="60" w:line="240"/>
            </w:pPr>
            <w:r>
              <w:rPr>
                <w:rFonts w:ascii="Calibri" w:cs="Calibri" w:eastAsia="Calibri" w:hAnsi="Calibri"/>
                <w:b/>
                <w:bCs/>
                <w:color w:val="1A1D21"/>
                <w:sz w:val="21"/>
                <w:szCs w:val="21"/>
              </w:rPr>
              <w:t xml:space="preserve">Fiksni del je skoraj polovica priporočene poti</w:t>
            </w:r>
          </w:p>
          <w:p>
            <w:pPr>
              <w:spacing w:after="0" w:line="252"/>
            </w:pPr>
            <w:r>
              <w:rPr>
                <w:rFonts w:ascii="Calibri" w:cs="Calibri" w:eastAsia="Calibri" w:hAnsi="Calibri"/>
                <w:color w:val="4B545D"/>
                <w:sz w:val="19"/>
                <w:szCs w:val="19"/>
              </w:rPr>
              <w:t xml:space="preserve">Preden obiskovalec odgovori na prvo vsebinsko vprašanje o svojem stroškovnem področju, je porabil šest do sedem minut: dejavnost, število zaposlenih, tri kontekstna vprašanja, triaža in finančna osnova. Največji posamični kos je triaža — deset področij po štiri ocene, 2:10. Korak s številom zaposlenih je cel zaslon za podatek, ki v noben izračun ne vstopa.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F6F8FA" w:color="auto" w:val="clear"/>
            <w:tcMar>
              <w:top w:type="dxa" w:w="95"/>
              <w:left w:type="dxa" w:w="0"/>
              <w:bottom w:type="dxa" w:w="95"/>
              <w:right w:type="dxa" w:w="160"/>
            </w:tcMar>
          </w:tcPr>
          <w:p>
            <w:pPr>
              <w:spacing w:after="0" w:line="240"/>
              <w:jc w:val="center"/>
            </w:pPr>
            <w:r>
              <w:rPr>
                <w:rFonts w:ascii="Calibri" w:cs="Calibri" w:eastAsia="Calibri" w:hAnsi="Calibri"/>
                <w:b/>
                <w:bCs/>
                <w:color w:val="1C5CAB"/>
                <w:sz w:val="30"/>
                <w:szCs w:val="30"/>
              </w:rPr>
              <w:t xml:space="preserve">3 do 4</w:t>
            </w:r>
          </w:p>
        </w:tc>
        <w:tc>
          <w:tcPr>
            <w:tcW w:type="dxa" w:w="8138"/>
            <w:tcBorders>
              <w:top w:val="none" w:color="FFFFFF" w:sz="0"/>
              <w:left w:val="none" w:color="FFFFFF" w:sz="0"/>
              <w:bottom w:val="none" w:color="FFFFFF" w:sz="0"/>
              <w:right w:val="none" w:color="FFFFFF" w:sz="0"/>
            </w:tcBorders>
            <w:tcMar>
              <w:top w:type="dxa" w:w="95"/>
              <w:left w:type="dxa" w:w="160"/>
              <w:bottom w:type="dxa" w:w="95"/>
              <w:right w:type="dxa" w:w="0"/>
            </w:tcMar>
          </w:tcPr>
          <w:p>
            <w:pPr>
              <w:spacing w:after="60" w:line="240"/>
            </w:pPr>
            <w:r>
              <w:rPr>
                <w:rFonts w:ascii="Calibri" w:cs="Calibri" w:eastAsia="Calibri" w:hAnsi="Calibri"/>
                <w:b/>
                <w:bCs/>
                <w:color w:val="1A1D21"/>
                <w:sz w:val="21"/>
                <w:szCs w:val="21"/>
              </w:rPr>
              <w:t xml:space="preserve">Zgornja meja je realno tri do štiri področja</w:t>
            </w:r>
          </w:p>
          <w:p>
            <w:pPr>
              <w:spacing w:after="0" w:line="252"/>
            </w:pPr>
            <w:r>
              <w:rPr>
                <w:rFonts w:ascii="Calibri" w:cs="Calibri" w:eastAsia="Calibri" w:hAnsi="Calibri"/>
                <w:color w:val="4B545D"/>
                <w:sz w:val="19"/>
                <w:szCs w:val="19"/>
              </w:rPr>
              <w:t xml:space="preserve">Pri petih področjih je pot dolga kot celotno srečanje s prodajnikom (18–20 minut), pri desetih pol ure. Triaža zato ni le razvrstitev bolečin — je edina varovalka pred pol ure dolgim obrazcem. Če se privzeto število kdaj dvigne, se skupaj z njim dvigne tudi osip.</w:t>
            </w:r>
          </w:p>
        </w:tc>
      </w:tr>
    </w:tbl>
    <w:p>
      <w:pPr>
        <w:spacing w:after="80"/>
      </w:pPr>
    </w:p>
    <w:p>
      <w:pPr>
        <w:pStyle w:val="Heading1"/>
        <w:keepNext/>
        <w:pBdr>
          <w:bottom w:val="single" w:color="D6DDE5" w:sz="6" w:space="6"/>
        </w:pBdr>
        <w:spacing w:after="60" w:before="300" w:line="240"/>
      </w:pPr>
      <w:r>
        <w:rPr>
          <w:rFonts w:ascii="Calibri" w:cs="Calibri" w:eastAsia="Calibri" w:hAnsi="Calibri"/>
          <w:b/>
          <w:bCs/>
          <w:color w:val="1B3A5C"/>
          <w:sz w:val="28"/>
          <w:szCs w:val="28"/>
        </w:rPr>
        <w:t xml:space="preserve">6 · Metoda in umeritev</w:t>
      </w:r>
    </w:p>
    <w:p>
      <w:pPr>
        <w:spacing w:after="180" w:before="0" w:line="264"/>
      </w:pPr>
      <w:r>
        <w:rPr>
          <w:rFonts w:ascii="Calibri" w:cs="Calibri" w:eastAsia="Calibri" w:hAnsi="Calibri"/>
          <w:color w:val="4B545D"/>
          <w:sz w:val="21"/>
          <w:szCs w:val="21"/>
        </w:rPr>
        <w:t xml:space="preserve">Struktura vprašalnika je prešteta iz konfiguracije, ne ocenjena: za vsak segment število triažnih področij, število polj v vsakem modulu in tip vsakega polja. Vsakemu tipu interakcije je pripisan čas, skupek pa je umerjen tako, da proizvodnja s tremi področji pade v izmerjeni pas 13–15 minut.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pPr>
            <w:r>
              <w:rPr>
                <w:rFonts w:ascii="Calibri" w:cs="Calibri" w:eastAsia="Calibri" w:hAnsi="Calibri"/>
                <w:b/>
                <w:bCs/>
                <w:color w:val="4B545D"/>
                <w:sz w:val="18"/>
                <w:szCs w:val="18"/>
              </w:rPr>
              <w:t xml:space="preserve">Tip interakcije</w:t>
            </w:r>
          </w:p>
        </w:tc>
        <w:tc>
          <w:tcPr>
            <w:tcW w:type="dxa" w:w="2000"/>
            <w:tcBorders>
              <w:top w:val="single" w:color="D6DDE5" w:sz="4"/>
              <w:left w:val="none" w:color="FFFFFF" w:sz="0"/>
              <w:bottom w:val="single" w:color="D6DDE5" w:sz="4"/>
              <w:right w:val="none" w:color="FFFFFF" w:sz="0"/>
            </w:tcBorders>
            <w:shd w:fill="EDF1F6" w:color="auto" w:val="clear"/>
            <w:tcMar>
              <w:top w:type="dxa" w:w="58"/>
              <w:left w:type="dxa" w:w="110"/>
              <w:bottom w:type="dxa" w:w="58"/>
              <w:right w:type="dxa" w:w="110"/>
            </w:tcMar>
            <w:vAlign w:val="center"/>
          </w:tcPr>
          <w:p>
            <w:pPr>
              <w:spacing w:after="0" w:line="240"/>
              <w:jc w:val="right"/>
            </w:pPr>
            <w:r>
              <w:rPr>
                <w:rFonts w:ascii="Calibri" w:cs="Calibri" w:eastAsia="Calibri" w:hAnsi="Calibri"/>
                <w:b/>
                <w:bCs/>
                <w:color w:val="4B545D"/>
                <w:sz w:val="18"/>
                <w:szCs w:val="18"/>
              </w:rPr>
              <w:t xml:space="preserve">Realen tempo</w:t>
            </w:r>
          </w:p>
        </w:tc>
      </w:tr>
      <w:tr>
        <w:tc>
          <w:tcPr>
            <w:tcW w:type="dxa" w:w="76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Zaslon — naslov, uvod, klik »Naprej«</w:t>
            </w:r>
          </w:p>
        </w:tc>
        <w:tc>
          <w:tcPr>
            <w:tcW w:type="dxa" w:w="20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10 s</w:t>
            </w:r>
          </w:p>
        </w:tc>
      </w:tr>
      <w:tr>
        <w:tc>
          <w:tcPr>
            <w:tcW w:type="dxa" w:w="76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Številčno polje (ure/mesec, EUR/leto)</w:t>
            </w:r>
          </w:p>
        </w:tc>
        <w:tc>
          <w:tcPr>
            <w:tcW w:type="dxa" w:w="20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30 s</w:t>
            </w:r>
          </w:p>
        </w:tc>
      </w:tr>
      <w:tr>
        <w:tc>
          <w:tcPr>
            <w:tcW w:type="dxa" w:w="76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Odstotek ali drsnik</w:t>
            </w:r>
          </w:p>
        </w:tc>
        <w:tc>
          <w:tcPr>
            <w:tcW w:type="dxa" w:w="20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22 s</w:t>
            </w:r>
          </w:p>
        </w:tc>
      </w:tr>
      <w:tr>
        <w:tc>
          <w:tcPr>
            <w:tcW w:type="dxa" w:w="76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Izbirno polje v stroškovnem področju</w:t>
            </w:r>
          </w:p>
        </w:tc>
        <w:tc>
          <w:tcPr>
            <w:tcW w:type="dxa" w:w="20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16 s</w:t>
            </w:r>
          </w:p>
        </w:tc>
      </w:tr>
      <w:tr>
        <w:tc>
          <w:tcPr>
            <w:tcW w:type="dxa" w:w="76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Vprašanje finančne osnove (izbira pasu ali vnos)</w:t>
            </w:r>
          </w:p>
        </w:tc>
        <w:tc>
          <w:tcPr>
            <w:tcW w:type="dxa" w:w="20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25 s</w:t>
            </w:r>
          </w:p>
        </w:tc>
      </w:tr>
      <w:tr>
        <w:tc>
          <w:tcPr>
            <w:tcW w:type="dxa" w:w="7638"/>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Kontekstno ali triažno vprašanje</w:t>
            </w:r>
          </w:p>
        </w:tc>
        <w:tc>
          <w:tcPr>
            <w:tcW w:type="dxa" w:w="2000"/>
            <w:tcBorders>
              <w:top w:val="single" w:color="D6DDE5" w:sz="4"/>
              <w:left w:val="none" w:color="FFFFFF" w:sz="0"/>
              <w:bottom w:val="single" w:color="D6DDE5" w:sz="4"/>
              <w:right w:val="none" w:color="FFFFFF" w:sz="0"/>
            </w:tcBorders>
            <w:shd w:fill="F6F8FA" w:color="auto" w:val="clear"/>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12 s</w:t>
            </w:r>
          </w:p>
        </w:tc>
      </w:tr>
      <w:tr>
        <w:tc>
          <w:tcPr>
            <w:tcW w:type="dxa" w:w="7638"/>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pPr>
            <w:r>
              <w:rPr>
                <w:rFonts w:ascii="Calibri" w:cs="Calibri" w:eastAsia="Calibri" w:hAnsi="Calibri"/>
                <w:color w:val="1A1D21"/>
                <w:sz w:val="19"/>
                <w:szCs w:val="19"/>
              </w:rPr>
              <w:t xml:space="preserve">Diagnostika — ponovljena petstopenjska lestvica</w:t>
            </w:r>
          </w:p>
        </w:tc>
        <w:tc>
          <w:tcPr>
            <w:tcW w:type="dxa" w:w="2000"/>
            <w:tcBorders>
              <w:top w:val="single" w:color="D6DDE5" w:sz="4"/>
              <w:left w:val="none" w:color="FFFFFF" w:sz="0"/>
              <w:bottom w:val="single" w:color="D6DDE5" w:sz="4"/>
              <w:right w:val="none" w:color="FFFFFF" w:sz="0"/>
            </w:tcBorders>
            <w:tcMar>
              <w:top w:type="dxa" w:w="58"/>
              <w:left w:type="dxa" w:w="110"/>
              <w:bottom w:type="dxa" w:w="58"/>
              <w:right w:type="dxa" w:w="110"/>
            </w:tcMar>
            <w:vAlign w:val="center"/>
          </w:tcPr>
          <w:p>
            <w:pPr>
              <w:spacing w:after="0" w:line="240"/>
              <w:jc w:val="right"/>
            </w:pPr>
            <w:r>
              <w:rPr>
                <w:rFonts w:ascii="Consolas" w:cs="Consolas" w:eastAsia="Consolas" w:hAnsi="Consolas"/>
                <w:color w:val="1A1D21"/>
                <w:sz w:val="19"/>
                <w:szCs w:val="19"/>
              </w:rPr>
              <w:t xml:space="preserve">10 s</w:t>
            </w:r>
          </w:p>
        </w:tc>
      </w:tr>
    </w:tbl>
    <w:p>
      <w:pPr>
        <w:spacing w:after="130" w:before="60"/>
      </w:pPr>
      <w:r>
        <w:rPr>
          <w:rFonts w:ascii="Calibri" w:cs="Calibri" w:eastAsia="Calibri" w:hAnsi="Calibri"/>
          <w:i/>
          <w:iCs/>
          <w:color w:val="7B848D"/>
          <w:sz w:val="16"/>
          <w:szCs w:val="16"/>
        </w:rPr>
        <w:t xml:space="preserve">Tabela 4 — Hiter tempo je 0,65-kratnik teh vrednosti, temeljit 1,7-kratnik. Temeljit pomeni odpiranje pojasnil »?« (dodatnih 30–150 besed na področje), ne pa iskanja podatkov v ERP — kdor gre po številke v sistem, je zunaj tega modela.</w:t>
      </w:r>
    </w:p>
    <w:p>
      <w:pPr>
        <w:pStyle w:val="Heading2"/>
        <w:keepNext/>
        <w:spacing w:after="50" w:before="190" w:line="240"/>
      </w:pPr>
      <w:r>
        <w:rPr>
          <w:rFonts w:ascii="Calibri" w:cs="Calibri" w:eastAsia="Calibri" w:hAnsi="Calibri"/>
          <w:b/>
          <w:bCs/>
          <w:color w:val="1A1D21"/>
          <w:sz w:val="23"/>
          <w:szCs w:val="23"/>
        </w:rPr>
        <w:t xml:space="preserve">Preverjanje</w:t>
      </w:r>
    </w:p>
    <w:p>
      <w:pPr>
        <w:spacing w:after="180" w:before="0" w:line="252"/>
      </w:pPr>
      <w:r>
        <w:rPr>
          <w:rFonts w:ascii="Calibri" w:cs="Calibri" w:eastAsia="Calibri" w:hAnsi="Calibri"/>
          <w:color w:val="4B545D"/>
          <w:sz w:val="20"/>
          <w:szCs w:val="20"/>
        </w:rPr>
        <w:t xml:space="preserve">Model da pri proizvodnji s tremi področji 39 vnosnih polj; UX pregled je na isti poti naštel 43 interakcij, ker šteje tudi kljukice v triaži in gumbe. Pri vseh področjih model da 86 polj proti izmerjenim 88 — odstopanje pod 10 % in v pričakovani smeri.</w:t>
      </w:r>
    </w:p>
    <w:p>
      <w:pPr>
        <w:pStyle w:val="Heading2"/>
        <w:keepNext/>
        <w:spacing w:after="50" w:before="190" w:line="240"/>
      </w:pPr>
      <w:r>
        <w:rPr>
          <w:rFonts w:ascii="Calibri" w:cs="Calibri" w:eastAsia="Calibri" w:hAnsi="Calibri"/>
          <w:b/>
          <w:bCs/>
          <w:color w:val="1A1D21"/>
          <w:sz w:val="23"/>
          <w:szCs w:val="23"/>
        </w:rPr>
        <w:t xml:space="preserve">Česa model ne zajema</w:t>
      </w:r>
    </w:p>
    <w:p>
      <w:pPr>
        <w:pStyle w:val="ListParagraph"/>
        <w:numPr>
          <w:ilvl w:val="0"/>
          <w:numId w:val="2"/>
        </w:numPr>
        <w:spacing w:after="50" w:line="248"/>
      </w:pPr>
      <w:r>
        <w:rPr>
          <w:rFonts w:ascii="Calibri" w:cs="Calibri" w:eastAsia="Calibri" w:hAnsi="Calibri"/>
          <w:color w:val="4B545D"/>
          <w:sz w:val="20"/>
          <w:szCs w:val="20"/>
        </w:rPr>
        <w:t xml:space="preserve">Prekinitev in vračanja — seja se sicer shrani, a vsak ponoven vstop stane orientacijo.</w:t>
      </w:r>
    </w:p>
    <w:p>
      <w:pPr>
        <w:pStyle w:val="ListParagraph"/>
        <w:numPr>
          <w:ilvl w:val="0"/>
          <w:numId w:val="2"/>
        </w:numPr>
        <w:spacing w:after="50" w:line="248"/>
      </w:pPr>
      <w:r>
        <w:rPr>
          <w:rFonts w:ascii="Calibri" w:cs="Calibri" w:eastAsia="Calibri" w:hAnsi="Calibri"/>
          <w:color w:val="4B545D"/>
          <w:sz w:val="20"/>
          <w:szCs w:val="20"/>
        </w:rPr>
        <w:t xml:space="preserve">Mobilnega drsenja: triaža je na širini 390 px visoka 4,1 zaslona, kar model šteje kot en zaslon.</w:t>
      </w:r>
    </w:p>
    <w:p>
      <w:pPr>
        <w:pStyle w:val="ListParagraph"/>
        <w:numPr>
          <w:ilvl w:val="0"/>
          <w:numId w:val="2"/>
        </w:numPr>
        <w:spacing w:after="50" w:line="248"/>
      </w:pPr>
      <w:r>
        <w:rPr>
          <w:rFonts w:ascii="Calibri" w:cs="Calibri" w:eastAsia="Calibri" w:hAnsi="Calibri"/>
          <w:color w:val="4B545D"/>
          <w:sz w:val="20"/>
          <w:szCs w:val="20"/>
        </w:rPr>
        <w:t xml:space="preserve">Podvprašanja pri dejavnosti »Drugo« (ena izbira več, približno 12 sekund).</w:t>
      </w:r>
    </w:p>
    <w:p>
      <w:pPr>
        <w:pStyle w:val="ListParagraph"/>
        <w:numPr>
          <w:ilvl w:val="0"/>
          <w:numId w:val="2"/>
        </w:numPr>
        <w:spacing w:after="50" w:line="248"/>
      </w:pPr>
      <w:r>
        <w:rPr>
          <w:rFonts w:ascii="Calibri" w:cs="Calibri" w:eastAsia="Calibri" w:hAnsi="Calibri"/>
          <w:color w:val="4B545D"/>
          <w:sz w:val="20"/>
          <w:szCs w:val="20"/>
        </w:rPr>
        <w:t xml:space="preserve">Modula E — tri kljukice, vidne samo uporabnikom PANTHEON (približno 18 sekund).</w:t>
      </w:r>
    </w:p>
    <w:p>
      <w:pPr>
        <w:pStyle w:val="ListParagraph"/>
        <w:numPr>
          <w:ilvl w:val="0"/>
          <w:numId w:val="2"/>
        </w:numPr>
        <w:spacing w:after="50" w:line="248"/>
      </w:pPr>
      <w:r>
        <w:rPr>
          <w:rFonts w:ascii="Calibri" w:cs="Calibri" w:eastAsia="Calibri" w:hAnsi="Calibri"/>
          <w:color w:val="4B545D"/>
          <w:sz w:val="20"/>
          <w:szCs w:val="20"/>
        </w:rPr>
        <w:t xml:space="preserve">Popravljanja že vnesenih vrednosti in vračanja na prejšnje korake.</w:t>
      </w:r>
    </w:p>
    <w:p>
      <w:pPr>
        <w:pBdr>
          <w:top w:val="single" w:color="D6DDE5" w:sz="4" w:space="8"/>
        </w:pBdr>
        <w:spacing w:before="180"/>
      </w:pPr>
      <w:r>
        <w:rPr>
          <w:rFonts w:ascii="Calibri" w:cs="Calibri" w:eastAsia="Calibri" w:hAnsi="Calibri"/>
          <w:color w:val="7B848D"/>
          <w:sz w:val="16"/>
          <w:szCs w:val="16"/>
        </w:rPr>
        <w:t xml:space="preserve">Izračunano iz delovnega drevesa ROI calc 2, 26. 8. 2026. Interaktivna različica: navodila/ux/cas-vprasalnika-projekcija-2026-08-26.html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DE5" w:sz="4" w:space="8"/>
      </w:pBdr>
      <w:tabs>
        <w:tab w:val="right" w:pos="9638"/>
      </w:tabs>
      <w:spacing w:before="120"/>
    </w:pPr>
    <w:r>
      <w:rPr>
        <w:rFonts w:ascii="Calibri" w:cs="Calibri" w:eastAsia="Calibri" w:hAnsi="Calibri"/>
        <w:color w:val="7B848D"/>
        <w:sz w:val="15"/>
        <w:szCs w:val="15"/>
      </w:rPr>
      <w:t xml:space="preserve">Časovni proračun vprašalnika LM-10 · 26. avgust 2026</w:t>
    </w:r>
    <w:r>
      <w:rPr>
        <w:rFonts w:ascii="Calibri" w:cs="Calibri" w:eastAsia="Calibri" w:hAnsi="Calibri"/>
        <w:sz w:val="15"/>
        <w:szCs w:val="15"/>
      </w:rPr>
      <w:t xml:space="preserve">	</w:t>
    </w:r>
    <w:r>
      <w:rPr>
        <w:rFonts w:ascii="Calibri" w:cs="Calibri" w:eastAsia="Calibri" w:hAnsi="Calibri"/>
        <w:color w:val="7B848D"/>
        <w:sz w:val="15"/>
        <w:szCs w:val="15"/>
      </w:rPr>
      <w:fldChar w:fldCharType="begin"/>
      <w:instrText xml:space="preserve">PAGE</w:instrText>
      <w:fldChar w:fldCharType="separate"/>
      <w:fldChar w:fldCharType="end"/>
    </w:r>
    <w:r>
      <w:rPr>
        <w:rFonts w:ascii="Calibri" w:cs="Calibri" w:eastAsia="Calibri" w:hAnsi="Calibri"/>
        <w:color w:val="7B848D"/>
        <w:sz w:val="15"/>
        <w:szCs w:val="15"/>
      </w:rPr>
      <w:t xml:space="preserve"> / </w:t>
    </w:r>
    <w:r>
      <w:rPr>
        <w:rFonts w:ascii="Calibri" w:cs="Calibri" w:eastAsia="Calibri" w:hAnsi="Calibri"/>
        <w:color w:val="7B848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7B848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109f68164529d5e66d3dedadf22aeb3b0d02ae.png"/><Relationship Id="rId9" Type="http://schemas.openxmlformats.org/officeDocument/2006/relationships/image" Target="media/a759ba1ecce45b5971023c1bfee48ae7b94a8904.png"/><Relationship Id="rId10" Type="http://schemas.openxmlformats.org/officeDocument/2006/relationships/image" Target="media/834608f082f899e618349446d7242f679fc0a64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Časovni proračun vprašalnika LM-10</dc:title>
  <dc:creator>Datalab — LM-10</dc:creator>
  <dc:description>Analiza trajanja vprašalnika kalkulatorja skritih stroškov pri 3–10 izbranih področjih</dc:description>
  <cp:lastModifiedBy>Un-named</cp:lastModifiedBy>
  <cp:revision>1</cp:revision>
  <dcterms:created xsi:type="dcterms:W3CDTF">2026-08-26T08:52:48.646Z</dcterms:created>
  <dcterms:modified xsi:type="dcterms:W3CDTF">2026-08-26T08:52:48.646Z</dcterms:modified>
</cp:coreProperties>
</file>

<file path=docProps/custom.xml><?xml version="1.0" encoding="utf-8"?>
<Properties xmlns="http://schemas.openxmlformats.org/officeDocument/2006/custom-properties" xmlns:vt="http://schemas.openxmlformats.org/officeDocument/2006/docPropsVTypes"/>
</file>