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pPr>
      <w:r>
        <w:rPr>
          <w:rFonts w:ascii="Calibri" w:cs="Calibri" w:eastAsia="Calibri" w:hAnsi="Calibri"/>
          <w:b/>
          <w:bCs/>
          <w:color w:val="1F4E79"/>
          <w:sz w:val="60"/>
          <w:szCs w:val="60"/>
        </w:rPr>
        <w:t xml:space="preserve">Kaj aplikacija izračuna</w:t>
      </w:r>
    </w:p>
    <w:p>
      <w:pPr>
        <w:pBdr>
          <w:bottom w:val="single" w:color="1F4E79" w:sz="12" w:space="10"/>
        </w:pBdr>
        <w:spacing w:after="360"/>
      </w:pPr>
      <w:r>
        <w:rPr>
          <w:rFonts w:ascii="Calibri" w:cs="Calibri" w:eastAsia="Calibri" w:hAnsi="Calibri"/>
          <w:color w:val="44546A"/>
          <w:sz w:val="32"/>
          <w:szCs w:val="32"/>
        </w:rPr>
        <w:t xml:space="preserve">Pregled vseh formul po področjih</w:t>
      </w:r>
    </w:p>
    <w:p>
      <w:pPr>
        <w:spacing w:after="700" w:before="0" w:line="264"/>
      </w:pPr>
      <w:r>
        <w:rPr>
          <w:rFonts w:ascii="Calibri" w:cs="Calibri" w:eastAsia="Calibri" w:hAnsi="Calibri"/>
          <w:i/>
          <w:iCs/>
          <w:color w:val="44546A"/>
          <w:sz w:val="24"/>
          <w:szCs w:val="24"/>
        </w:rPr>
        <w:t xml:space="preserve">Različica za prodajo — brez tehničnih podrobnosti</w:t>
      </w:r>
    </w:p>
    <w:p>
      <w:pPr>
        <w:spacing w:after="200" w:before="0" w:line="264"/>
      </w:pPr>
      <w:r>
        <w:rPr>
          <w:rFonts w:ascii="Calibri" w:cs="Calibri" w:eastAsia="Calibri" w:hAnsi="Calibri"/>
          <w:b/>
          <w:bCs/>
          <w:color w:val="1A1A1A"/>
          <w:sz w:val="21"/>
          <w:szCs w:val="21"/>
        </w:rPr>
        <w:t xml:space="preserve">Namen: </w:t>
      </w:r>
      <w:r>
        <w:rPr>
          <w:rFonts w:ascii="Calibri" w:cs="Calibri" w:eastAsia="Calibri" w:hAnsi="Calibri"/>
          <w:color w:val="1A1A1A"/>
          <w:sz w:val="21"/>
          <w:szCs w:val="21"/>
        </w:rPr>
        <w:t xml:space="preserve">na enem mestu pokazati, katero številko aplikacija izračuna, iz česa jo izračuna in kam se sešteje. Vsaka formula je zapisana v besedah, tako kot jo je mogoče razložiti stranki.</w:t>
      </w:r>
    </w:p>
    <w:p>
      <w:pPr>
        <w:spacing w:after="200" w:before="0" w:line="264"/>
      </w:pPr>
      <w:r>
        <w:rPr>
          <w:rFonts w:ascii="Calibri" w:cs="Calibri" w:eastAsia="Calibri" w:hAnsi="Calibri"/>
          <w:b/>
          <w:bCs/>
          <w:color w:val="1A1A1A"/>
          <w:sz w:val="21"/>
          <w:szCs w:val="21"/>
        </w:rPr>
        <w:t xml:space="preserve">Za koga: </w:t>
      </w:r>
      <w:r>
        <w:rPr>
          <w:rFonts w:ascii="Calibri" w:cs="Calibri" w:eastAsia="Calibri" w:hAnsi="Calibri"/>
          <w:color w:val="1A1A1A"/>
          <w:sz w:val="21"/>
          <w:szCs w:val="21"/>
        </w:rPr>
        <w:t xml:space="preserve">vodjo prodaje in prodajno ekipo. Če vas stranka vpraša »od kod vam ta številka«, je odgovor v poglavju 5 (po panogi) ali v poglavju 3 (zakaj znesek ni celoten strošek).</w:t>
      </w:r>
    </w:p>
    <w:p>
      <w:pPr>
        <w:spacing w:after="0" w:before="0" w:line="264"/>
      </w:pPr>
      <w:r>
        <w:rPr>
          <w:rFonts w:ascii="Calibri" w:cs="Calibri" w:eastAsia="Calibri" w:hAnsi="Calibri"/>
          <w:i/>
          <w:iCs/>
          <w:color w:val="44546A"/>
          <w:sz w:val="20"/>
          <w:szCs w:val="20"/>
        </w:rPr>
        <w:t xml:space="preserve">Stanje: avgust 2026</w:t>
      </w:r>
    </w:p>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Kazalo</w:t>
      </w:r>
    </w:p>
    <w:p>
      <w:pPr>
        <w:spacing w:after="120"/>
      </w:pPr>
    </w:p>
    <w:p>
      <w:pPr>
        <w:tabs>
          <w:tab w:val="right" w:pos="9639" w:leader="dot"/>
        </w:tabs>
        <w:spacing w:after="30" w:before="130" w:line="264"/>
        <w:ind w:left="0"/>
      </w:pPr>
      <w:r>
        <w:rPr>
          <w:rFonts w:ascii="Calibri" w:cs="Calibri" w:eastAsia="Calibri" w:hAnsi="Calibri"/>
          <w:b/>
          <w:bCs/>
          <w:color w:val="1F4E79"/>
          <w:sz w:val="22"/>
          <w:szCs w:val="22"/>
        </w:rPr>
        <w:t xml:space="preserve">1. Kako nastane znesek</w:t>
      </w:r>
      <w:r>
        <w:rPr>
          <w:rFonts w:ascii="Calibri" w:cs="Calibri" w:eastAsia="Calibri" w:hAnsi="Calibri"/>
          <w:b/>
          <w:bCs/>
          <w:color w:val="1F4E79"/>
          <w:sz w:val="22"/>
          <w:szCs w:val="22"/>
        </w:rPr>
        <w:tab/>
        <w:t xml:space="preserve">3</w:t>
      </w:r>
    </w:p>
    <w:p>
      <w:pPr>
        <w:tabs>
          <w:tab w:val="right" w:pos="9639" w:leader="dot"/>
        </w:tabs>
        <w:spacing w:after="30" w:before="130" w:line="264"/>
        <w:ind w:left="0"/>
      </w:pPr>
      <w:r>
        <w:rPr>
          <w:rFonts w:ascii="Calibri" w:cs="Calibri" w:eastAsia="Calibri" w:hAnsi="Calibri"/>
          <w:b/>
          <w:bCs/>
          <w:color w:val="1F4E79"/>
          <w:sz w:val="22"/>
          <w:szCs w:val="22"/>
        </w:rPr>
        <w:t xml:space="preserve">2. Pet vrst izida</w:t>
      </w:r>
      <w:r>
        <w:rPr>
          <w:rFonts w:ascii="Calibri" w:cs="Calibri" w:eastAsia="Calibri" w:hAnsi="Calibri"/>
          <w:b/>
          <w:bCs/>
          <w:color w:val="1F4E79"/>
          <w:sz w:val="22"/>
          <w:szCs w:val="22"/>
        </w:rPr>
        <w:tab/>
        <w:t xml:space="preserve">3</w:t>
      </w:r>
    </w:p>
    <w:p>
      <w:pPr>
        <w:tabs>
          <w:tab w:val="right" w:pos="9639" w:leader="dot"/>
        </w:tabs>
        <w:spacing w:after="30" w:before="130" w:line="264"/>
        <w:ind w:left="0"/>
      </w:pPr>
      <w:r>
        <w:rPr>
          <w:rFonts w:ascii="Calibri" w:cs="Calibri" w:eastAsia="Calibri" w:hAnsi="Calibri"/>
          <w:b/>
          <w:bCs/>
          <w:color w:val="1F4E79"/>
          <w:sz w:val="22"/>
          <w:szCs w:val="22"/>
        </w:rPr>
        <w:t xml:space="preserve">3. Naslovljivi delež — edini množitelj</w:t>
      </w:r>
      <w:r>
        <w:rPr>
          <w:rFonts w:ascii="Calibri" w:cs="Calibri" w:eastAsia="Calibri" w:hAnsi="Calibri"/>
          <w:b/>
          <w:bCs/>
          <w:color w:val="1F4E79"/>
          <w:sz w:val="22"/>
          <w:szCs w:val="22"/>
        </w:rPr>
        <w:tab/>
        <w:t xml:space="preserve">4</w:t>
      </w:r>
    </w:p>
    <w:p>
      <w:pPr>
        <w:tabs>
          <w:tab w:val="right" w:pos="9639" w:leader="dot"/>
        </w:tabs>
        <w:spacing w:after="30" w:before="130" w:line="264"/>
        <w:ind w:left="0"/>
      </w:pPr>
      <w:r>
        <w:rPr>
          <w:rFonts w:ascii="Calibri" w:cs="Calibri" w:eastAsia="Calibri" w:hAnsi="Calibri"/>
          <w:b/>
          <w:bCs/>
          <w:color w:val="1F4E79"/>
          <w:sz w:val="22"/>
          <w:szCs w:val="22"/>
        </w:rPr>
        <w:t xml:space="preserve">4. Katera panoga meri katera področja</w:t>
      </w:r>
      <w:r>
        <w:rPr>
          <w:rFonts w:ascii="Calibri" w:cs="Calibri" w:eastAsia="Calibri" w:hAnsi="Calibri"/>
          <w:b/>
          <w:bCs/>
          <w:color w:val="1F4E79"/>
          <w:sz w:val="22"/>
          <w:szCs w:val="22"/>
        </w:rPr>
        <w:tab/>
        <w:t xml:space="preserve">5</w:t>
      </w:r>
    </w:p>
    <w:p>
      <w:pPr>
        <w:tabs>
          <w:tab w:val="right" w:pos="9639" w:leader="dot"/>
        </w:tabs>
        <w:spacing w:after="30" w:before="130" w:line="264"/>
        <w:ind w:left="0"/>
      </w:pPr>
      <w:r>
        <w:rPr>
          <w:rFonts w:ascii="Calibri" w:cs="Calibri" w:eastAsia="Calibri" w:hAnsi="Calibri"/>
          <w:b/>
          <w:bCs/>
          <w:color w:val="1F4E79"/>
          <w:sz w:val="22"/>
          <w:szCs w:val="22"/>
        </w:rPr>
        <w:t xml:space="preserve">5. Formule po panogah</w:t>
      </w:r>
      <w:r>
        <w:rPr>
          <w:rFonts w:ascii="Calibri" w:cs="Calibri" w:eastAsia="Calibri" w:hAnsi="Calibri"/>
          <w:b/>
          <w:bCs/>
          <w:color w:val="1F4E79"/>
          <w:sz w:val="22"/>
          <w:szCs w:val="22"/>
        </w:rPr>
        <w:tab/>
        <w:t xml:space="preserve">6</w:t>
      </w:r>
    </w:p>
    <w:p>
      <w:pPr>
        <w:tabs>
          <w:tab w:val="right" w:pos="9639" w:leader="dot"/>
        </w:tabs>
        <w:spacing w:after="30" w:before="30" w:line="264"/>
        <w:ind w:left="340"/>
      </w:pPr>
      <w:r>
        <w:rPr>
          <w:rFonts w:ascii="Calibri" w:cs="Calibri" w:eastAsia="Calibri" w:hAnsi="Calibri"/>
          <w:b w:val="false"/>
          <w:bCs w:val="false"/>
          <w:color w:val="333333"/>
          <w:sz w:val="20"/>
          <w:szCs w:val="20"/>
        </w:rPr>
        <w:t xml:space="preserve">5.1 Proizvodnja</w:t>
      </w:r>
      <w:r>
        <w:rPr>
          <w:rFonts w:ascii="Calibri" w:cs="Calibri" w:eastAsia="Calibri" w:hAnsi="Calibri"/>
          <w:b w:val="false"/>
          <w:bCs w:val="false"/>
          <w:color w:val="333333"/>
          <w:sz w:val="20"/>
          <w:szCs w:val="20"/>
        </w:rPr>
        <w:tab/>
        <w:t xml:space="preserve">6</w:t>
      </w:r>
    </w:p>
    <w:p>
      <w:pPr>
        <w:tabs>
          <w:tab w:val="right" w:pos="9639" w:leader="dot"/>
        </w:tabs>
        <w:spacing w:after="30" w:before="30" w:line="264"/>
        <w:ind w:left="340"/>
      </w:pPr>
      <w:r>
        <w:rPr>
          <w:rFonts w:ascii="Calibri" w:cs="Calibri" w:eastAsia="Calibri" w:hAnsi="Calibri"/>
          <w:b w:val="false"/>
          <w:bCs w:val="false"/>
          <w:color w:val="333333"/>
          <w:sz w:val="20"/>
          <w:szCs w:val="20"/>
        </w:rPr>
        <w:t xml:space="preserve">5.2 Logistika</w:t>
      </w:r>
      <w:r>
        <w:rPr>
          <w:rFonts w:ascii="Calibri" w:cs="Calibri" w:eastAsia="Calibri" w:hAnsi="Calibri"/>
          <w:b w:val="false"/>
          <w:bCs w:val="false"/>
          <w:color w:val="333333"/>
          <w:sz w:val="20"/>
          <w:szCs w:val="20"/>
        </w:rPr>
        <w:tab/>
        <w:t xml:space="preserve">7</w:t>
      </w:r>
    </w:p>
    <w:p>
      <w:pPr>
        <w:tabs>
          <w:tab w:val="right" w:pos="9639" w:leader="dot"/>
        </w:tabs>
        <w:spacing w:after="30" w:before="30" w:line="264"/>
        <w:ind w:left="340"/>
      </w:pPr>
      <w:r>
        <w:rPr>
          <w:rFonts w:ascii="Calibri" w:cs="Calibri" w:eastAsia="Calibri" w:hAnsi="Calibri"/>
          <w:b w:val="false"/>
          <w:bCs w:val="false"/>
          <w:color w:val="333333"/>
          <w:sz w:val="20"/>
          <w:szCs w:val="20"/>
        </w:rPr>
        <w:t xml:space="preserve">5.3 Veleprodaja</w:t>
      </w:r>
      <w:r>
        <w:rPr>
          <w:rFonts w:ascii="Calibri" w:cs="Calibri" w:eastAsia="Calibri" w:hAnsi="Calibri"/>
          <w:b w:val="false"/>
          <w:bCs w:val="false"/>
          <w:color w:val="333333"/>
          <w:sz w:val="20"/>
          <w:szCs w:val="20"/>
        </w:rPr>
        <w:tab/>
        <w:t xml:space="preserve">8</w:t>
      </w:r>
    </w:p>
    <w:p>
      <w:pPr>
        <w:tabs>
          <w:tab w:val="right" w:pos="9639" w:leader="dot"/>
        </w:tabs>
        <w:spacing w:after="30" w:before="30" w:line="264"/>
        <w:ind w:left="340"/>
      </w:pPr>
      <w:r>
        <w:rPr>
          <w:rFonts w:ascii="Calibri" w:cs="Calibri" w:eastAsia="Calibri" w:hAnsi="Calibri"/>
          <w:b w:val="false"/>
          <w:bCs w:val="false"/>
          <w:color w:val="333333"/>
          <w:sz w:val="20"/>
          <w:szCs w:val="20"/>
        </w:rPr>
        <w:t xml:space="preserve">5.4 Maloprodaja</w:t>
      </w:r>
      <w:r>
        <w:rPr>
          <w:rFonts w:ascii="Calibri" w:cs="Calibri" w:eastAsia="Calibri" w:hAnsi="Calibri"/>
          <w:b w:val="false"/>
          <w:bCs w:val="false"/>
          <w:color w:val="333333"/>
          <w:sz w:val="20"/>
          <w:szCs w:val="20"/>
        </w:rPr>
        <w:tab/>
        <w:t xml:space="preserve">9</w:t>
      </w:r>
    </w:p>
    <w:p>
      <w:pPr>
        <w:tabs>
          <w:tab w:val="right" w:pos="9639" w:leader="dot"/>
        </w:tabs>
        <w:spacing w:after="30" w:before="30" w:line="264"/>
        <w:ind w:left="340"/>
      </w:pPr>
      <w:r>
        <w:rPr>
          <w:rFonts w:ascii="Calibri" w:cs="Calibri" w:eastAsia="Calibri" w:hAnsi="Calibri"/>
          <w:b w:val="false"/>
          <w:bCs w:val="false"/>
          <w:color w:val="333333"/>
          <w:sz w:val="20"/>
          <w:szCs w:val="20"/>
        </w:rPr>
        <w:t xml:space="preserve">5.5 Storitve</w:t>
      </w:r>
      <w:r>
        <w:rPr>
          <w:rFonts w:ascii="Calibri" w:cs="Calibri" w:eastAsia="Calibri" w:hAnsi="Calibri"/>
          <w:b w:val="false"/>
          <w:bCs w:val="false"/>
          <w:color w:val="333333"/>
          <w:sz w:val="20"/>
          <w:szCs w:val="20"/>
        </w:rPr>
        <w:tab/>
        <w:t xml:space="preserve">10</w:t>
      </w:r>
    </w:p>
    <w:p>
      <w:pPr>
        <w:tabs>
          <w:tab w:val="right" w:pos="9639" w:leader="dot"/>
        </w:tabs>
        <w:spacing w:after="30" w:before="30" w:line="264"/>
        <w:ind w:left="340"/>
      </w:pPr>
      <w:r>
        <w:rPr>
          <w:rFonts w:ascii="Calibri" w:cs="Calibri" w:eastAsia="Calibri" w:hAnsi="Calibri"/>
          <w:b w:val="false"/>
          <w:bCs w:val="false"/>
          <w:color w:val="333333"/>
          <w:sz w:val="20"/>
          <w:szCs w:val="20"/>
        </w:rPr>
        <w:t xml:space="preserve">5.6 Računovodski servis</w:t>
      </w:r>
      <w:r>
        <w:rPr>
          <w:rFonts w:ascii="Calibri" w:cs="Calibri" w:eastAsia="Calibri" w:hAnsi="Calibri"/>
          <w:b w:val="false"/>
          <w:bCs w:val="false"/>
          <w:color w:val="333333"/>
          <w:sz w:val="20"/>
          <w:szCs w:val="20"/>
        </w:rPr>
        <w:tab/>
        <w:t xml:space="preserve">10</w:t>
      </w:r>
    </w:p>
    <w:p>
      <w:pPr>
        <w:tabs>
          <w:tab w:val="right" w:pos="9639" w:leader="dot"/>
        </w:tabs>
        <w:spacing w:after="30" w:before="30" w:line="264"/>
        <w:ind w:left="340"/>
      </w:pPr>
      <w:r>
        <w:rPr>
          <w:rFonts w:ascii="Calibri" w:cs="Calibri" w:eastAsia="Calibri" w:hAnsi="Calibri"/>
          <w:b w:val="false"/>
          <w:bCs w:val="false"/>
          <w:color w:val="333333"/>
          <w:sz w:val="20"/>
          <w:szCs w:val="20"/>
        </w:rPr>
        <w:t xml:space="preserve">5.7 Splošno (kadar panoga ni ena od zgornjih)</w:t>
      </w:r>
      <w:r>
        <w:rPr>
          <w:rFonts w:ascii="Calibri" w:cs="Calibri" w:eastAsia="Calibri" w:hAnsi="Calibri"/>
          <w:b w:val="false"/>
          <w:bCs w:val="false"/>
          <w:color w:val="333333"/>
          <w:sz w:val="20"/>
          <w:szCs w:val="20"/>
        </w:rPr>
        <w:tab/>
        <w:t xml:space="preserve">11</w:t>
      </w:r>
    </w:p>
    <w:p>
      <w:pPr>
        <w:tabs>
          <w:tab w:val="right" w:pos="9639" w:leader="dot"/>
        </w:tabs>
        <w:spacing w:after="30" w:before="130" w:line="264"/>
        <w:ind w:left="0"/>
      </w:pPr>
      <w:r>
        <w:rPr>
          <w:rFonts w:ascii="Calibri" w:cs="Calibri" w:eastAsia="Calibri" w:hAnsi="Calibri"/>
          <w:b/>
          <w:bCs/>
          <w:color w:val="1F4E79"/>
          <w:sz w:val="22"/>
          <w:szCs w:val="22"/>
        </w:rPr>
        <w:t xml:space="preserve">6. Področja, skupna vsem panogam</w:t>
      </w:r>
      <w:r>
        <w:rPr>
          <w:rFonts w:ascii="Calibri" w:cs="Calibri" w:eastAsia="Calibri" w:hAnsi="Calibri"/>
          <w:b/>
          <w:bCs/>
          <w:color w:val="1F4E79"/>
          <w:sz w:val="22"/>
          <w:szCs w:val="22"/>
        </w:rPr>
        <w:tab/>
        <w:t xml:space="preserve">13</w:t>
      </w:r>
    </w:p>
    <w:p>
      <w:pPr>
        <w:tabs>
          <w:tab w:val="right" w:pos="9639" w:leader="dot"/>
        </w:tabs>
        <w:spacing w:after="30" w:before="130" w:line="264"/>
        <w:ind w:left="0"/>
      </w:pPr>
      <w:r>
        <w:rPr>
          <w:rFonts w:ascii="Calibri" w:cs="Calibri" w:eastAsia="Calibri" w:hAnsi="Calibri"/>
          <w:b/>
          <w:bCs/>
          <w:color w:val="1F4E79"/>
          <w:sz w:val="22"/>
          <w:szCs w:val="22"/>
        </w:rPr>
        <w:t xml:space="preserve">7. Diagnostika: kako zanesljivi so podatki stranke</w:t>
      </w:r>
      <w:r>
        <w:rPr>
          <w:rFonts w:ascii="Calibri" w:cs="Calibri" w:eastAsia="Calibri" w:hAnsi="Calibri"/>
          <w:b/>
          <w:bCs/>
          <w:color w:val="1F4E79"/>
          <w:sz w:val="22"/>
          <w:szCs w:val="22"/>
        </w:rPr>
        <w:tab/>
        <w:t xml:space="preserve">14</w:t>
      </w:r>
    </w:p>
    <w:p>
      <w:pPr>
        <w:tabs>
          <w:tab w:val="right" w:pos="9639" w:leader="dot"/>
        </w:tabs>
        <w:spacing w:after="30" w:before="130" w:line="264"/>
        <w:ind w:left="0"/>
      </w:pPr>
      <w:r>
        <w:rPr>
          <w:rFonts w:ascii="Calibri" w:cs="Calibri" w:eastAsia="Calibri" w:hAnsi="Calibri"/>
          <w:b/>
          <w:bCs/>
          <w:color w:val="1F4E79"/>
          <w:sz w:val="22"/>
          <w:szCs w:val="22"/>
        </w:rPr>
        <w:t xml:space="preserve">8. Tvegani roki</w:t>
      </w:r>
      <w:r>
        <w:rPr>
          <w:rFonts w:ascii="Calibri" w:cs="Calibri" w:eastAsia="Calibri" w:hAnsi="Calibri"/>
          <w:b/>
          <w:bCs/>
          <w:color w:val="1F4E79"/>
          <w:sz w:val="22"/>
          <w:szCs w:val="22"/>
        </w:rPr>
        <w:tab/>
        <w:t xml:space="preserve">15</w:t>
      </w:r>
    </w:p>
    <w:p>
      <w:pPr>
        <w:tabs>
          <w:tab w:val="right" w:pos="9639" w:leader="dot"/>
        </w:tabs>
        <w:spacing w:after="30" w:before="130" w:line="264"/>
        <w:ind w:left="0"/>
      </w:pPr>
      <w:r>
        <w:rPr>
          <w:rFonts w:ascii="Calibri" w:cs="Calibri" w:eastAsia="Calibri" w:hAnsi="Calibri"/>
          <w:b/>
          <w:bCs/>
          <w:color w:val="1F4E79"/>
          <w:sz w:val="22"/>
          <w:szCs w:val="22"/>
        </w:rPr>
        <w:t xml:space="preserve">9. Kako se znesek pokaže stranki</w:t>
      </w:r>
      <w:r>
        <w:rPr>
          <w:rFonts w:ascii="Calibri" w:cs="Calibri" w:eastAsia="Calibri" w:hAnsi="Calibri"/>
          <w:b/>
          <w:bCs/>
          <w:color w:val="1F4E79"/>
          <w:sz w:val="22"/>
          <w:szCs w:val="22"/>
        </w:rPr>
        <w:tab/>
        <w:t xml:space="preserve">15</w:t>
      </w:r>
    </w:p>
    <w:p>
      <w:pPr>
        <w:tabs>
          <w:tab w:val="right" w:pos="9639" w:leader="dot"/>
        </w:tabs>
        <w:spacing w:after="30" w:before="130" w:line="264"/>
        <w:ind w:left="0"/>
      </w:pPr>
      <w:r>
        <w:rPr>
          <w:rFonts w:ascii="Calibri" w:cs="Calibri" w:eastAsia="Calibri" w:hAnsi="Calibri"/>
          <w:b/>
          <w:bCs/>
          <w:color w:val="1F4E79"/>
          <w:sz w:val="22"/>
          <w:szCs w:val="22"/>
        </w:rPr>
        <w:t xml:space="preserve">10. Ocena stranke in izbira nadaljnjega stika</w:t>
      </w:r>
      <w:r>
        <w:rPr>
          <w:rFonts w:ascii="Calibri" w:cs="Calibri" w:eastAsia="Calibri" w:hAnsi="Calibri"/>
          <w:b/>
          <w:bCs/>
          <w:color w:val="1F4E79"/>
          <w:sz w:val="22"/>
          <w:szCs w:val="22"/>
        </w:rPr>
        <w:tab/>
        <w:t xml:space="preserve">17</w:t>
      </w:r>
    </w:p>
    <w:p>
      <w:pPr>
        <w:tabs>
          <w:tab w:val="right" w:pos="9639" w:leader="dot"/>
        </w:tabs>
        <w:spacing w:after="30" w:before="130" w:line="264"/>
        <w:ind w:left="0"/>
      </w:pPr>
      <w:r>
        <w:rPr>
          <w:rFonts w:ascii="Calibri" w:cs="Calibri" w:eastAsia="Calibri" w:hAnsi="Calibri"/>
          <w:b/>
          <w:bCs/>
          <w:color w:val="1F4E79"/>
          <w:sz w:val="22"/>
          <w:szCs w:val="22"/>
        </w:rPr>
        <w:t xml:space="preserve">11. Česa izračun namenoma ne počne</w:t>
      </w:r>
      <w:r>
        <w:rPr>
          <w:rFonts w:ascii="Calibri" w:cs="Calibri" w:eastAsia="Calibri" w:hAnsi="Calibri"/>
          <w:b/>
          <w:bCs/>
          <w:color w:val="1F4E79"/>
          <w:sz w:val="22"/>
          <w:szCs w:val="22"/>
        </w:rPr>
        <w:tab/>
        <w:t xml:space="preserve">18</w:t>
      </w:r>
    </w:p>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1. Kako nastane znesek</w:t>
      </w:r>
    </w:p>
    <w:p>
      <w:pPr>
        <w:spacing w:after="120" w:before="0" w:line="264"/>
      </w:pPr>
      <w:r>
        <w:rPr>
          <w:rFonts w:ascii="Calibri" w:cs="Calibri" w:eastAsia="Calibri" w:hAnsi="Calibri"/>
          <w:color w:val="1A1A1A"/>
          <w:sz w:val="21"/>
          <w:szCs w:val="21"/>
        </w:rPr>
        <w:t xml:space="preserve">Vsak znesek v aplikaciji nastane po isti poti, ne glede na panogo. Pot ima pet korakov:</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2200"/>
        <w:gridCol w:w="7400"/>
      </w:tblGrid>
      <w:tr>
        <w:trPr>
          <w:tblHeader/>
        </w:trPr>
        <w:tc>
          <w:tcPr>
            <w:tcW w:type="dxa" w:w="22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Korak</w:t>
            </w:r>
          </w:p>
        </w:tc>
        <w:tc>
          <w:tcPr>
            <w:tcW w:type="dxa" w:w="74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se zgodi</w:t>
            </w:r>
          </w:p>
        </w:tc>
      </w:tr>
      <w:tr>
        <w:trPr>
          <w:cantSplit/>
        </w:trPr>
        <w:tc>
          <w:tcPr>
            <w:tcW w:type="dxa" w:w="22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1. Stranka odgovori</w:t>
            </w:r>
          </w:p>
        </w:tc>
        <w:tc>
          <w:tcPr>
            <w:tcW w:type="dxa" w:w="7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Odgovori na vprašanja o svoji dejavnosti (velikost, prihodek, marža) in o posameznih področjih (koliko ur, koliko listin, kolikšen odpis).</w:t>
            </w:r>
          </w:p>
        </w:tc>
      </w:tr>
      <w:tr>
        <w:trPr>
          <w:cantSplit/>
        </w:trPr>
        <w:tc>
          <w:tcPr>
            <w:tcW w:type="dxa" w:w="22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2. Aplikacija dopolni manjkajoče</w:t>
            </w:r>
          </w:p>
        </w:tc>
        <w:tc>
          <w:tcPr>
            <w:tcW w:type="dxa" w:w="7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Manjka lahko samo cena ure, prihodek ali marža — tam aplikacija vzame previdno vrednost, značilno za njeno panogo. Zneskov in deležev NE dopolnjuje: nedotaknjeno polje je 0 in odgovor »Ne vem« pri številkah šteje kot 0.</w:t>
            </w:r>
          </w:p>
        </w:tc>
      </w:tr>
      <w:tr>
        <w:trPr>
          <w:cantSplit/>
        </w:trPr>
        <w:tc>
          <w:tcPr>
            <w:tcW w:type="dxa" w:w="22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3. Izračun po področjih</w:t>
            </w:r>
          </w:p>
        </w:tc>
        <w:tc>
          <w:tcPr>
            <w:tcW w:type="dxa" w:w="7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Vsako področje izračuna svoje postavke po formulah iz poglavja 5. Rezultat je LETNI SEDANJI STROŠEK, ne prihranek.</w:t>
            </w:r>
          </w:p>
        </w:tc>
      </w:tr>
      <w:tr>
        <w:trPr>
          <w:cantSplit/>
        </w:trPr>
        <w:tc>
          <w:tcPr>
            <w:tcW w:type="dxa" w:w="22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4. Zmanjšanje na rešljivo</w:t>
            </w:r>
          </w:p>
        </w:tc>
        <w:tc>
          <w:tcPr>
            <w:tcW w:type="dxa" w:w="7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Nad izmerjenim stroškom stoji en sam množitelj — naslovljivi delež (poglavje 3). Ta pove, kolikšen del tega stroška je z informacijskim sistemom sploh rešljiv.</w:t>
            </w:r>
          </w:p>
        </w:tc>
      </w:tr>
      <w:tr>
        <w:trPr>
          <w:cantSplit/>
        </w:trPr>
        <w:tc>
          <w:tcPr>
            <w:tcW w:type="dxa" w:w="22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5. Seštevanje in prikaz</w:t>
            </w:r>
          </w:p>
        </w:tc>
        <w:tc>
          <w:tcPr>
            <w:tcW w:type="dxa" w:w="7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Postavke se seštejejo po vrstah izida (poglavje 2) in sestavijo v glavni znesek, razpon, trileten pogled in dobo povračila.</w:t>
            </w:r>
          </w:p>
        </w:tc>
      </w:tr>
    </w:tbl>
    <w:p>
      <w:pPr>
        <w:spacing w:after="16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Najpomembnejše načelo</w:t>
            </w:r>
          </w:p>
          <w:p>
            <w:pPr>
              <w:spacing w:after="0" w:line="264"/>
            </w:pPr>
            <w:r>
              <w:rPr>
                <w:rFonts w:ascii="Calibri" w:cs="Calibri" w:eastAsia="Calibri" w:hAnsi="Calibri"/>
                <w:color w:val="1A1A1A"/>
                <w:sz w:val="20"/>
                <w:szCs w:val="20"/>
              </w:rPr>
              <w:t xml:space="preserve">Aplikacija meri, koliko podjetje danes stane obstoječe stanje — ne, koliko bi prihranilo. Prihranek je vedno manjši od izmerjenega zneska, ker ga zmanjša naslovljivi delež. To je namerno: številka, ki jo pokažemo, je bolj obramben kot prodajni argument.</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2. Pet vrst izida</w:t>
      </w:r>
    </w:p>
    <w:p>
      <w:pPr>
        <w:spacing w:after="120" w:before="0" w:line="264"/>
      </w:pPr>
      <w:r>
        <w:rPr>
          <w:rFonts w:ascii="Calibri" w:cs="Calibri" w:eastAsia="Calibri" w:hAnsi="Calibri"/>
          <w:color w:val="1A1A1A"/>
          <w:sz w:val="21"/>
          <w:szCs w:val="21"/>
        </w:rPr>
        <w:t xml:space="preserve">Vsaka postavka pripada natanko eni od petih vrst. Vrsta določa, kam se znesek sešteje in ali sme v letno vsoto. V tabelah v poglavju 5 je vrsta v zadnjem stolpcu.</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900"/>
        <w:gridCol w:w="6800"/>
        <w:gridCol w:w="1900"/>
      </w:tblGrid>
      <w:tr>
        <w:trPr>
          <w:tblHeader/>
        </w:trPr>
        <w:tc>
          <w:tcPr>
            <w:tcW w:type="dxa" w:w="9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Oznaka</w:t>
            </w:r>
          </w:p>
        </w:tc>
        <w:tc>
          <w:tcPr>
            <w:tcW w:type="dxa" w:w="68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pomeni</w:t>
            </w:r>
          </w:p>
        </w:tc>
        <w:tc>
          <w:tcPr>
            <w:tcW w:type="dxa" w:w="19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 letni vsoti?</w:t>
            </w:r>
          </w:p>
        </w:tc>
      </w:tr>
      <w:tr>
        <w:trPr>
          <w:cantSplit/>
        </w:trPr>
        <w:tc>
          <w:tcPr>
            <w:tcW w:type="dxa" w:w="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c>
          <w:tcPr>
            <w:tcW w:type="dxa" w:w="68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Neposredna izguba — denar, ki je dejansko odtekel (odpisi, penali, ekspresne dobave, globe).</w:t>
            </w:r>
          </w:p>
        </w:tc>
        <w:tc>
          <w:tcPr>
            <w:tcW w:type="dxa" w:w="1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r>
      <w:tr>
        <w:trPr>
          <w:cantSplit/>
        </w:trPr>
        <w:tc>
          <w:tcPr>
            <w:tcW w:type="dxa" w:w="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M</w:t>
            </w:r>
          </w:p>
        </w:tc>
        <w:tc>
          <w:tcPr>
            <w:tcW w:type="dxa" w:w="68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Marža, ki ni bila zaslužena — posel se ni zgodil ali se je zgodil po slabši ceni. Šteje se samo marža, ne cel posel.</w:t>
            </w:r>
          </w:p>
        </w:tc>
        <w:tc>
          <w:tcPr>
            <w:tcW w:type="dxa" w:w="1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r>
      <w:tr>
        <w:trPr>
          <w:cantSplit/>
        </w:trPr>
        <w:tc>
          <w:tcPr>
            <w:tcW w:type="dxa" w:w="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h</w:t>
            </w:r>
          </w:p>
        </w:tc>
        <w:tc>
          <w:tcPr>
            <w:tcW w:type="dxa" w:w="68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Vrednost sproščenega delovnega časa. NI prihranek pri plačah — zaposleni ostane, njegov čas se preusmeri drugam.</w:t>
            </w:r>
          </w:p>
        </w:tc>
        <w:tc>
          <w:tcPr>
            <w:tcW w:type="dxa" w:w="1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r>
      <w:tr>
        <w:trPr>
          <w:cantSplit/>
        </w:trPr>
        <w:tc>
          <w:tcPr>
            <w:tcW w:type="dxa" w:w="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K</w:t>
            </w:r>
          </w:p>
        </w:tc>
        <w:tc>
          <w:tcPr>
            <w:tcW w:type="dxa" w:w="68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Enkratno sprostljiv kapital — denar, vezan v zalogah ali nezaračunanem delu. Sprosti se enkrat, ne vsako leto.</w:t>
            </w:r>
          </w:p>
        </w:tc>
        <w:tc>
          <w:tcPr>
            <w:tcW w:type="dxa" w:w="1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NE, nikoli</w:t>
            </w:r>
          </w:p>
        </w:tc>
      </w:tr>
      <w:tr>
        <w:trPr>
          <w:cantSplit/>
        </w:trPr>
        <w:tc>
          <w:tcPr>
            <w:tcW w:type="dxa" w:w="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c>
          <w:tcPr>
            <w:tcW w:type="dxa" w:w="68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Ocena tveganja brez zneska (diagnostika, tvegani roki).</w:t>
            </w:r>
          </w:p>
        </w:tc>
        <w:tc>
          <w:tcPr>
            <w:tcW w:type="dxa" w:w="1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Ni zneska</w:t>
            </w:r>
          </w:p>
        </w:tc>
      </w:tr>
    </w:tbl>
    <w:p>
      <w:pPr>
        <w:spacing w:after="16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Zakaj K nikoli ne šteje v letno vsoto</w:t>
            </w:r>
          </w:p>
          <w:p>
            <w:pPr>
              <w:spacing w:after="0" w:line="264"/>
            </w:pPr>
            <w:r>
              <w:rPr>
                <w:rFonts w:ascii="Calibri" w:cs="Calibri" w:eastAsia="Calibri" w:hAnsi="Calibri"/>
                <w:color w:val="1A1A1A"/>
                <w:sz w:val="20"/>
                <w:szCs w:val="20"/>
              </w:rPr>
              <w:t xml:space="preserve">Sproščen kapital iz zaloge je enkraten dogodek — če bi ga sešteli z letnimi izgubami, bi vsako naslednje leto trdili, da se isti denar sprosti znova. Zato v vsakem prikazu, grafu in vsoti stoji ločeno. Enako velja za pogovor s stranko: K je argument za likvidnost, ne za letni donos.</w:t>
            </w:r>
          </w:p>
        </w:tc>
      </w:tr>
    </w:tbl>
    <w:p>
      <w:pPr>
        <w:spacing w:after="12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Zakaj h ni prihranek pri plačah</w:t>
            </w:r>
          </w:p>
          <w:p>
            <w:pPr>
              <w:spacing w:after="0" w:line="264"/>
            </w:pPr>
            <w:r>
              <w:rPr>
                <w:rFonts w:ascii="Calibri" w:cs="Calibri" w:eastAsia="Calibri" w:hAnsi="Calibri"/>
                <w:color w:val="1A1A1A"/>
                <w:sz w:val="20"/>
                <w:szCs w:val="20"/>
              </w:rPr>
              <w:t xml:space="preserve">Če stranka reče »torej lahko odpustim dva človeka«, je odgovor ne. Postavka h meri, koliko je vreden čas, ki ga danes požre ročno delo. Ta čas se sprosti za delo, ki ga zdaj nihče ne opravi — ali, pri računovodskem servisu, za dodatne stranke brez nove zaposlitve.</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3. Naslovljivi delež — edini množitelj</w:t>
      </w:r>
    </w:p>
    <w:p>
      <w:pPr>
        <w:spacing w:after="120" w:before="0" w:line="264"/>
      </w:pPr>
      <w:r>
        <w:rPr>
          <w:rFonts w:ascii="Calibri" w:cs="Calibri" w:eastAsia="Calibri" w:hAnsi="Calibri"/>
          <w:color w:val="1A1A1A"/>
          <w:sz w:val="21"/>
          <w:szCs w:val="21"/>
        </w:rPr>
        <w:t xml:space="preserve">V vsakem področju stranka odgovori na vprašanje »Kaj je glavni vzrok?«. Odgovor določi, kolikšen del izmerjenega stroška štejemo za rešljivega z informacijskim sistemom. To je edini koeficient, ki zniža izmerjeni znesek — drugih množiteljev ni.</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6900"/>
        <w:gridCol w:w="2700"/>
      </w:tblGrid>
      <w:tr>
        <w:trPr>
          <w:tblHeader/>
        </w:trPr>
        <w:tc>
          <w:tcPr>
            <w:tcW w:type="dxa" w:w="69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Glavni vzrok po besedah stranke</w:t>
            </w:r>
          </w:p>
        </w:tc>
        <w:tc>
          <w:tcPr>
            <w:tcW w:type="dxa" w:w="27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Priznamo kot rešljivo</w:t>
            </w:r>
          </w:p>
        </w:tc>
      </w:tr>
      <w:tr>
        <w:trPr>
          <w:cantSplit/>
        </w:trPr>
        <w:tc>
          <w:tcPr>
            <w:tcW w:type="dxa" w:w="6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Podatki, normativi, dokumentacija</w:t>
            </w:r>
          </w:p>
        </w:tc>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75 %</w:t>
            </w:r>
          </w:p>
        </w:tc>
      </w:tr>
      <w:tr>
        <w:trPr>
          <w:cantSplit/>
        </w:trPr>
        <w:tc>
          <w:tcPr>
            <w:tcW w:type="dxa" w:w="6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Planiranje, zaloge, vidnost</w:t>
            </w:r>
          </w:p>
        </w:tc>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65 %</w:t>
            </w:r>
          </w:p>
        </w:tc>
      </w:tr>
      <w:tr>
        <w:trPr>
          <w:cantSplit/>
        </w:trPr>
        <w:tc>
          <w:tcPr>
            <w:tcW w:type="dxa" w:w="6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Znanje, disciplina, kader</w:t>
            </w:r>
          </w:p>
        </w:tc>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45 %</w:t>
            </w:r>
          </w:p>
        </w:tc>
      </w:tr>
      <w:tr>
        <w:trPr>
          <w:cantSplit/>
        </w:trPr>
        <w:tc>
          <w:tcPr>
            <w:tcW w:type="dxa" w:w="6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Dobavitelji, kupci (zunanji vzroki)</w:t>
            </w:r>
          </w:p>
        </w:tc>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30 %</w:t>
            </w:r>
          </w:p>
        </w:tc>
      </w:tr>
      <w:tr>
        <w:trPr>
          <w:cantSplit/>
        </w:trPr>
        <w:tc>
          <w:tcPr>
            <w:tcW w:type="dxa" w:w="6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Okvare, kakovost materiala (fizični vzroki)</w:t>
            </w:r>
          </w:p>
        </w:tc>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15 %</w:t>
            </w:r>
          </w:p>
        </w:tc>
      </w:tr>
      <w:tr>
        <w:trPr>
          <w:cantSplit/>
        </w:trPr>
        <w:tc>
          <w:tcPr>
            <w:tcW w:type="dxa" w:w="6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Brez odgovora / »Ne vemo«</w:t>
            </w:r>
          </w:p>
        </w:tc>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45 %</w:t>
            </w:r>
          </w:p>
        </w:tc>
      </w:tr>
    </w:tbl>
    <w:p>
      <w:pPr>
        <w:spacing w:after="160"/>
      </w:pPr>
    </w:p>
    <w:p>
      <w:pPr>
        <w:spacing w:after="120" w:before="0" w:line="264"/>
      </w:pPr>
      <w:r>
        <w:rPr>
          <w:rFonts w:ascii="Calibri" w:cs="Calibri" w:eastAsia="Calibri" w:hAnsi="Calibri"/>
          <w:color w:val="1A1A1A"/>
          <w:sz w:val="21"/>
          <w:szCs w:val="21"/>
        </w:rPr>
        <w:t xml:space="preserve">Dve postavki imata dodatno zgornjo mejo, ker fizika oziroma geografija postavita dno: izmet materiala v proizvodnji in prazni kilometri v logistiki — pri obeh priznamo kot rešljivo največ 50 %, tudi če stranka izbere vzrok »podatki«.</w:t>
      </w:r>
    </w:p>
    <w:p>
      <w:pPr>
        <w:spacing w:after="8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Kako to uporabiti v pogovoru</w:t>
            </w:r>
          </w:p>
          <w:p>
            <w:pPr>
              <w:spacing w:after="0" w:line="264"/>
            </w:pPr>
            <w:r>
              <w:rPr>
                <w:rFonts w:ascii="Calibri" w:cs="Calibri" w:eastAsia="Calibri" w:hAnsi="Calibri"/>
                <w:color w:val="1A1A1A"/>
                <w:sz w:val="20"/>
                <w:szCs w:val="20"/>
              </w:rPr>
              <w:t xml:space="preserve">Če stranka reče »ampak to je krivda dobaviteljev«, aplikacija to že upošteva — pri zunanjih vzrokih ji priznamo samo 30 %. Prav ta previdnost je naš odgovor na ugovor »številka je napihnjena«.</w:t>
            </w:r>
          </w:p>
        </w:tc>
      </w:tr>
    </w:tbl>
    <w:p>
      <w:pPr>
        <w:spacing w:after="120"/>
      </w:pPr>
    </w:p>
    <w:p>
      <w:pPr>
        <w:pStyle w:val="Heading2"/>
        <w:spacing w:after="140" w:before="300"/>
      </w:pPr>
      <w:r>
        <w:rPr>
          <w:rFonts w:ascii="Calibri" w:cs="Calibri" w:eastAsia="Calibri" w:hAnsi="Calibri"/>
          <w:b/>
          <w:bCs/>
          <w:color w:val="1F4E79"/>
          <w:sz w:val="25"/>
          <w:szCs w:val="25"/>
        </w:rPr>
        <w:t xml:space="preserve">Sprostljiv delež zaloge</w:t>
      </w:r>
    </w:p>
    <w:p>
      <w:pPr>
        <w:spacing w:after="120" w:before="0" w:line="264"/>
      </w:pPr>
      <w:r>
        <w:rPr>
          <w:rFonts w:ascii="Calibri" w:cs="Calibri" w:eastAsia="Calibri" w:hAnsi="Calibri"/>
          <w:color w:val="1A1A1A"/>
          <w:sz w:val="21"/>
          <w:szCs w:val="21"/>
        </w:rPr>
        <w:t xml:space="preserve">Pri postavkah, ki merijo vezan denar, stranka sama oceni, kolikšen del je odveč. Njen odgovor se prevede takole:</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6900"/>
        <w:gridCol w:w="2700"/>
      </w:tblGrid>
      <w:tr>
        <w:trPr>
          <w:tblHeader/>
        </w:trPr>
        <w:tc>
          <w:tcPr>
            <w:tcW w:type="dxa" w:w="69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Odgovor stranke</w:t>
            </w:r>
          </w:p>
        </w:tc>
        <w:tc>
          <w:tcPr>
            <w:tcW w:type="dxa" w:w="27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Uporabljen delež</w:t>
            </w:r>
          </w:p>
        </w:tc>
      </w:tr>
      <w:tr>
        <w:trPr>
          <w:cantSplit/>
        </w:trPr>
        <w:tc>
          <w:tcPr>
            <w:tcW w:type="dxa" w:w="6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 5 %</w:t>
            </w:r>
          </w:p>
        </w:tc>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5 %</w:t>
            </w:r>
          </w:p>
        </w:tc>
      </w:tr>
      <w:tr>
        <w:trPr>
          <w:cantSplit/>
        </w:trPr>
        <w:tc>
          <w:tcPr>
            <w:tcW w:type="dxa" w:w="6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6–10 %</w:t>
            </w:r>
          </w:p>
        </w:tc>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8 %</w:t>
            </w:r>
          </w:p>
        </w:tc>
      </w:tr>
      <w:tr>
        <w:trPr>
          <w:cantSplit/>
        </w:trPr>
        <w:tc>
          <w:tcPr>
            <w:tcW w:type="dxa" w:w="6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11–20 %</w:t>
            </w:r>
          </w:p>
        </w:tc>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15 %</w:t>
            </w:r>
          </w:p>
        </w:tc>
      </w:tr>
      <w:tr>
        <w:trPr>
          <w:cantSplit/>
        </w:trPr>
        <w:tc>
          <w:tcPr>
            <w:tcW w:type="dxa" w:w="6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nad 20 %</w:t>
            </w:r>
          </w:p>
        </w:tc>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25 %</w:t>
            </w:r>
          </w:p>
        </w:tc>
      </w:tr>
      <w:tr>
        <w:trPr>
          <w:cantSplit/>
        </w:trPr>
        <w:tc>
          <w:tcPr>
            <w:tcW w:type="dxa" w:w="6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 vem</w:t>
            </w:r>
          </w:p>
        </w:tc>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10 %</w:t>
            </w:r>
          </w:p>
        </w:tc>
      </w:tr>
    </w:tbl>
    <w:p>
      <w:pPr>
        <w:spacing w:after="140"/>
      </w:pPr>
    </w:p>
    <w:p>
      <w:pPr>
        <w:spacing w:after="120" w:before="0" w:line="264"/>
      </w:pPr>
      <w:r>
        <w:rPr>
          <w:rFonts w:ascii="Calibri" w:cs="Calibri" w:eastAsia="Calibri" w:hAnsi="Calibri"/>
          <w:color w:val="1A1A1A"/>
          <w:sz w:val="21"/>
          <w:szCs w:val="21"/>
        </w:rPr>
        <w:t xml:space="preserve">Kje se ta delež uporabi: pri vseh postavkah vrste K, pri strošku financiranja presežne zaloge v maloprodaji in — pri storitvah — na vrednosti nezaračunanega dela namesto na zalogi blaga.</w:t>
      </w:r>
    </w:p>
    <w:p>
      <w:pPr>
        <w:spacing w:after="8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Ena izjema pri naslovljivem deležu</w:t>
            </w:r>
          </w:p>
          <w:p>
            <w:pPr>
              <w:spacing w:after="0" w:line="264"/>
            </w:pPr>
            <w:r>
              <w:rPr>
                <w:rFonts w:ascii="Calibri" w:cs="Calibri" w:eastAsia="Calibri" w:hAnsi="Calibri"/>
                <w:color w:val="1A1A1A"/>
                <w:sz w:val="20"/>
                <w:szCs w:val="20"/>
              </w:rPr>
              <w:t xml:space="preserve">Strošek financiranja presežne zaloge v maloprodaji se z naslovljivim deležem NE zmanjša. Odpravljivost je tam ocenila že stranka sama, ko je povedala, kolikšen del zaloge je odveč — dvojno zniževanje bi bilo napačno.</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4. Katera panoga meri katera področja</w:t>
      </w:r>
    </w:p>
    <w:p>
      <w:pPr>
        <w:spacing w:after="120" w:before="0" w:line="264"/>
      </w:pPr>
      <w:r>
        <w:rPr>
          <w:rFonts w:ascii="Calibri" w:cs="Calibri" w:eastAsia="Calibri" w:hAnsi="Calibri"/>
          <w:color w:val="1A1A1A"/>
          <w:sz w:val="21"/>
          <w:szCs w:val="21"/>
        </w:rPr>
        <w:t xml:space="preserve">Aplikacija pozna sedem panog. Vsaka ima pet ali šest lastnih področij, poleg tega pa izbor petih področij, ki so skupna vsem panogam (poglavje 6), diagnostiko (poglavje 7) in modul tveganih rokov (poglavje 8).</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2300"/>
        <w:gridCol w:w="5350"/>
        <w:gridCol w:w="1950"/>
      </w:tblGrid>
      <w:tr>
        <w:trPr>
          <w:tblHeader/>
        </w:trPr>
        <w:tc>
          <w:tcPr>
            <w:tcW w:type="dxa" w:w="23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Panoga</w:t>
            </w:r>
          </w:p>
        </w:tc>
        <w:tc>
          <w:tcPr>
            <w:tcW w:type="dxa" w:w="53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Lastna področja</w:t>
            </w:r>
          </w:p>
        </w:tc>
        <w:tc>
          <w:tcPr>
            <w:tcW w:type="dxa" w:w="19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Prag visoke izgube</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Proizvodnja</w:t>
            </w:r>
          </w:p>
        </w:tc>
        <w:tc>
          <w:tcPr>
            <w:tcW w:type="dxa" w:w="5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planiranje · material · zaloge · nalogi · zamude</w:t>
            </w:r>
          </w:p>
        </w:tc>
        <w:tc>
          <w:tcPr>
            <w:tcW w:type="dxa" w:w="19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15.000 EUR</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Logistika</w:t>
            </w:r>
          </w:p>
        </w:tc>
        <w:tc>
          <w:tcPr>
            <w:tcW w:type="dxa" w:w="5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prevozi · napake · skladišče · dokumentacija · zamude</w:t>
            </w:r>
          </w:p>
        </w:tc>
        <w:tc>
          <w:tcPr>
            <w:tcW w:type="dxa" w:w="19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20.000 EUR</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Veleprodaja</w:t>
            </w:r>
          </w:p>
        </w:tc>
        <w:tc>
          <w:tcPr>
            <w:tcW w:type="dxa" w:w="5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naročila · skladišče · zaloge · odprema · terjatve</w:t>
            </w:r>
          </w:p>
        </w:tc>
        <w:tc>
          <w:tcPr>
            <w:tcW w:type="dxa" w:w="19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20.000 EUR</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Maloprodaja</w:t>
            </w:r>
          </w:p>
        </w:tc>
        <w:tc>
          <w:tcPr>
            <w:tcW w:type="dxa" w:w="5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police · zaloga · marže · blagajna · prevzem · spletna prodaja</w:t>
            </w:r>
          </w:p>
        </w:tc>
        <w:tc>
          <w:tcPr>
            <w:tcW w:type="dxa" w:w="19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15.000 EUR</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Storitve</w:t>
            </w:r>
          </w:p>
        </w:tc>
        <w:tc>
          <w:tcPr>
            <w:tcW w:type="dxa" w:w="5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projekti · obračun · obseg · administracija · terjatve</w:t>
            </w:r>
          </w:p>
        </w:tc>
        <w:tc>
          <w:tcPr>
            <w:tcW w:type="dxa" w:w="19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15.000 EUR</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Računovodski servis</w:t>
            </w:r>
          </w:p>
        </w:tc>
        <w:tc>
          <w:tcPr>
            <w:tcW w:type="dxa" w:w="5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zajem · stranke · obračuni · popravki · donosnost</w:t>
            </w:r>
          </w:p>
        </w:tc>
        <w:tc>
          <w:tcPr>
            <w:tcW w:type="dxa" w:w="19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10.000 EUR</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Splošno</w:t>
            </w:r>
          </w:p>
        </w:tc>
        <w:tc>
          <w:tcPr>
            <w:tcW w:type="dxa" w:w="5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podatki · usklajevanje · napake · denar · zaloge</w:t>
            </w:r>
          </w:p>
        </w:tc>
        <w:tc>
          <w:tcPr>
            <w:tcW w:type="dxa" w:w="19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15.000 EUR</w:t>
            </w:r>
          </w:p>
        </w:tc>
      </w:tr>
    </w:tbl>
    <w:p>
      <w:pPr>
        <w:spacing w:after="160"/>
      </w:pPr>
    </w:p>
    <w:p>
      <w:pPr>
        <w:spacing w:after="120" w:before="0" w:line="264"/>
      </w:pPr>
      <w:r>
        <w:rPr>
          <w:rFonts w:ascii="Calibri" w:cs="Calibri" w:eastAsia="Calibri" w:hAnsi="Calibri"/>
          <w:color w:val="1A1A1A"/>
          <w:sz w:val="21"/>
          <w:szCs w:val="21"/>
        </w:rPr>
        <w:t xml:space="preserve">Aplikacija stranki privzeto predlaga tri področja, a lahko izbere vsa. Prag visoke izgube je meja, nad katero se stranka obravnava kot resna priložnost — vstopi v oceno ustreznosti in v izbiro nadaljnjega stika (poglavje 10).</w:t>
      </w:r>
    </w:p>
    <w:p>
      <w:pPr>
        <w:spacing w:after="10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Zakaj nekatera skupna področja pri nekaterih panogah manjkajo</w:t>
            </w:r>
          </w:p>
          <w:p>
            <w:pPr>
              <w:spacing w:after="0" w:line="264"/>
            </w:pPr>
            <w:r>
              <w:rPr>
                <w:rFonts w:ascii="Calibri" w:cs="Calibri" w:eastAsia="Calibri" w:hAnsi="Calibri"/>
                <w:color w:val="1A1A1A"/>
                <w:sz w:val="20"/>
                <w:szCs w:val="20"/>
              </w:rPr>
              <w:t xml:space="preserve">Da istega časa ne štejemo dvakrat. Pri logistiki na primer ni področja »Dokumentacija«, ker prevozne listine meri že lastno področje. Pri računovodskem servisu ni področja »Finance«, ker so knjiženje in obračuni njihov produkt, ne njihov strošek. Celotna tabela, katero skupno področje velja za katero panogo, je v poglavju 6.</w:t>
            </w:r>
          </w:p>
        </w:tc>
      </w:tr>
    </w:tbl>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5. Formule po panogah</w:t>
      </w:r>
    </w:p>
    <w:p>
      <w:pPr>
        <w:spacing w:after="120" w:before="0" w:line="264"/>
      </w:pPr>
      <w:r>
        <w:rPr>
          <w:rFonts w:ascii="Calibri" w:cs="Calibri" w:eastAsia="Calibri" w:hAnsi="Calibri"/>
          <w:color w:val="1A1A1A"/>
          <w:sz w:val="21"/>
          <w:szCs w:val="21"/>
        </w:rPr>
        <w:t xml:space="preserve">Kako brati tabele:</w:t>
      </w:r>
    </w:p>
    <w:p>
      <w:pPr>
        <w:pStyle w:val="ListParagraph"/>
        <w:numPr>
          <w:ilvl w:val="0"/>
          <w:numId w:val="2"/>
        </w:numPr>
        <w:spacing w:after="90" w:before="0" w:line="264"/>
      </w:pPr>
      <w:r>
        <w:rPr>
          <w:rFonts w:ascii="Calibri" w:cs="Calibri" w:eastAsia="Calibri" w:hAnsi="Calibri"/>
          <w:color w:val="1A1A1A"/>
          <w:sz w:val="21"/>
          <w:szCs w:val="21"/>
        </w:rPr>
        <w:t xml:space="preserve">»× 12« pretvori mesečni vnos v letnega. Kjer ga ni, je vnos že letni — to je posebej označeno.</w:t>
      </w:r>
    </w:p>
    <w:p>
      <w:pPr>
        <w:pStyle w:val="ListParagraph"/>
        <w:numPr>
          <w:ilvl w:val="0"/>
          <w:numId w:val="2"/>
        </w:numPr>
        <w:spacing w:after="90" w:before="0" w:line="264"/>
      </w:pPr>
      <w:r>
        <w:rPr>
          <w:rFonts w:ascii="Calibri" w:cs="Calibri" w:eastAsia="Calibri" w:hAnsi="Calibri"/>
          <w:color w:val="1A1A1A"/>
          <w:sz w:val="21"/>
          <w:szCs w:val="21"/>
        </w:rPr>
        <w:t xml:space="preserve">»cena ure« je vedno lastni strošek ure, ki ga stranka pove ali ga privzamemo za njeno panogo. Edina izjema so storitve, kjer se ena postavka vrednoti po ceni za naročnika.</w:t>
      </w:r>
    </w:p>
    <w:p>
      <w:pPr>
        <w:pStyle w:val="ListParagraph"/>
        <w:numPr>
          <w:ilvl w:val="0"/>
          <w:numId w:val="2"/>
        </w:numPr>
        <w:spacing w:after="90" w:before="0" w:line="264"/>
      </w:pPr>
      <w:r>
        <w:rPr>
          <w:rFonts w:ascii="Calibri" w:cs="Calibri" w:eastAsia="Calibri" w:hAnsi="Calibri"/>
          <w:color w:val="1A1A1A"/>
          <w:sz w:val="21"/>
          <w:szCs w:val="21"/>
        </w:rPr>
        <w:t xml:space="preserve">»letni znesek, ki ga vpiše stranka« pomeni, da tu ne računamo nič — vzamemo njeno številko.</w:t>
      </w:r>
    </w:p>
    <w:p>
      <w:pPr>
        <w:pStyle w:val="ListParagraph"/>
        <w:numPr>
          <w:ilvl w:val="0"/>
          <w:numId w:val="2"/>
        </w:numPr>
        <w:spacing w:after="90" w:before="0" w:line="264"/>
      </w:pPr>
      <w:r>
        <w:rPr>
          <w:rFonts w:ascii="Calibri" w:cs="Calibri" w:eastAsia="Calibri" w:hAnsi="Calibri"/>
          <w:color w:val="1A1A1A"/>
          <w:sz w:val="21"/>
          <w:szCs w:val="21"/>
        </w:rPr>
        <w:t xml:space="preserve">Vrsta v zadnjem stolpcu: € izguba · M marža · h čas · K kapital (poglavje 2).</w:t>
      </w:r>
    </w:p>
    <w:p>
      <w:pPr>
        <w:pStyle w:val="ListParagraph"/>
        <w:numPr>
          <w:ilvl w:val="0"/>
          <w:numId w:val="2"/>
        </w:numPr>
        <w:spacing w:after="90" w:before="0" w:line="264"/>
      </w:pPr>
      <w:r>
        <w:rPr>
          <w:rFonts w:ascii="Calibri" w:cs="Calibri" w:eastAsia="Calibri" w:hAnsi="Calibri"/>
          <w:color w:val="1A1A1A"/>
          <w:sz w:val="21"/>
          <w:szCs w:val="21"/>
        </w:rPr>
        <w:t xml:space="preserve">Vzrok, ki ga stranka izbere v vsakem področju, določi naslovljivi delež vseh njegovih postavk (poglavje 3).</w:t>
      </w:r>
    </w:p>
    <w:p>
      <w:pPr>
        <w:spacing w:after="60"/>
      </w:pPr>
    </w:p>
    <w:p>
      <w:pPr>
        <w:spacing w:after="120" w:before="0" w:line="264"/>
      </w:pPr>
      <w:r>
        <w:rPr>
          <w:rFonts w:ascii="Calibri" w:cs="Calibri" w:eastAsia="Calibri" w:hAnsi="Calibri"/>
          <w:color w:val="1A1A1A"/>
          <w:sz w:val="21"/>
          <w:szCs w:val="21"/>
        </w:rPr>
        <w:t xml:space="preserve">Ceno ure pove stranka sama — izbere razpon, ki velja zanjo, aplikacija pa vzame sredino tega razpona. Če na to vprašanje ne odgovori ali panoge ne poznamo, veljajo te rezervne vrednosti:</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6100"/>
        <w:gridCol w:w="3500"/>
      </w:tblGrid>
      <w:tr>
        <w:trPr>
          <w:tblHeader/>
        </w:trPr>
        <w:tc>
          <w:tcPr>
            <w:tcW w:type="dxa" w:w="61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w:t>
            </w:r>
          </w:p>
        </w:tc>
        <w:tc>
          <w:tcPr>
            <w:tcW w:type="dxa" w:w="35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Rezervna vrednost</w:t>
            </w:r>
          </w:p>
        </w:tc>
      </w:tr>
      <w:tr>
        <w:trPr>
          <w:cantSplit/>
        </w:trPr>
        <w:tc>
          <w:tcPr>
            <w:tcW w:type="dxa" w:w="61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Operativna ura</w:t>
            </w:r>
          </w:p>
        </w:tc>
        <w:tc>
          <w:tcPr>
            <w:tcW w:type="dxa" w:w="35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20 EUR</w:t>
            </w:r>
          </w:p>
        </w:tc>
      </w:tr>
      <w:tr>
        <w:trPr>
          <w:cantSplit/>
        </w:trPr>
        <w:tc>
          <w:tcPr>
            <w:tcW w:type="dxa" w:w="61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Administrativna ura</w:t>
            </w:r>
          </w:p>
        </w:tc>
        <w:tc>
          <w:tcPr>
            <w:tcW w:type="dxa" w:w="35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26 EUR</w:t>
            </w:r>
          </w:p>
        </w:tc>
      </w:tr>
      <w:tr>
        <w:trPr>
          <w:cantSplit/>
        </w:trPr>
        <w:tc>
          <w:tcPr>
            <w:tcW w:type="dxa" w:w="61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Zaračunana postavka (samo storitve)</w:t>
            </w:r>
          </w:p>
        </w:tc>
        <w:tc>
          <w:tcPr>
            <w:tcW w:type="dxa" w:w="35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55 EUR</w:t>
            </w:r>
          </w:p>
        </w:tc>
      </w:tr>
      <w:tr>
        <w:trPr>
          <w:cantSplit/>
        </w:trPr>
        <w:tc>
          <w:tcPr>
            <w:tcW w:type="dxa" w:w="61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Prispevna marža</w:t>
            </w:r>
          </w:p>
        </w:tc>
        <w:tc>
          <w:tcPr>
            <w:tcW w:type="dxa" w:w="35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25 %</w:t>
            </w:r>
          </w:p>
        </w:tc>
      </w:tr>
      <w:tr>
        <w:trPr>
          <w:cantSplit/>
        </w:trPr>
        <w:tc>
          <w:tcPr>
            <w:tcW w:type="dxa" w:w="61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Strošek kapitala</w:t>
            </w:r>
          </w:p>
        </w:tc>
        <w:tc>
          <w:tcPr>
            <w:tcW w:type="dxa" w:w="35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8,5 %</w:t>
            </w:r>
          </w:p>
        </w:tc>
      </w:tr>
      <w:tr>
        <w:trPr>
          <w:cantSplit/>
        </w:trPr>
        <w:tc>
          <w:tcPr>
            <w:tcW w:type="dxa" w:w="61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prihodek</w:t>
            </w:r>
          </w:p>
        </w:tc>
        <w:tc>
          <w:tcPr>
            <w:tcW w:type="dxa" w:w="35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0 — prihodka si ne izmišljamo</w:t>
            </w:r>
          </w:p>
        </w:tc>
      </w:tr>
    </w:tbl>
    <w:p>
      <w:pPr>
        <w:spacing w:after="100"/>
      </w:pPr>
    </w:p>
    <w:p>
      <w:pPr>
        <w:pStyle w:val="Heading2"/>
        <w:spacing w:after="140" w:before="300"/>
      </w:pPr>
      <w:r>
        <w:rPr>
          <w:rFonts w:ascii="Calibri" w:cs="Calibri" w:eastAsia="Calibri" w:hAnsi="Calibri"/>
          <w:b/>
          <w:bCs/>
          <w:color w:val="1F4E79"/>
          <w:sz w:val="25"/>
          <w:szCs w:val="25"/>
        </w:rPr>
        <w:t xml:space="preserve">5.1 Proizvodnja</w:t>
      </w:r>
    </w:p>
    <w:p>
      <w:pPr>
        <w:spacing w:after="140" w:before="0" w:line="264"/>
      </w:pPr>
      <w:r>
        <w:rPr>
          <w:rFonts w:ascii="Calibri" w:cs="Calibri" w:eastAsia="Calibri" w:hAnsi="Calibri"/>
          <w:i/>
          <w:iCs/>
          <w:color w:val="44546A"/>
          <w:sz w:val="20"/>
          <w:szCs w:val="20"/>
        </w:rPr>
        <w:t xml:space="preserve">Operativna ura = ura proizvodnega delavca. Administrativna ura = ura v pisarni.</w:t>
      </w: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Plan, kapacitete in navodila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Zastoji in nadure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čakanja + nadure na mesec) × cena operativne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Ponovno planiranje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Izmet, dodelave in kakovost</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Izmet materiala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letna poraba materiala × delež izmeta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Reklamacije in vračila</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Dodelave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Zaloge in razpoložljivost</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Odpisi in razvrednotenja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Čakanje na material</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Sprostljiv obratni kapital</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povprečna zaloga × sprostljiv delež zaloge</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K</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Delovni nalogi in podatki</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Priprava nalogov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Prepisovanje med orodji</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Popravljanje podatkov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Roki in nujni stroški</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Ekspresne nabave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Penali in popusti</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Izgubljena marža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 samo marža, ne cel posel</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Obveščanje kupcev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bl>
    <w:p>
      <w:pPr>
        <w:spacing w:after="14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Opomba</w:t>
            </w:r>
          </w:p>
          <w:p>
            <w:pPr>
              <w:spacing w:after="0" w:line="264"/>
            </w:pPr>
            <w:r>
              <w:rPr>
                <w:rFonts w:ascii="Calibri" w:cs="Calibri" w:eastAsia="Calibri" w:hAnsi="Calibri"/>
                <w:color w:val="1A1A1A"/>
                <w:sz w:val="20"/>
                <w:szCs w:val="20"/>
              </w:rPr>
              <w:t xml:space="preserve">Pri izmetu materiala priznamo kot rešljivo največ polovico zneska — nekaj izmeta je fizikalno neizogibnega.</w:t>
            </w:r>
          </w:p>
        </w:tc>
      </w:tr>
    </w:tbl>
    <w:p>
      <w:pPr>
        <w:spacing w:after="200"/>
      </w:pPr>
    </w:p>
    <w:p>
      <w:pPr>
        <w:pStyle w:val="Heading2"/>
        <w:spacing w:after="140" w:before="300"/>
      </w:pPr>
      <w:r>
        <w:rPr>
          <w:rFonts w:ascii="Calibri" w:cs="Calibri" w:eastAsia="Calibri" w:hAnsi="Calibri"/>
          <w:b/>
          <w:bCs/>
          <w:color w:val="1F4E79"/>
          <w:sz w:val="25"/>
          <w:szCs w:val="25"/>
        </w:rPr>
        <w:t xml:space="preserve">5.2 Logistika</w:t>
      </w:r>
    </w:p>
    <w:p>
      <w:pPr>
        <w:spacing w:after="140" w:before="0" w:line="264"/>
      </w:pPr>
      <w:r>
        <w:rPr>
          <w:rFonts w:ascii="Calibri" w:cs="Calibri" w:eastAsia="Calibri" w:hAnsi="Calibri"/>
          <w:i/>
          <w:iCs/>
          <w:color w:val="44546A"/>
          <w:sz w:val="20"/>
          <w:szCs w:val="20"/>
        </w:rPr>
        <w:t xml:space="preserve">Operativna ura = ura voznika ali skladiščnika. Administrativna ura = ura v pisarni.</w:t>
      </w: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Planiranje prevozov</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Prazni kilometri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prazni km na mesec × strošek kilometra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Čakanje vozil</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Razporejanje voženj</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Napačne dostave in poškodbe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Napačne dostave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pošiljke na mesec × delež napak × strošek ene napake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Poškodovano blago</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Reševanje reklamacij</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Skladiščne operacije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Popisne razlike in odpisi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Iskanje in prekladanje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Sprostljiv kapital</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povprečna zaloga × sprostljiv delež zaloge</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K</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Prevozna dokumentacija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Priprava listin</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Prepisovanje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Popravljanje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Zamude in stojnine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Nujni podnajemi prevoza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Penali in stojnine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Izgubljena marža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 samo marža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Obveščanje strank</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bl>
    <w:p>
      <w:pPr>
        <w:spacing w:after="14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Opomba</w:t>
            </w:r>
          </w:p>
          <w:p>
            <w:pPr>
              <w:spacing w:after="0" w:line="264"/>
            </w:pPr>
            <w:r>
              <w:rPr>
                <w:rFonts w:ascii="Calibri" w:cs="Calibri" w:eastAsia="Calibri" w:hAnsi="Calibri"/>
                <w:color w:val="1A1A1A"/>
                <w:sz w:val="20"/>
                <w:szCs w:val="20"/>
              </w:rPr>
              <w:t xml:space="preserve">Pri praznih kilometrih priznamo kot rešljivo največ polovico — nekaj praznih voženj postavi geografija. Privzeti strošek kilometra je 0,75 EUR, privzeti strošek ene napačne dostave 40 EUR; oboje stranka lahko popravi.</w:t>
            </w:r>
          </w:p>
        </w:tc>
      </w:tr>
    </w:tbl>
    <w:p>
      <w:pPr>
        <w:spacing w:after="200"/>
      </w:pPr>
    </w:p>
    <w:p>
      <w:pPr>
        <w:pStyle w:val="Heading2"/>
        <w:spacing w:after="140" w:before="300"/>
      </w:pPr>
      <w:r>
        <w:rPr>
          <w:rFonts w:ascii="Calibri" w:cs="Calibri" w:eastAsia="Calibri" w:hAnsi="Calibri"/>
          <w:b/>
          <w:bCs/>
          <w:color w:val="1F4E79"/>
          <w:sz w:val="25"/>
          <w:szCs w:val="25"/>
        </w:rPr>
        <w:t xml:space="preserve">5.3 Veleprodaja</w:t>
      </w:r>
    </w:p>
    <w:p>
      <w:pPr>
        <w:spacing w:after="140" w:before="0" w:line="264"/>
      </w:pPr>
      <w:r>
        <w:rPr>
          <w:rFonts w:ascii="Calibri" w:cs="Calibri" w:eastAsia="Calibri" w:hAnsi="Calibri"/>
          <w:i/>
          <w:iCs/>
          <w:color w:val="44546A"/>
          <w:sz w:val="20"/>
          <w:szCs w:val="20"/>
        </w:rPr>
        <w:t xml:space="preserve">Operativna ura = ura v skladišču. Administrativna ura = ura v pisarni.</w:t>
      </w: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Naročila, ponudbe in cene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Ročni vnos naročil</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Prepisovanje naročil</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Urejanje cenikov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Izgubljena marža na cenah</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Skladišče in komisioniranje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Iskanje blaga in nadure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iskanja + nadure na mesec) × cena operativne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Ročno urejanje prevzemov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Inventure in preštevanja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leto × cena operativne ure  (vnos je že letni, brez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Zaloge in nekurantnost</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Odpisi in nekurantna zaloga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Marža ob manjkajočem blagu</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Sprostljiv kapital</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povprečna zaloga × sprostljiv delež zaloge</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K</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Odprema in vračila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Ponovne dostave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Dobropisi</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Vrnjeno blago</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Reševanje reklamacij</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Plačilni roki in terjatve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Strošek zamud pri plačilih</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prihodek ÷ 365) × dni zamude nad dogovorjenim rokom × strošek kapitala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Opominjanje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Odpisane terjatve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bl>
    <w:p>
      <w:pPr>
        <w:spacing w:after="14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Opomba</w:t>
            </w:r>
          </w:p>
          <w:p>
            <w:pPr>
              <w:spacing w:after="0" w:line="264"/>
            </w:pPr>
            <w:r>
              <w:rPr>
                <w:rFonts w:ascii="Calibri" w:cs="Calibri" w:eastAsia="Calibri" w:hAnsi="Calibri"/>
                <w:color w:val="1A1A1A"/>
                <w:sz w:val="20"/>
                <w:szCs w:val="20"/>
              </w:rPr>
              <w:t xml:space="preserve">Pri terjatvah štejemo samo dneve NAD dogovorjenim plačilnim rokom, ne celotnega plačilnega roka. Če bi šteli vse, bi finančnik številko zavrnil.</w:t>
            </w:r>
          </w:p>
        </w:tc>
      </w:tr>
    </w:tbl>
    <w:p>
      <w:pPr>
        <w:spacing w:after="200"/>
      </w:pPr>
    </w:p>
    <w:p>
      <w:pPr>
        <w:pStyle w:val="Heading2"/>
        <w:spacing w:after="140" w:before="300"/>
      </w:pPr>
      <w:r>
        <w:rPr>
          <w:rFonts w:ascii="Calibri" w:cs="Calibri" w:eastAsia="Calibri" w:hAnsi="Calibri"/>
          <w:b/>
          <w:bCs/>
          <w:color w:val="1F4E79"/>
          <w:sz w:val="25"/>
          <w:szCs w:val="25"/>
        </w:rPr>
        <w:t xml:space="preserve">5.4 Maloprodaja</w:t>
      </w:r>
    </w:p>
    <w:p>
      <w:pPr>
        <w:spacing w:after="140" w:before="0" w:line="264"/>
      </w:pPr>
      <w:r>
        <w:rPr>
          <w:rFonts w:ascii="Calibri" w:cs="Calibri" w:eastAsia="Calibri" w:hAnsi="Calibri"/>
          <w:i/>
          <w:iCs/>
          <w:color w:val="44546A"/>
          <w:sz w:val="20"/>
          <w:szCs w:val="20"/>
        </w:rPr>
        <w:t xml:space="preserve">Ura v poslovalnici = ura prodajalca. Administrativna ura = ura v pisarni ali centrali.</w:t>
      </w: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Prazne police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Nezaslužena marža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prihodek × delež povpraševanja ob prazni polici × prispevna marža × (1 − delež kupcev, ki vzame nadomestek)</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Ekspresne dobave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Iskanje zaloge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ure v poslovalnici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Presežna zaloga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Odpisi in poteklo blago</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Marža, izgubljena s prisilnimi znižanji</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Strošek financiranja presežne zaloge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(zaloga × sprostljiv delež) × strošek kapitala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Sprostljiv obratni kapital</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zaloga × sprostljiv delež zaloge</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K</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Cene, akcije in marža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Marža ob napačni ceni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prihodek × delež prodaje po napačni ceni × razlika v marži</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Neizkoriščeni rabati dobaviteljev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Vzdrževanje cenikov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Blagajna in inventure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Dnevni zaključki blagajn</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(število blagajn × minute zaključka × odprti dnevi na leto) ÷ 60 × cena ure v poslovalnici</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Inventurni manko</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Izvedba inventur</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leto × cena ure v poslovalnici  (vnos je že letni, brez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Prevzem blaga in prenosi</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Prevzem blaga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ure v poslovalnici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Usklajevanje dokumentov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Prenosi med poslovalnicami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ure v poslovalnici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Spletna prodaja in vračila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Marža odpovedanih naročil</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vrednost odpovedanih naročil × prispevna marža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Neposredni stroški vračil</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vračila na mesec × strošek enega vračila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Usklajevanje med kanali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Obdelava spletnih naročil</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ure v poslovalnici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bl>
    <w:p>
      <w:pPr>
        <w:spacing w:after="14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Opomba</w:t>
            </w:r>
          </w:p>
          <w:p>
            <w:pPr>
              <w:spacing w:after="0" w:line="264"/>
            </w:pPr>
            <w:r>
              <w:rPr>
                <w:rFonts w:ascii="Calibri" w:cs="Calibri" w:eastAsia="Calibri" w:hAnsi="Calibri"/>
                <w:color w:val="1A1A1A"/>
                <w:sz w:val="20"/>
                <w:szCs w:val="20"/>
              </w:rPr>
              <w:t xml:space="preserve">Maloprodaja je edina panoga s šestimi področji: prazna polica in presežna zaloga sta nasprotna problema z nasprotnima vzrokoma, zato ju ne moremo meriti z istim sklopom vprašanj. Odprti dnevi na leto: 5 dni na teden = 255, 6 dni = 305, 7 dni = 355.</w:t>
            </w:r>
          </w:p>
        </w:tc>
      </w:tr>
    </w:tbl>
    <w:p>
      <w:pPr>
        <w:spacing w:after="200"/>
      </w:pPr>
    </w:p>
    <w:p>
      <w:pPr>
        <w:pStyle w:val="Heading2"/>
        <w:spacing w:after="140" w:before="300"/>
      </w:pPr>
      <w:r>
        <w:rPr>
          <w:rFonts w:ascii="Calibri" w:cs="Calibri" w:eastAsia="Calibri" w:hAnsi="Calibri"/>
          <w:b/>
          <w:bCs/>
          <w:color w:val="1F4E79"/>
          <w:sz w:val="25"/>
          <w:szCs w:val="25"/>
        </w:rPr>
        <w:t xml:space="preserve">5.5 Storitve</w:t>
      </w:r>
    </w:p>
    <w:p>
      <w:pPr>
        <w:spacing w:after="140" w:before="0" w:line="264"/>
      </w:pPr>
      <w:r>
        <w:rPr>
          <w:rFonts w:ascii="Calibri" w:cs="Calibri" w:eastAsia="Calibri" w:hAnsi="Calibri"/>
          <w:i/>
          <w:iCs/>
          <w:color w:val="44546A"/>
          <w:sz w:val="20"/>
          <w:szCs w:val="20"/>
        </w:rPr>
        <w:t xml:space="preserve">Izvedbena ura = ura strokovnjaka, ki dela na projektu. Zaračunana postavka = cena, po kateri to uro zaračunamo stranki. Administrativna ura = ura v pisarni.</w:t>
      </w: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Plan, prioritete, zasedenost</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Zastoji in nadure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(prazne ure + nadure na mesec) × cena izvedbene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Prerazporejanje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Evidenca dela in zaračunavanje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Opravljene, a nezaračunane ure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zaračunana postavka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Dobropisi in popravki računov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Naknadna evidenca ur</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Obseg, spremembe, dodelave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Delo nad dogovorjenim obsegom</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izvedbene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Popravki po pripombah naročnika</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izvedbene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Odpisi ob obračunu</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Projektna administracija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Ponudbe in poročila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Prepisovanje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Popravljanje podatkov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Roki, plačila, vezan denar</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Kazni in popusti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Izgubljena prispevna marža</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Obveščanje naročnikov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Sprostljiv kapital v nezaračunanem delu</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vrednost nezaračunanega dela × sprostljiv delež</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K</w:t>
            </w:r>
          </w:p>
        </w:tc>
      </w:tr>
    </w:tbl>
    <w:p>
      <w:pPr>
        <w:spacing w:after="14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Opomba</w:t>
            </w:r>
          </w:p>
          <w:p>
            <w:pPr>
              <w:spacing w:after="0" w:line="264"/>
            </w:pPr>
            <w:r>
              <w:rPr>
                <w:rFonts w:ascii="Calibri" w:cs="Calibri" w:eastAsia="Calibri" w:hAnsi="Calibri"/>
                <w:color w:val="1A1A1A"/>
                <w:sz w:val="20"/>
                <w:szCs w:val="20"/>
              </w:rPr>
              <w:t xml:space="preserve">Pravilo panoge: ena ura gre ALI med nezaračunane (€, vrednotena po ceni za stranko) ALI med interne (h, vrednotena po lastnem strošku) — nikoli oboje. Storitve so edina panoga, kjer se ena postavka vrednoti po prodajni ceni in ne po lastnem strošku.</w:t>
            </w:r>
          </w:p>
        </w:tc>
      </w:tr>
    </w:tbl>
    <w:p>
      <w:pPr>
        <w:spacing w:after="200"/>
      </w:pPr>
    </w:p>
    <w:p>
      <w:pPr>
        <w:pStyle w:val="Heading2"/>
        <w:spacing w:after="140" w:before="300"/>
      </w:pPr>
      <w:r>
        <w:rPr>
          <w:rFonts w:ascii="Calibri" w:cs="Calibri" w:eastAsia="Calibri" w:hAnsi="Calibri"/>
          <w:b/>
          <w:bCs/>
          <w:color w:val="1F4E79"/>
          <w:sz w:val="25"/>
          <w:szCs w:val="25"/>
        </w:rPr>
        <w:t xml:space="preserve">5.6 Računovodski servis</w:t>
      </w:r>
    </w:p>
    <w:p>
      <w:pPr>
        <w:spacing w:after="140" w:before="0" w:line="264"/>
      </w:pPr>
      <w:r>
        <w:rPr>
          <w:rFonts w:ascii="Calibri" w:cs="Calibri" w:eastAsia="Calibri" w:hAnsi="Calibri"/>
          <w:i/>
          <w:iCs/>
          <w:color w:val="44546A"/>
          <w:sz w:val="20"/>
          <w:szCs w:val="20"/>
        </w:rPr>
        <w:t xml:space="preserve">Računovodska ura = ura računovodje. Vodstvena ura = ura vodje ali direktorja servisa.</w:t>
      </w: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Zajem in vnos listin</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Ročni vnos listin</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(listine na mesec × delež ročnih × minute na listino ÷ 60) × cena računovodske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Prepisovanje med programi</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računovodske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Skeniranje in arhiviranje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računovodske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Listine strank in komunikacija</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Lovljenje listin od strank</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računovodske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Odgovarjanje na vprašanja strank</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vodstvene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Obračuni, roki, konice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Nadure ob obračunih</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računovodske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Ročna priprava obračunov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računovodske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Zunanja pomoč v konicah</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Globe in obresti zaradi zamud</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Napake in popravki</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Popravljanje knjižb</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računovodske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Dodatne kontrole pred oddajo</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vodstvene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Samoprijave in doplačila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Dobropisi in odpisi</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Neobračunano delo in donosnost</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Neobračunano opravljeno delo</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računovodske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Stranke pod lastno ceno</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število takih strank × mesečni primanjkljaj na stranko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bl>
    <w:p>
      <w:pPr>
        <w:spacing w:after="14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Opomba</w:t>
            </w:r>
          </w:p>
          <w:p>
            <w:pPr>
              <w:spacing w:after="0" w:line="264"/>
            </w:pPr>
            <w:r>
              <w:rPr>
                <w:rFonts w:ascii="Calibri" w:cs="Calibri" w:eastAsia="Calibri" w:hAnsi="Calibri"/>
                <w:color w:val="1A1A1A"/>
                <w:sz w:val="20"/>
                <w:szCs w:val="20"/>
              </w:rPr>
              <w:t xml:space="preserve">Servis nima zalog, zato v tej panogi ni postavke enkratnega kapitala (K). Poleg zneska ta panoga izračuna še eno prodajno uporabno številko: koliko dodatnih strank lahko servis prevzame brez nove zaposlitve = sproščene ure na mesec ÷ ure, ki jih porabi za eno stranko na mesec.</w:t>
            </w:r>
          </w:p>
        </w:tc>
      </w:tr>
    </w:tbl>
    <w:p>
      <w:pPr>
        <w:spacing w:after="200"/>
      </w:pPr>
    </w:p>
    <w:p>
      <w:pPr>
        <w:pStyle w:val="Heading2"/>
        <w:spacing w:after="140" w:before="300"/>
      </w:pPr>
      <w:r>
        <w:rPr>
          <w:rFonts w:ascii="Calibri" w:cs="Calibri" w:eastAsia="Calibri" w:hAnsi="Calibri"/>
          <w:b/>
          <w:bCs/>
          <w:color w:val="1F4E79"/>
          <w:sz w:val="25"/>
          <w:szCs w:val="25"/>
        </w:rPr>
        <w:t xml:space="preserve">5.7 Splošno (kadar panoga ni ena od zgornjih)</w:t>
      </w:r>
    </w:p>
    <w:p>
      <w:pPr>
        <w:spacing w:after="140" w:before="0" w:line="264"/>
      </w:pPr>
      <w:r>
        <w:rPr>
          <w:rFonts w:ascii="Calibri" w:cs="Calibri" w:eastAsia="Calibri" w:hAnsi="Calibri"/>
          <w:i/>
          <w:iCs/>
          <w:color w:val="44546A"/>
          <w:sz w:val="20"/>
          <w:szCs w:val="20"/>
        </w:rPr>
        <w:t xml:space="preserve">Operativna ura = ura v proizvodnji, skladišču ali na terenu. Administrativna ura = ura v pisarni.</w:t>
      </w: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Ročno delo s podatki</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Vnašanje in prepisovanje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Popravljanje podatkov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Ročna priprava poročil</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Usklajevanje in iskanje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Zastoji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Iskanje informacij</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Statusna vprašanja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Napake in ponovno delo</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Popravljanje in ponavljanje dela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Reklamacije in dobropisi</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Izgubljena prispevna marža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M</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Plačilni roki in terjatve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Strošek zamud pri plačilih</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prihodek ÷ 365) × dni zamude × strošek kapitala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Odpisane terjatve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Opominjanje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Zaloge in vezan kapital</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Odpisi in razvrednotenja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Sprostljiv kapital</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povprečna zaloga × sprostljiv delež zaloge</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K</w:t>
            </w:r>
          </w:p>
        </w:tc>
      </w:tr>
    </w:tbl>
    <w:p>
      <w:pPr>
        <w:spacing w:after="14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Opomba</w:t>
            </w:r>
          </w:p>
          <w:p>
            <w:pPr>
              <w:spacing w:after="0" w:line="264"/>
            </w:pPr>
            <w:r>
              <w:rPr>
                <w:rFonts w:ascii="Calibri" w:cs="Calibri" w:eastAsia="Calibri" w:hAnsi="Calibri"/>
                <w:color w:val="1A1A1A"/>
                <w:sz w:val="20"/>
                <w:szCs w:val="20"/>
              </w:rPr>
              <w:t xml:space="preserve">Ta panoga je namenoma najbolj previdna — o podjetju vemo najmanj, zato so tudi ocene možnih izboljšav ožje kot pri ostalih panogah.</w:t>
            </w:r>
          </w:p>
        </w:tc>
      </w:tr>
    </w:tbl>
    <w:p>
      <w:pPr>
        <w:spacing w:after="200"/>
      </w:pPr>
    </w:p>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6. Področja, skupna vsem panogam</w:t>
      </w:r>
    </w:p>
    <w:p>
      <w:pPr>
        <w:spacing w:after="120" w:before="0" w:line="264"/>
      </w:pPr>
      <w:r>
        <w:rPr>
          <w:rFonts w:ascii="Calibri" w:cs="Calibri" w:eastAsia="Calibri" w:hAnsi="Calibri"/>
          <w:color w:val="1A1A1A"/>
          <w:sz w:val="21"/>
          <w:szCs w:val="21"/>
        </w:rPr>
        <w:t xml:space="preserve">Teh pet področij je v vsaki panogi enakih. Vse ure se vrednotijo po administrativni postavki, razen garancijskih popravil.</w:t>
      </w:r>
    </w:p>
    <w:p>
      <w:pPr>
        <w:spacing w:after="60"/>
      </w:pPr>
    </w:p>
    <w:p>
      <w:pPr>
        <w:spacing w:after="120" w:before="0" w:line="264"/>
      </w:pPr>
      <w:r>
        <w:rPr>
          <w:rFonts w:ascii="Calibri" w:cs="Calibri" w:eastAsia="Calibri" w:hAnsi="Calibri"/>
          <w:color w:val="1A1A1A"/>
          <w:sz w:val="21"/>
          <w:szCs w:val="21"/>
        </w:rPr>
        <w:t xml:space="preserve">Katero skupno področje je na voljo pri kateri panogi:</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2700"/>
        <w:gridCol w:w="1400"/>
        <w:gridCol w:w="1350"/>
        <w:gridCol w:w="1250"/>
        <w:gridCol w:w="1550"/>
        <w:gridCol w:w="1350"/>
      </w:tblGrid>
      <w:tr>
        <w:trPr>
          <w:tblHeader/>
        </w:trPr>
        <w:tc>
          <w:tcPr>
            <w:tcW w:type="dxa" w:w="27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Panoga</w:t>
            </w:r>
          </w:p>
        </w:tc>
        <w:tc>
          <w:tcPr>
            <w:tcW w:type="dxa" w:w="14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Analitika</w:t>
            </w:r>
          </w:p>
        </w:tc>
        <w:tc>
          <w:tcPr>
            <w:tcW w:type="dxa" w:w="13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Finance</w:t>
            </w:r>
          </w:p>
        </w:tc>
        <w:tc>
          <w:tcPr>
            <w:tcW w:type="dxa" w:w="12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Kadri</w:t>
            </w:r>
          </w:p>
        </w:tc>
        <w:tc>
          <w:tcPr>
            <w:tcW w:type="dxa" w:w="1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Dokumenti</w:t>
            </w:r>
          </w:p>
        </w:tc>
        <w:tc>
          <w:tcPr>
            <w:tcW w:type="dxa" w:w="13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Servis</w:t>
            </w:r>
          </w:p>
        </w:tc>
      </w:tr>
      <w:tr>
        <w:trPr>
          <w:cantSplit/>
        </w:trPr>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Proizvodnja</w:t>
            </w:r>
          </w:p>
        </w:tc>
        <w:tc>
          <w:tcPr>
            <w:tcW w:type="dxa" w:w="1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2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r>
      <w:tr>
        <w:trPr>
          <w:cantSplit/>
        </w:trPr>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Logistika</w:t>
            </w:r>
          </w:p>
        </w:tc>
        <w:tc>
          <w:tcPr>
            <w:tcW w:type="dxa" w:w="1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2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c>
          <w:tcPr>
            <w:tcW w:type="dxa" w:w="1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r>
      <w:tr>
        <w:trPr>
          <w:cantSplit/>
        </w:trPr>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Veleprodaja</w:t>
            </w:r>
          </w:p>
        </w:tc>
        <w:tc>
          <w:tcPr>
            <w:tcW w:type="dxa" w:w="1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2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r>
      <w:tr>
        <w:trPr>
          <w:cantSplit/>
        </w:trPr>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Maloprodaja</w:t>
            </w:r>
          </w:p>
        </w:tc>
        <w:tc>
          <w:tcPr>
            <w:tcW w:type="dxa" w:w="1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2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r>
      <w:tr>
        <w:trPr>
          <w:cantSplit/>
        </w:trPr>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Storitve</w:t>
            </w:r>
          </w:p>
        </w:tc>
        <w:tc>
          <w:tcPr>
            <w:tcW w:type="dxa" w:w="1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2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r>
      <w:tr>
        <w:trPr>
          <w:cantSplit/>
        </w:trPr>
        <w:tc>
          <w:tcPr>
            <w:tcW w:type="dxa" w:w="2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Računovodski servis</w:t>
            </w:r>
          </w:p>
        </w:tc>
        <w:tc>
          <w:tcPr>
            <w:tcW w:type="dxa" w:w="1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c>
          <w:tcPr>
            <w:tcW w:type="dxa" w:w="12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c>
          <w:tcPr>
            <w:tcW w:type="dxa" w:w="13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r>
      <w:tr>
        <w:trPr>
          <w:cantSplit/>
        </w:trPr>
        <w:tc>
          <w:tcPr>
            <w:tcW w:type="dxa" w:w="2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Splošno</w:t>
            </w:r>
          </w:p>
        </w:tc>
        <w:tc>
          <w:tcPr>
            <w:tcW w:type="dxa" w:w="1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2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da</w:t>
            </w:r>
          </w:p>
        </w:tc>
        <w:tc>
          <w:tcPr>
            <w:tcW w:type="dxa" w:w="13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w:t>
            </w:r>
          </w:p>
        </w:tc>
      </w:tr>
    </w:tbl>
    <w:p>
      <w:pPr>
        <w:spacing w:after="140"/>
      </w:pPr>
    </w:p>
    <w:p>
      <w:pPr>
        <w:spacing w:after="120" w:before="0" w:line="264"/>
      </w:pPr>
      <w:r>
        <w:rPr>
          <w:rFonts w:ascii="Calibri" w:cs="Calibri" w:eastAsia="Calibri" w:hAnsi="Calibri"/>
          <w:color w:val="1A1A1A"/>
          <w:sz w:val="21"/>
          <w:szCs w:val="21"/>
        </w:rPr>
        <w:t xml:space="preserve">Vsak »—« je namerna izključitev, da istega časa ne štejemo dvakrat: pri logistiki prevozne listine in reklamacije meri že lastno področje; pri računovodskem servisu so knjiženje, obračuni in zajem listin njihov produkt, ne strošek; pri splošnem ročno pripravo poročil in ponovno delo pokrivata lastni področji.</w:t>
      </w:r>
    </w:p>
    <w:p>
      <w:pPr>
        <w:spacing w:after="12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050"/>
        <w:gridCol w:w="5550"/>
        <w:gridCol w:w="1000"/>
      </w:tblGrid>
      <w:tr>
        <w:trPr>
          <w:tblHeader/>
        </w:trPr>
        <w:tc>
          <w:tcPr>
            <w:tcW w:type="dxa" w:w="30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merimo</w:t>
            </w:r>
          </w:p>
        </w:tc>
        <w:tc>
          <w:tcPr>
            <w:tcW w:type="dxa" w:w="555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izračunamo</w:t>
            </w:r>
          </w:p>
        </w:tc>
        <w:tc>
          <w:tcPr>
            <w:tcW w:type="dxa" w:w="1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Vrsta</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Analitika in poročanje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Redna poročila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Izredne analize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Združevanje podatkov iz več virov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Računovodstvo in finance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Ročno knjiženje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Usklajevanje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Obračuni za državo</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Zamudne obresti in globe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Kadri in plače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Evidence prisotnosti</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Priprava plač</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Kadrovska administracija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Napačni obračuni plač</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Dokumentacija in e-poslovanje</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Potrjevanje dokumentov</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Iskanje in arhiviranje</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Tiskanje in pošiljanje</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Škoda zaradi prepoznih dokumentov</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r>
        <w:trPr>
          <w:cantSplit/>
        </w:trPr>
        <w:tc>
          <w:tcPr>
            <w:tcW w:type="dxa" w:w="9600"/>
            <w:gridSpan w:val="3"/>
            <w:tcBorders>
              <w:top w:val="single" w:color="B7C6D9" w:sz="4"/>
              <w:left w:val="single" w:color="B7C6D9" w:sz="4"/>
              <w:bottom w:val="single" w:color="B7C6D9" w:sz="4"/>
              <w:right w:val="single" w:color="B7C6D9" w:sz="4"/>
            </w:tcBorders>
            <w:shd w:fill="DCE6F1" w:color="auto" w:val="clear"/>
            <w:tcMar>
              <w:top w:type="dxa" w:w="70"/>
              <w:left w:type="dxa" w:w="110"/>
              <w:bottom w:type="dxa" w:w="70"/>
              <w:right w:type="dxa" w:w="110"/>
            </w:tcMar>
            <w:vAlign w:val="center"/>
          </w:tcPr>
          <w:p>
            <w:pPr>
              <w:keepNext/>
              <w:spacing w:after="0" w:before="0" w:line="240"/>
            </w:pPr>
            <w:r>
              <w:rPr>
                <w:rFonts w:ascii="Calibri" w:cs="Calibri" w:eastAsia="Calibri" w:hAnsi="Calibri"/>
                <w:b/>
                <w:bCs/>
                <w:color w:val="1F4E79"/>
                <w:sz w:val="20"/>
                <w:szCs w:val="20"/>
              </w:rPr>
              <w:t xml:space="preserve">▸  Reklamacije in poprodajni servis</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Garancijska popravila</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operativne ure × 12</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Vodenje reklamacij</w:t>
            </w:r>
          </w:p>
        </w:tc>
        <w:tc>
          <w:tcPr>
            <w:tcW w:type="dxa" w:w="555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mesec × cena administrativne ure × 12</w:t>
            </w:r>
          </w:p>
        </w:tc>
        <w:tc>
          <w:tcPr>
            <w:tcW w:type="dxa" w:w="1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h</w:t>
            </w:r>
          </w:p>
        </w:tc>
      </w:tr>
      <w:tr>
        <w:trPr>
          <w:cantSplit/>
        </w:trPr>
        <w:tc>
          <w:tcPr>
            <w:tcW w:type="dxa" w:w="30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Nadomestni deli in servis</w:t>
            </w:r>
          </w:p>
        </w:tc>
        <w:tc>
          <w:tcPr>
            <w:tcW w:type="dxa" w:w="555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ki ga vpiše stranka</w:t>
            </w:r>
          </w:p>
        </w:tc>
        <w:tc>
          <w:tcPr>
            <w:tcW w:type="dxa" w:w="1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b/>
                <w:bCs/>
                <w:color w:val="1F4E79"/>
                <w:sz w:val="19"/>
                <w:szCs w:val="19"/>
              </w:rPr>
              <w:t xml:space="preserve">€</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7. Diagnostika: kako zanesljivi so podatki stranke</w:t>
      </w:r>
    </w:p>
    <w:p>
      <w:pPr>
        <w:spacing w:after="120" w:before="0" w:line="264"/>
      </w:pPr>
      <w:r>
        <w:rPr>
          <w:rFonts w:ascii="Calibri" w:cs="Calibri" w:eastAsia="Calibri" w:hAnsi="Calibri"/>
          <w:color w:val="1A1A1A"/>
          <w:sz w:val="21"/>
          <w:szCs w:val="21"/>
        </w:rPr>
        <w:t xml:space="preserve">Vsaka panoga ima eno področje brez zneska. Stranka odgovori na štiri vprašanja po lestvici od »Da, zanesljivo« do »Ne« (in »Nismo preverili«, kar se izloči). Iz odgovorov nastaneta dve oceni:</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2300"/>
        <w:gridCol w:w="5300"/>
        <w:gridCol w:w="2000"/>
      </w:tblGrid>
      <w:tr>
        <w:trPr>
          <w:tblHeader/>
        </w:trPr>
        <w:tc>
          <w:tcPr>
            <w:tcW w:type="dxa" w:w="23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Ocena</w:t>
            </w:r>
          </w:p>
        </w:tc>
        <w:tc>
          <w:tcPr>
            <w:tcW w:type="dxa" w:w="53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Iz česa nastane</w:t>
            </w:r>
          </w:p>
        </w:tc>
        <w:tc>
          <w:tcPr>
            <w:tcW w:type="dxa" w:w="2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pove stranki</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Podatkovno tveganje</w:t>
            </w:r>
          </w:p>
        </w:tc>
        <w:tc>
          <w:tcPr>
            <w:tcW w:type="dxa" w:w="5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Prvi dve vprašanji: ali podjetje pozna svoje osnovne številke.</w:t>
            </w:r>
          </w:p>
        </w:tc>
        <w:tc>
          <w:tcPr>
            <w:tcW w:type="dxa" w:w="2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Ali lahko sploh verjame svojim številkam.</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Procesno tveganje</w:t>
            </w:r>
          </w:p>
        </w:tc>
        <w:tc>
          <w:tcPr>
            <w:tcW w:type="dxa" w:w="5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Drugi dve vprašanji: ali je delo sledljivo in ali teče brez ene ključne osebe.</w:t>
            </w:r>
          </w:p>
        </w:tc>
        <w:tc>
          <w:tcPr>
            <w:tcW w:type="dxa" w:w="2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Kaj se zgodi, ko ta oseba odide ali zboli.</w:t>
            </w:r>
          </w:p>
        </w:tc>
      </w:tr>
    </w:tbl>
    <w:p>
      <w:pPr>
        <w:spacing w:after="140"/>
      </w:pPr>
    </w:p>
    <w:p>
      <w:pPr>
        <w:spacing w:after="120" w:before="0" w:line="264"/>
      </w:pPr>
      <w:r>
        <w:rPr>
          <w:rFonts w:ascii="Calibri" w:cs="Calibri" w:eastAsia="Calibri" w:hAnsi="Calibri"/>
          <w:color w:val="1A1A1A"/>
          <w:sz w:val="21"/>
          <w:szCs w:val="21"/>
        </w:rPr>
        <w:t xml:space="preserve">Ocena je nizka, srednja ali visoka. Če stranka ni odgovorila na nič, sodbe ni — ne izmislimo si je. Vprašanja so pri vsaki panogi drugačna:</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2300"/>
        <w:gridCol w:w="3700"/>
        <w:gridCol w:w="3600"/>
      </w:tblGrid>
      <w:tr>
        <w:trPr>
          <w:tblHeader/>
        </w:trPr>
        <w:tc>
          <w:tcPr>
            <w:tcW w:type="dxa" w:w="23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Panoga</w:t>
            </w:r>
          </w:p>
        </w:tc>
        <w:tc>
          <w:tcPr>
            <w:tcW w:type="dxa" w:w="37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Podatkovni par</w:t>
            </w:r>
          </w:p>
        </w:tc>
        <w:tc>
          <w:tcPr>
            <w:tcW w:type="dxa" w:w="36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Procesni par</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Proizvodnja</w:t>
            </w:r>
          </w:p>
        </w:tc>
        <w:tc>
          <w:tcPr>
            <w:tcW w:type="dxa" w:w="3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sprotno evidentiranje + poznavanje lastne cene</w:t>
            </w:r>
          </w:p>
        </w:tc>
        <w:tc>
          <w:tcPr>
            <w:tcW w:type="dxa" w:w="3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sledljivost materiala + neodvisnost od ključne osebe</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Logistika</w:t>
            </w:r>
          </w:p>
        </w:tc>
        <w:tc>
          <w:tcPr>
            <w:tcW w:type="dxa" w:w="3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sprotno evidentiranje + poznavanje stroška vožnje</w:t>
            </w:r>
          </w:p>
        </w:tc>
        <w:tc>
          <w:tcPr>
            <w:tcW w:type="dxa" w:w="3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sledljivost pošiljk + neodvisnost od ključne osebe</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Veleprodaja</w:t>
            </w:r>
          </w:p>
        </w:tc>
        <w:tc>
          <w:tcPr>
            <w:tcW w:type="dxa" w:w="3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točnost zaloge + poznavanje marže artikla</w:t>
            </w:r>
          </w:p>
        </w:tc>
        <w:tc>
          <w:tcPr>
            <w:tcW w:type="dxa" w:w="3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sledljivost pošiljk + neodvisnost od ključne osebe</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Maloprodaja</w:t>
            </w:r>
          </w:p>
        </w:tc>
        <w:tc>
          <w:tcPr>
            <w:tcW w:type="dxa" w:w="3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točnost zaloge + poznavanje marže artikla</w:t>
            </w:r>
          </w:p>
        </w:tc>
        <w:tc>
          <w:tcPr>
            <w:tcW w:type="dxa" w:w="3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sledljivost blaga + neodvisnost od ključne osebe</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Storitve</w:t>
            </w:r>
          </w:p>
        </w:tc>
        <w:tc>
          <w:tcPr>
            <w:tcW w:type="dxa" w:w="3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sprotno evidentiranje + poznavanje marže projekta</w:t>
            </w:r>
          </w:p>
        </w:tc>
        <w:tc>
          <w:tcPr>
            <w:tcW w:type="dxa" w:w="3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dokumentiran obseg + neodvisnost od ključne osebe</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Računovodski servis</w:t>
            </w:r>
          </w:p>
        </w:tc>
        <w:tc>
          <w:tcPr>
            <w:tcW w:type="dxa" w:w="37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ure na stranko + donosnost strank</w:t>
            </w:r>
          </w:p>
        </w:tc>
        <w:tc>
          <w:tcPr>
            <w:tcW w:type="dxa" w:w="3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revizijska sled + neodvisnost od ključne osebe</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Splošno</w:t>
            </w:r>
          </w:p>
        </w:tc>
        <w:tc>
          <w:tcPr>
            <w:tcW w:type="dxa" w:w="37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poznavanje lastne cene + en vir resnice</w:t>
            </w:r>
          </w:p>
        </w:tc>
        <w:tc>
          <w:tcPr>
            <w:tcW w:type="dxa" w:w="3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revizijska sled + neodvisnost od ključne osebe</w:t>
            </w:r>
          </w:p>
        </w:tc>
      </w:tr>
    </w:tbl>
    <w:p>
      <w:pPr>
        <w:spacing w:after="10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Zakaj diagnostika nima zneska</w:t>
            </w:r>
          </w:p>
          <w:p>
            <w:pPr>
              <w:spacing w:after="0" w:line="264"/>
            </w:pPr>
            <w:r>
              <w:rPr>
                <w:rFonts w:ascii="Calibri" w:cs="Calibri" w:eastAsia="Calibri" w:hAnsi="Calibri"/>
                <w:color w:val="1A1A1A"/>
                <w:sz w:val="20"/>
                <w:szCs w:val="20"/>
              </w:rPr>
              <w:t xml:space="preserve">Kjer ni sledljivosti, ni zneska. Diagnostika meri, koliko je mogoče verjeti ostalim številkam. Če bi ji pripisali svoj evrski znesek, bi to sporočilo izničili. V prodajnem pogovoru je to najmočnejši del: pove, kaj podjetje o sebi ne ve.</w:t>
            </w:r>
          </w:p>
        </w:tc>
      </w:tr>
    </w:tbl>
    <w:p>
      <w:pPr>
        <w:pStyle w:val="Heading1"/>
        <w:pBdr>
          <w:bottom w:val="single" w:color="1F4E79" w:sz="8" w:space="6"/>
        </w:pBdr>
        <w:spacing w:after="180" w:before="360"/>
      </w:pPr>
      <w:r>
        <w:rPr>
          <w:rFonts w:ascii="Calibri" w:cs="Calibri" w:eastAsia="Calibri" w:hAnsi="Calibri"/>
          <w:b/>
          <w:bCs/>
          <w:color w:val="1F4E79"/>
          <w:sz w:val="30"/>
          <w:szCs w:val="30"/>
        </w:rPr>
        <w:t xml:space="preserve">8. Tvegani roki</w:t>
      </w:r>
    </w:p>
    <w:p>
      <w:pPr>
        <w:spacing w:after="120" w:before="0" w:line="264"/>
      </w:pPr>
      <w:r>
        <w:rPr>
          <w:rFonts w:ascii="Calibri" w:cs="Calibri" w:eastAsia="Calibri" w:hAnsi="Calibri"/>
          <w:color w:val="1A1A1A"/>
          <w:sz w:val="21"/>
          <w:szCs w:val="21"/>
        </w:rPr>
        <w:t xml:space="preserve">Trije roki, ki jih stranka samo odkljuka. Ni izračuna — vsak odkljukan rok pomeni visoko tveganje. Modul se prikaže samo, kadar stranka že uporablja PANTHEON.</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2600"/>
        <w:gridCol w:w="1900"/>
        <w:gridCol w:w="5100"/>
      </w:tblGrid>
      <w:tr>
        <w:trPr>
          <w:tblHeader/>
        </w:trPr>
        <w:tc>
          <w:tcPr>
            <w:tcW w:type="dxa" w:w="26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w:t>
            </w:r>
          </w:p>
        </w:tc>
        <w:tc>
          <w:tcPr>
            <w:tcW w:type="dxa" w:w="19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Rok</w:t>
            </w:r>
          </w:p>
        </w:tc>
        <w:tc>
          <w:tcPr>
            <w:tcW w:type="dxa" w:w="51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Kaj se zgodi</w:t>
            </w:r>
          </w:p>
        </w:tc>
      </w:tr>
      <w:tr>
        <w:trPr>
          <w:cantSplit/>
        </w:trPr>
        <w:tc>
          <w:tcPr>
            <w:tcW w:type="dxa" w:w="2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SQL Server 2016</w:t>
            </w:r>
          </w:p>
        </w:tc>
        <w:tc>
          <w:tcPr>
            <w:tcW w:type="dxa" w:w="1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14. 7. 2026</w:t>
            </w:r>
          </w:p>
        </w:tc>
        <w:tc>
          <w:tcPr>
            <w:tcW w:type="dxa" w:w="51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Podpora je potekla — rok je že mimo.</w:t>
            </w:r>
          </w:p>
        </w:tc>
      </w:tr>
      <w:tr>
        <w:trPr>
          <w:cantSplit/>
        </w:trPr>
        <w:tc>
          <w:tcPr>
            <w:tcW w:type="dxa" w:w="2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Windows Server 2016</w:t>
            </w:r>
          </w:p>
        </w:tc>
        <w:tc>
          <w:tcPr>
            <w:tcW w:type="dxa" w:w="1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12. 1. 2027</w:t>
            </w:r>
          </w:p>
        </w:tc>
        <w:tc>
          <w:tcPr>
            <w:tcW w:type="dxa" w:w="51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Podpora se konča.</w:t>
            </w:r>
          </w:p>
        </w:tc>
      </w:tr>
      <w:tr>
        <w:trPr>
          <w:cantSplit/>
        </w:trPr>
        <w:tc>
          <w:tcPr>
            <w:tcW w:type="dxa" w:w="2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Ni kanala za e-račune</w:t>
            </w:r>
          </w:p>
        </w:tc>
        <w:tc>
          <w:tcPr>
            <w:tcW w:type="dxa" w:w="1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1. 1. 2028</w:t>
            </w:r>
          </w:p>
        </w:tc>
        <w:tc>
          <w:tcPr>
            <w:tcW w:type="dxa" w:w="51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 ZIERDED kupec ne bo mogel plačati; globa do 3.000 EUR.</w:t>
            </w:r>
          </w:p>
        </w:tc>
      </w:tr>
    </w:tbl>
    <w:p>
      <w:pPr>
        <w:spacing w:after="140"/>
      </w:pPr>
    </w:p>
    <w:p>
      <w:pPr>
        <w:spacing w:after="120" w:before="0" w:line="264"/>
      </w:pPr>
      <w:r>
        <w:rPr>
          <w:rFonts w:ascii="Calibri" w:cs="Calibri" w:eastAsia="Calibri" w:hAnsi="Calibri"/>
          <w:color w:val="1A1A1A"/>
          <w:sz w:val="21"/>
          <w:szCs w:val="21"/>
        </w:rPr>
        <w:t xml:space="preserve">Roki vstopajo v oceno nujnosti pri oceni stranke (poglavje 10). Pri izbiri nadaljnje sekvence so eden od dveh pogojev — drugi je višina izgube.</w:t>
      </w:r>
    </w:p>
    <w:p>
      <w:pPr>
        <w:pStyle w:val="Heading1"/>
        <w:pBdr>
          <w:bottom w:val="single" w:color="1F4E79" w:sz="8" w:space="6"/>
        </w:pBdr>
        <w:spacing w:after="180" w:before="360"/>
      </w:pPr>
      <w:r>
        <w:rPr>
          <w:rFonts w:ascii="Calibri" w:cs="Calibri" w:eastAsia="Calibri" w:hAnsi="Calibri"/>
          <w:b/>
          <w:bCs/>
          <w:color w:val="1F4E79"/>
          <w:sz w:val="30"/>
          <w:szCs w:val="30"/>
        </w:rPr>
        <w:t xml:space="preserve">9. Kako se znesek pokaže stranki</w:t>
      </w:r>
    </w:p>
    <w:p>
      <w:pPr>
        <w:pStyle w:val="Heading2"/>
        <w:spacing w:after="140" w:before="300"/>
      </w:pPr>
      <w:r>
        <w:rPr>
          <w:rFonts w:ascii="Calibri" w:cs="Calibri" w:eastAsia="Calibri" w:hAnsi="Calibri"/>
          <w:b/>
          <w:bCs/>
          <w:color w:val="1F4E79"/>
          <w:sz w:val="25"/>
          <w:szCs w:val="25"/>
        </w:rPr>
        <w:t xml:space="preserve">9.1 Glavni znesek</w:t>
      </w:r>
    </w:p>
    <w:p>
      <w:pPr>
        <w:spacing w:after="120" w:before="0" w:line="264"/>
      </w:pPr>
      <w:r>
        <w:rPr>
          <w:rFonts w:ascii="Calibri" w:cs="Calibri" w:eastAsia="Calibri" w:hAnsi="Calibri"/>
          <w:color w:val="1A1A1A"/>
          <w:sz w:val="21"/>
          <w:szCs w:val="21"/>
        </w:rPr>
        <w:t xml:space="preserve">Glavni znesek na zaslonu in v poročilu je vsota treh vrst:</w:t>
      </w:r>
    </w:p>
    <w:p>
      <w:pPr>
        <w:spacing w:after="40"/>
      </w:pPr>
    </w:p>
    <w:p>
      <w:pPr>
        <w:spacing w:after="140" w:before="0" w:line="264"/>
        <w:jc w:val="center"/>
      </w:pPr>
      <w:r>
        <w:rPr>
          <w:rFonts w:ascii="Calibri" w:cs="Calibri" w:eastAsia="Calibri" w:hAnsi="Calibri"/>
          <w:b/>
          <w:bCs/>
          <w:color w:val="1F4E79"/>
          <w:sz w:val="23"/>
          <w:szCs w:val="23"/>
        </w:rPr>
        <w:t xml:space="preserve">€ neposredna izguba  +  M nezaslužena marža  +  h vrednost sproščenega časa</w:t>
      </w:r>
    </w:p>
    <w:p>
      <w:pPr>
        <w:spacing w:after="120" w:before="0" w:line="264"/>
      </w:pPr>
      <w:r>
        <w:rPr>
          <w:rFonts w:ascii="Calibri" w:cs="Calibri" w:eastAsia="Calibri" w:hAnsi="Calibri"/>
          <w:color w:val="1A1A1A"/>
          <w:sz w:val="21"/>
          <w:szCs w:val="21"/>
        </w:rPr>
        <w:t xml:space="preserve">Enkratni kapital (K) v to vsoto nikoli ne vstopa in se prikaže ločeno.</w:t>
      </w:r>
    </w:p>
    <w:p>
      <w:pPr>
        <w:pStyle w:val="Heading2"/>
        <w:spacing w:after="140" w:before="300"/>
      </w:pPr>
      <w:r>
        <w:rPr>
          <w:rFonts w:ascii="Calibri" w:cs="Calibri" w:eastAsia="Calibri" w:hAnsi="Calibri"/>
          <w:b/>
          <w:bCs/>
          <w:color w:val="1F4E79"/>
          <w:sz w:val="25"/>
          <w:szCs w:val="25"/>
        </w:rPr>
        <w:t xml:space="preserve">9.2 Razpon namesto ene številke</w:t>
      </w:r>
    </w:p>
    <w:p>
      <w:pPr>
        <w:spacing w:after="120" w:before="0" w:line="264"/>
      </w:pPr>
      <w:r>
        <w:rPr>
          <w:rFonts w:ascii="Calibri" w:cs="Calibri" w:eastAsia="Calibri" w:hAnsi="Calibri"/>
          <w:color w:val="1A1A1A"/>
          <w:sz w:val="21"/>
          <w:szCs w:val="21"/>
        </w:rPr>
        <w:t xml:space="preserve">Kjer stranka namesto točne vrednosti izbere razpon (npr. »prihodek 2–5 mio«), aplikacija izračuna znesek dvakrat — enkrat po spodnjih, enkrat po zgornjih predpostavkah — in pokaže razpon. Če je stranka vse podatke vpisala natančno ali če se zaokroženi meji ujemata, razpona ni in se pokaže ena številka. Razpon nastane samo iz negotovosti o urnih postavkah, prihodku, marži in strošku kapitala — ne iz negotovosti o tem, koliko je odpravljivega; to je ocenjeno enkrat (poglavje 3).</w:t>
      </w:r>
    </w:p>
    <w:p>
      <w:pPr>
        <w:pStyle w:val="Heading2"/>
        <w:spacing w:after="140" w:before="300"/>
      </w:pPr>
      <w:r>
        <w:rPr>
          <w:rFonts w:ascii="Calibri" w:cs="Calibri" w:eastAsia="Calibri" w:hAnsi="Calibri"/>
          <w:b/>
          <w:bCs/>
          <w:color w:val="1F4E79"/>
          <w:sz w:val="25"/>
          <w:szCs w:val="25"/>
        </w:rPr>
        <w:t xml:space="preserve">9.3 Trileten pogled in doba povračila</w:t>
      </w:r>
    </w:p>
    <w:p>
      <w:pPr>
        <w:spacing w:after="4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4600"/>
        <w:gridCol w:w="5000"/>
      </w:tblGrid>
      <w:tr>
        <w:trPr>
          <w:tblHeader/>
        </w:trPr>
        <w:tc>
          <w:tcPr>
            <w:tcW w:type="dxa" w:w="46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Izračun</w:t>
            </w:r>
          </w:p>
        </w:tc>
        <w:tc>
          <w:tcPr>
            <w:tcW w:type="dxa" w:w="5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Formula</w:t>
            </w:r>
          </w:p>
        </w:tc>
      </w:tr>
      <w:tr>
        <w:trPr>
          <w:cantSplit/>
        </w:trPr>
        <w:tc>
          <w:tcPr>
            <w:tcW w:type="dxa" w:w="4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Trileten pogled</w:t>
            </w:r>
          </w:p>
        </w:tc>
        <w:tc>
          <w:tcPr>
            <w:tcW w:type="dxa" w:w="5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 3</w:t>
            </w:r>
          </w:p>
        </w:tc>
      </w:tr>
      <w:tr>
        <w:trPr>
          <w:cantSplit/>
        </w:trPr>
        <w:tc>
          <w:tcPr>
            <w:tcW w:type="dxa" w:w="4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Cena enega delovnega dne odlašanja</w:t>
            </w:r>
          </w:p>
        </w:tc>
        <w:tc>
          <w:tcPr>
            <w:tcW w:type="dxa" w:w="5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 252</w:t>
            </w:r>
          </w:p>
        </w:tc>
      </w:tr>
      <w:tr>
        <w:trPr>
          <w:cantSplit/>
        </w:trPr>
        <w:tc>
          <w:tcPr>
            <w:tcW w:type="dxa" w:w="4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Cena enega meseca odlašanja</w:t>
            </w:r>
          </w:p>
        </w:tc>
        <w:tc>
          <w:tcPr>
            <w:tcW w:type="dxa" w:w="5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letni znesek ÷ 12</w:t>
            </w:r>
          </w:p>
        </w:tc>
      </w:tr>
      <w:tr>
        <w:trPr>
          <w:cantSplit/>
        </w:trPr>
        <w:tc>
          <w:tcPr>
            <w:tcW w:type="dxa" w:w="4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Doba povračila (v mesecih)</w:t>
            </w:r>
          </w:p>
        </w:tc>
        <w:tc>
          <w:tcPr>
            <w:tcW w:type="dxa" w:w="5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(vrednost investicije ÷ letni potencial) × 12</w:t>
            </w:r>
          </w:p>
        </w:tc>
      </w:tr>
    </w:tbl>
    <w:p>
      <w:pPr>
        <w:spacing w:after="140"/>
      </w:pPr>
    </w:p>
    <w:p>
      <w:pPr>
        <w:spacing w:after="120" w:before="0" w:line="264"/>
      </w:pPr>
      <w:r>
        <w:rPr>
          <w:rFonts w:ascii="Calibri" w:cs="Calibri" w:eastAsia="Calibri" w:hAnsi="Calibri"/>
          <w:color w:val="1A1A1A"/>
          <w:sz w:val="21"/>
          <w:szCs w:val="21"/>
        </w:rPr>
        <w:t xml:space="preserve">Tabela povračila se pokaže samo, kadar je potencial nad 10.000 EUR. Primerja tri stopnje investicije: 30.000, 60.000 in 120.000 EUR.</w:t>
      </w:r>
    </w:p>
    <w:p>
      <w:pPr>
        <w:spacing w:after="10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Pomembno za pogovor</w:t>
            </w:r>
          </w:p>
          <w:p>
            <w:pPr>
              <w:spacing w:after="0" w:line="264"/>
            </w:pPr>
            <w:r>
              <w:rPr>
                <w:rFonts w:ascii="Calibri" w:cs="Calibri" w:eastAsia="Calibri" w:hAnsi="Calibri"/>
                <w:color w:val="1A1A1A"/>
                <w:sz w:val="20"/>
                <w:szCs w:val="20"/>
              </w:rPr>
              <w:t xml:space="preserve">Teh 30.000 / 60.000 / 120.000 EUR NISO cene PANTHEON. So nevtralne primerjalne stopnje. V aplikaciji ni nobene naše cene — če stranka to razume kot ponudbo, jo je treba popraviti.</w:t>
            </w:r>
          </w:p>
        </w:tc>
      </w:tr>
    </w:tbl>
    <w:p>
      <w:pPr>
        <w:pStyle w:val="Heading2"/>
        <w:spacing w:after="140" w:before="300"/>
      </w:pPr>
      <w:r>
        <w:rPr>
          <w:rFonts w:ascii="Calibri" w:cs="Calibri" w:eastAsia="Calibri" w:hAnsi="Calibri"/>
          <w:b/>
          <w:bCs/>
          <w:color w:val="1F4E79"/>
          <w:sz w:val="25"/>
          <w:szCs w:val="25"/>
        </w:rPr>
        <w:t xml:space="preserve">9.4 Kdaj znesek dobi besedo »najmanj«</w:t>
      </w:r>
    </w:p>
    <w:p>
      <w:pPr>
        <w:spacing w:after="120" w:before="0" w:line="264"/>
      </w:pPr>
      <w:r>
        <w:rPr>
          <w:rFonts w:ascii="Calibri" w:cs="Calibri" w:eastAsia="Calibri" w:hAnsi="Calibri"/>
          <w:color w:val="1A1A1A"/>
          <w:sz w:val="21"/>
          <w:szCs w:val="21"/>
        </w:rPr>
        <w:t xml:space="preserve">Aplikacija sproti ocenjuje, koliko polj je stranka dejansko izpolnila — pri čemer bolj štejejo področja, ki nosijo več denarja. Iz tega nastane ocena zanesljivosti: visoka, srednja ali nizka. Pri nizki zanesljivosti dobi znesek predpono »najmanj«, na primer »najmanj 12.400 EUR«. Če je znesek zaokrožen na nič, piše »ni izmerjeno«.</w:t>
      </w:r>
    </w:p>
    <w:p>
      <w:pPr>
        <w:spacing w:after="80"/>
      </w:pPr>
    </w:p>
    <w:p>
      <w:pPr>
        <w:spacing w:after="120" w:before="0" w:line="264"/>
      </w:pPr>
      <w:r>
        <w:rPr>
          <w:rFonts w:ascii="Calibri" w:cs="Calibri" w:eastAsia="Calibri" w:hAnsi="Calibri"/>
          <w:color w:val="1A1A1A"/>
          <w:sz w:val="21"/>
          <w:szCs w:val="21"/>
        </w:rPr>
        <w:t xml:space="preserve">Posamezna postavka dobi svojo kartico v poročilu šele nad 100 EUR — drobiž bi poročilo samo zamešal. Izjema je kartica sproščenega časa, ki se pokaže pri vsakem znesku nad nič.</w:t>
      </w:r>
    </w:p>
    <w:p>
      <w:pPr>
        <w:pStyle w:val="Heading2"/>
        <w:spacing w:after="140" w:before="300"/>
      </w:pPr>
      <w:r>
        <w:rPr>
          <w:rFonts w:ascii="Calibri" w:cs="Calibri" w:eastAsia="Calibri" w:hAnsi="Calibri"/>
          <w:b/>
          <w:bCs/>
          <w:color w:val="1F4E79"/>
          <w:sz w:val="25"/>
          <w:szCs w:val="25"/>
        </w:rPr>
        <w:t xml:space="preserve">9.5 Opozorilo, kadar so vnesene ure nerealne</w:t>
      </w:r>
    </w:p>
    <w:p>
      <w:pPr>
        <w:spacing w:after="120" w:before="0" w:line="264"/>
      </w:pPr>
      <w:r>
        <w:rPr>
          <w:rFonts w:ascii="Calibri" w:cs="Calibri" w:eastAsia="Calibri" w:hAnsi="Calibri"/>
          <w:color w:val="1A1A1A"/>
          <w:sz w:val="21"/>
          <w:szCs w:val="21"/>
        </w:rPr>
        <w:t xml:space="preserve">Aplikacija sproti preverja, ali vnesene ure sploh lahko držijo. Razpoložljive ure izračuna kot število zaposlenih × 160 ur na mesec. Če vsota vnesenih ur presega 40 % te kapacitete, stranko opozori, da je verjetno kje pretiravala.</w:t>
      </w:r>
    </w:p>
    <w:p>
      <w:pPr>
        <w:spacing w:after="8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Zakaj je to pomembno za prodajo</w:t>
            </w:r>
          </w:p>
          <w:p>
            <w:pPr>
              <w:spacing w:after="0" w:line="264"/>
            </w:pPr>
            <w:r>
              <w:rPr>
                <w:rFonts w:ascii="Calibri" w:cs="Calibri" w:eastAsia="Calibri" w:hAnsi="Calibri"/>
                <w:color w:val="1A1A1A"/>
                <w:sz w:val="20"/>
                <w:szCs w:val="20"/>
              </w:rPr>
              <w:t xml:space="preserve">To opozorilo nas ščiti pred najbolj nerodnim scenarijem: stranka v dobri veri vpiše preveč ur, znesek zraste v nemogočo številko in nam finančnik izračun zavrne v celoti. Bolje je vprašati enkrat prej kot izgubiti verodostojnost.</w:t>
            </w:r>
          </w:p>
        </w:tc>
      </w:tr>
    </w:tbl>
    <w:p>
      <w:r>
        <w:br w:type="page"/>
      </w:r>
    </w:p>
    <w:p>
      <w:pPr>
        <w:pStyle w:val="Heading1"/>
        <w:pBdr>
          <w:bottom w:val="single" w:color="1F4E79" w:sz="8" w:space="6"/>
        </w:pBdr>
        <w:spacing w:after="180" w:before="360"/>
      </w:pPr>
      <w:r>
        <w:rPr>
          <w:rFonts w:ascii="Calibri" w:cs="Calibri" w:eastAsia="Calibri" w:hAnsi="Calibri"/>
          <w:b/>
          <w:bCs/>
          <w:color w:val="1F4E79"/>
          <w:sz w:val="30"/>
          <w:szCs w:val="30"/>
        </w:rPr>
        <w:t xml:space="preserve">10. Ocena stranke in izbira nadaljnjega stika</w:t>
      </w:r>
    </w:p>
    <w:p>
      <w:pPr>
        <w:pStyle w:val="Heading2"/>
        <w:spacing w:after="140" w:before="300"/>
      </w:pPr>
      <w:r>
        <w:rPr>
          <w:rFonts w:ascii="Calibri" w:cs="Calibri" w:eastAsia="Calibri" w:hAnsi="Calibri"/>
          <w:b/>
          <w:bCs/>
          <w:color w:val="1F4E79"/>
          <w:sz w:val="25"/>
          <w:szCs w:val="25"/>
        </w:rPr>
        <w:t xml:space="preserve">10.1 Ocena ustreznosti (A / B / C)</w:t>
      </w:r>
    </w:p>
    <w:p>
      <w:pPr>
        <w:spacing w:after="120" w:before="0" w:line="264"/>
      </w:pPr>
      <w:r>
        <w:rPr>
          <w:rFonts w:ascii="Calibri" w:cs="Calibri" w:eastAsia="Calibri" w:hAnsi="Calibri"/>
          <w:color w:val="1A1A1A"/>
          <w:sz w:val="21"/>
          <w:szCs w:val="21"/>
        </w:rPr>
        <w:t xml:space="preserve">Aplikacija vsako stranko oceni s točkami od 0 do 100. Sedem dimenzij, vsaka s svojo utežjo:</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2300"/>
        <w:gridCol w:w="900"/>
        <w:gridCol w:w="6400"/>
      </w:tblGrid>
      <w:tr>
        <w:trPr>
          <w:tblHeader/>
        </w:trPr>
        <w:tc>
          <w:tcPr>
            <w:tcW w:type="dxa" w:w="23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Dimenzija</w:t>
            </w:r>
          </w:p>
        </w:tc>
        <w:tc>
          <w:tcPr>
            <w:tcW w:type="dxa" w:w="9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Utež</w:t>
            </w:r>
          </w:p>
        </w:tc>
        <w:tc>
          <w:tcPr>
            <w:tcW w:type="dxa" w:w="64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Kako se oceni</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Velikost podjetja</w:t>
            </w:r>
          </w:p>
        </w:tc>
        <w:tc>
          <w:tcPr>
            <w:tcW w:type="dxa" w:w="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20 %</w:t>
            </w:r>
          </w:p>
        </w:tc>
        <w:tc>
          <w:tcPr>
            <w:tcW w:type="dxa" w:w="6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10–249 zaposlenih je najbolje (polna ocena). Do 9 zaposlenih 35 %, nad 249 zaposlenih 60 %.</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Priložnost</w:t>
            </w:r>
          </w:p>
        </w:tc>
        <w:tc>
          <w:tcPr>
            <w:tcW w:type="dxa" w:w="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20 %</w:t>
            </w:r>
          </w:p>
        </w:tc>
        <w:tc>
          <w:tcPr>
            <w:tcW w:type="dxa" w:w="6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Koliko prostora za izboljšavo aplikacija vidi pri tej stranki.</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Bolečina</w:t>
            </w:r>
          </w:p>
        </w:tc>
        <w:tc>
          <w:tcPr>
            <w:tcW w:type="dxa" w:w="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20 %</w:t>
            </w:r>
          </w:p>
        </w:tc>
        <w:tc>
          <w:tcPr>
            <w:tcW w:type="dxa" w:w="6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Izmerjena izguba glede na panožni prag visoke izgube (poglavje 4).</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Vloga sogovornika</w:t>
            </w:r>
          </w:p>
        </w:tc>
        <w:tc>
          <w:tcPr>
            <w:tcW w:type="dxa" w:w="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15 %</w:t>
            </w:r>
          </w:p>
        </w:tc>
        <w:tc>
          <w:tcPr>
            <w:tcW w:type="dxa" w:w="6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Direktor ali lastnik 100 % · finance 80 % · vodja 60 % · ostalo 35 %.</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Nujnost</w:t>
            </w:r>
          </w:p>
        </w:tc>
        <w:tc>
          <w:tcPr>
            <w:tcW w:type="dxa" w:w="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10 %</w:t>
            </w:r>
          </w:p>
        </w:tc>
        <w:tc>
          <w:tcPr>
            <w:tcW w:type="dxa" w:w="6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Rok že potekel 100 % · rok v enem letu 80 % · rok dlje kot leto 50 % · brez rokov 20 %.</w:t>
            </w:r>
          </w:p>
        </w:tc>
      </w:tr>
      <w:tr>
        <w:trPr>
          <w:cantSplit/>
        </w:trPr>
        <w:tc>
          <w:tcPr>
            <w:tcW w:type="dxa" w:w="2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Angažiranost</w:t>
            </w:r>
          </w:p>
        </w:tc>
        <w:tc>
          <w:tcPr>
            <w:tcW w:type="dxa" w:w="9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10 %</w:t>
            </w:r>
          </w:p>
        </w:tc>
        <w:tc>
          <w:tcPr>
            <w:tcW w:type="dxa" w:w="6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Kako popolno je stranka izpolnila vprašalnik in koliko področij je izbrala.</w:t>
            </w:r>
          </w:p>
        </w:tc>
      </w:tr>
      <w:tr>
        <w:trPr>
          <w:cantSplit/>
        </w:trPr>
        <w:tc>
          <w:tcPr>
            <w:tcW w:type="dxa" w:w="2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Dosegljivost</w:t>
            </w:r>
          </w:p>
        </w:tc>
        <w:tc>
          <w:tcPr>
            <w:tcW w:type="dxa" w:w="9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jc w:val="center"/>
            </w:pPr>
            <w:r>
              <w:rPr>
                <w:rFonts w:ascii="Calibri" w:cs="Calibri" w:eastAsia="Calibri" w:hAnsi="Calibri"/>
                <w:color w:val="1A1A1A"/>
                <w:sz w:val="19"/>
                <w:szCs w:val="19"/>
              </w:rPr>
              <w:t xml:space="preserve">5 %</w:t>
            </w:r>
          </w:p>
        </w:tc>
        <w:tc>
          <w:tcPr>
            <w:tcW w:type="dxa" w:w="6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Ali imamo telefon, davčno številko in privolitev za stik.</w:t>
            </w:r>
          </w:p>
        </w:tc>
      </w:tr>
    </w:tbl>
    <w:p>
      <w:pPr>
        <w:spacing w:after="140"/>
      </w:pPr>
    </w:p>
    <w:p>
      <w:pPr>
        <w:spacing w:after="140" w:before="0" w:line="264"/>
      </w:pPr>
      <w:r>
        <w:rPr>
          <w:rFonts w:ascii="Calibri" w:cs="Calibri" w:eastAsia="Calibri" w:hAnsi="Calibri"/>
          <w:b/>
          <w:bCs/>
          <w:color w:val="1A1A1A"/>
          <w:sz w:val="21"/>
          <w:szCs w:val="21"/>
        </w:rPr>
        <w:t xml:space="preserve">Razvrstitev: </w:t>
      </w:r>
      <w:r>
        <w:rPr>
          <w:rFonts w:ascii="Calibri" w:cs="Calibri" w:eastAsia="Calibri" w:hAnsi="Calibri"/>
          <w:color w:val="1A1A1A"/>
          <w:sz w:val="21"/>
          <w:szCs w:val="21"/>
        </w:rPr>
        <w:t xml:space="preserve">70 točk ali več → A  ·  45 do 69 → B  ·  manj kot 45 → C</w:t>
      </w:r>
    </w:p>
    <w:p>
      <w:pPr>
        <w:pStyle w:val="Heading2"/>
        <w:spacing w:after="140" w:before="300"/>
      </w:pPr>
      <w:r>
        <w:rPr>
          <w:rFonts w:ascii="Calibri" w:cs="Calibri" w:eastAsia="Calibri" w:hAnsi="Calibri"/>
          <w:b/>
          <w:bCs/>
          <w:color w:val="1F4E79"/>
          <w:sz w:val="25"/>
          <w:szCs w:val="25"/>
        </w:rPr>
        <w:t xml:space="preserve">10.2 Katero nadaljnjo sekvenco stranka dobi</w:t>
      </w:r>
    </w:p>
    <w:p>
      <w:pPr>
        <w:spacing w:after="120" w:before="0" w:line="264"/>
      </w:pPr>
      <w:r>
        <w:rPr>
          <w:rFonts w:ascii="Calibri" w:cs="Calibri" w:eastAsia="Calibri" w:hAnsi="Calibri"/>
          <w:color w:val="1A1A1A"/>
          <w:sz w:val="21"/>
          <w:szCs w:val="21"/>
        </w:rPr>
        <w:t xml:space="preserve">Za to odločitev šteje samo denarna izguba (€ + M). Sproščeni čas in kapital sta namenoma izpuščena — sproščene ure niso denar na računu in ne opravičujejo najbolj vsiljive sekvence.</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5600"/>
        <w:gridCol w:w="4000"/>
      </w:tblGrid>
      <w:tr>
        <w:trPr>
          <w:tblHeader/>
        </w:trPr>
        <w:tc>
          <w:tcPr>
            <w:tcW w:type="dxa" w:w="56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Pogoj</w:t>
            </w:r>
          </w:p>
        </w:tc>
        <w:tc>
          <w:tcPr>
            <w:tcW w:type="dxa" w:w="40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Sekvenca</w:t>
            </w:r>
          </w:p>
        </w:tc>
      </w:tr>
      <w:tr>
        <w:trPr>
          <w:cantSplit/>
        </w:trPr>
        <w:tc>
          <w:tcPr>
            <w:tcW w:type="dxa" w:w="5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Stranka je računovodski servis</w:t>
            </w:r>
          </w:p>
        </w:tc>
        <w:tc>
          <w:tcPr>
            <w:tcW w:type="dxa" w:w="4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Posebna sekvenca za servise</w:t>
            </w:r>
          </w:p>
        </w:tc>
      </w:tr>
      <w:tr>
        <w:trPr>
          <w:cantSplit/>
        </w:trPr>
        <w:tc>
          <w:tcPr>
            <w:tcW w:type="dxa" w:w="5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Izguba nad panožnim pragom IN ima tvegan rok</w:t>
            </w:r>
          </w:p>
        </w:tc>
        <w:tc>
          <w:tcPr>
            <w:tcW w:type="dxa" w:w="4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Visoka izguba s tveganjem — najbolj neposreden pristop</w:t>
            </w:r>
          </w:p>
        </w:tc>
      </w:tr>
      <w:tr>
        <w:trPr>
          <w:cantSplit/>
        </w:trPr>
        <w:tc>
          <w:tcPr>
            <w:tcW w:type="dxa" w:w="56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Izguba nad panožnim pragom, brez tveganih rokov</w:t>
            </w:r>
          </w:p>
        </w:tc>
        <w:tc>
          <w:tcPr>
            <w:tcW w:type="dxa" w:w="40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Visoka izguba brez tveganja</w:t>
            </w:r>
          </w:p>
        </w:tc>
      </w:tr>
      <w:tr>
        <w:trPr>
          <w:cantSplit/>
        </w:trPr>
        <w:tc>
          <w:tcPr>
            <w:tcW w:type="dxa" w:w="56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Vse ostalo</w:t>
            </w:r>
          </w:p>
        </w:tc>
        <w:tc>
          <w:tcPr>
            <w:tcW w:type="dxa" w:w="40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Novičnik / negovanje</w:t>
            </w:r>
          </w:p>
        </w:tc>
      </w:tr>
    </w:tbl>
    <w:p>
      <w:pPr>
        <w:pStyle w:val="Heading2"/>
        <w:spacing w:after="140" w:before="300"/>
      </w:pPr>
      <w:r>
        <w:rPr>
          <w:rFonts w:ascii="Calibri" w:cs="Calibri" w:eastAsia="Calibri" w:hAnsi="Calibri"/>
          <w:b/>
          <w:bCs/>
          <w:color w:val="1F4E79"/>
          <w:sz w:val="25"/>
          <w:szCs w:val="25"/>
        </w:rPr>
        <w:t xml:space="preserve">10.3 Predvideni ugovori</w:t>
      </w:r>
    </w:p>
    <w:p>
      <w:pPr>
        <w:spacing w:after="120" w:before="0" w:line="264"/>
      </w:pPr>
      <w:r>
        <w:rPr>
          <w:rFonts w:ascii="Calibri" w:cs="Calibri" w:eastAsia="Calibri" w:hAnsi="Calibri"/>
          <w:color w:val="1A1A1A"/>
          <w:sz w:val="21"/>
          <w:szCs w:val="21"/>
        </w:rPr>
        <w:t xml:space="preserve">Aplikacija za vsako stranko vnaprej pripravi ugovore, ki jih bo verjetno slišala. Kaj jih sproži:</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4200"/>
        <w:gridCol w:w="5400"/>
      </w:tblGrid>
      <w:tr>
        <w:trPr>
          <w:tblHeader/>
        </w:trPr>
        <w:tc>
          <w:tcPr>
            <w:tcW w:type="dxa" w:w="42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Ugovor</w:t>
            </w:r>
          </w:p>
        </w:tc>
        <w:tc>
          <w:tcPr>
            <w:tcW w:type="dxa" w:w="54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Kdaj se pojavi</w:t>
            </w:r>
          </w:p>
        </w:tc>
      </w:tr>
      <w:tr>
        <w:trPr>
          <w:cantSplit/>
        </w:trPr>
        <w:tc>
          <w:tcPr>
            <w:tcW w:type="dxa" w:w="42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»Številka je napihnjena«</w:t>
            </w:r>
          </w:p>
        </w:tc>
        <w:tc>
          <w:tcPr>
            <w:tcW w:type="dxa" w:w="5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Zanesljivost izračuna je nizka.</w:t>
            </w:r>
          </w:p>
        </w:tc>
      </w:tr>
      <w:tr>
        <w:trPr>
          <w:cantSplit/>
        </w:trPr>
        <w:tc>
          <w:tcPr>
            <w:tcW w:type="dxa" w:w="42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»Nimamo podatkov«</w:t>
            </w:r>
          </w:p>
        </w:tc>
        <w:tc>
          <w:tcPr>
            <w:tcW w:type="dxa" w:w="5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Vsaj tri polja so ostala neodgovorjena.</w:t>
            </w:r>
          </w:p>
        </w:tc>
      </w:tr>
      <w:tr>
        <w:trPr>
          <w:cantSplit/>
        </w:trPr>
        <w:tc>
          <w:tcPr>
            <w:tcW w:type="dxa" w:w="42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»Vzrok je zunanji, ne pri nas«</w:t>
            </w:r>
          </w:p>
        </w:tc>
        <w:tc>
          <w:tcPr>
            <w:tcW w:type="dxa" w:w="5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Stranka je vsaj pri enem področju izbrala zunanji vzrok.</w:t>
            </w:r>
          </w:p>
        </w:tc>
      </w:tr>
      <w:tr>
        <w:trPr>
          <w:cantSplit/>
        </w:trPr>
        <w:tc>
          <w:tcPr>
            <w:tcW w:type="dxa" w:w="42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»Že imamo PANTHEON«</w:t>
            </w:r>
          </w:p>
        </w:tc>
        <w:tc>
          <w:tcPr>
            <w:tcW w:type="dxa" w:w="5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Stranka je navedla PANTHEON kot obstoječi sistem.</w:t>
            </w:r>
          </w:p>
        </w:tc>
      </w:tr>
      <w:tr>
        <w:trPr>
          <w:cantSplit/>
        </w:trPr>
        <w:tc>
          <w:tcPr>
            <w:tcW w:type="dxa" w:w="42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»Nekaterih področij sploh nismo merili«</w:t>
            </w:r>
          </w:p>
        </w:tc>
        <w:tc>
          <w:tcPr>
            <w:tcW w:type="dxa" w:w="5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Obstaja neizmerjeno področje, ki je pri tej stranki videti pereče.</w:t>
            </w:r>
          </w:p>
        </w:tc>
      </w:tr>
      <w:tr>
        <w:trPr>
          <w:cantSplit/>
        </w:trPr>
        <w:tc>
          <w:tcPr>
            <w:tcW w:type="dxa" w:w="42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»Nimamo časa za uvedbo«</w:t>
            </w:r>
          </w:p>
        </w:tc>
        <w:tc>
          <w:tcPr>
            <w:tcW w:type="dxa" w:w="5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Izmerjena je bila izguba in prostor za izboljšavo je velik.</w:t>
            </w:r>
          </w:p>
        </w:tc>
      </w:tr>
      <w:tr>
        <w:trPr>
          <w:cantSplit/>
        </w:trPr>
        <w:tc>
          <w:tcPr>
            <w:tcW w:type="dxa" w:w="42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»Nisem jaz odločevalec«</w:t>
            </w:r>
          </w:p>
        </w:tc>
        <w:tc>
          <w:tcPr>
            <w:tcW w:type="dxa" w:w="54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Sogovornik ni direktor ali lastnik.</w:t>
            </w:r>
          </w:p>
        </w:tc>
      </w:tr>
      <w:tr>
        <w:trPr>
          <w:cantSplit/>
        </w:trPr>
        <w:tc>
          <w:tcPr>
            <w:tcW w:type="dxa" w:w="42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»Smo že poskusili, ni delovalo«</w:t>
            </w:r>
          </w:p>
        </w:tc>
        <w:tc>
          <w:tcPr>
            <w:tcW w:type="dxa" w:w="54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Prostor za izboljšavo je pri tej stranki majhen.</w:t>
            </w:r>
          </w:p>
        </w:tc>
      </w:tr>
    </w:tbl>
    <w:p>
      <w:pPr>
        <w:spacing w:after="140"/>
      </w:pPr>
    </w:p>
    <w:p>
      <w:pPr>
        <w:spacing w:after="120" w:before="0" w:line="264"/>
      </w:pPr>
      <w:r>
        <w:rPr>
          <w:rFonts w:ascii="Calibri" w:cs="Calibri" w:eastAsia="Calibri" w:hAnsi="Calibri"/>
          <w:color w:val="1A1A1A"/>
          <w:sz w:val="21"/>
          <w:szCs w:val="21"/>
        </w:rPr>
        <w:t xml:space="preserve">Poleg tega aplikacija predlaga do šest iztočnic za pogovor — vprašanja o področjih, ki jih stranka ni merila, čeprav so pri njej videti pomembna.</w:t>
      </w:r>
    </w:p>
    <w:p>
      <w:pPr>
        <w:pStyle w:val="Heading1"/>
        <w:pBdr>
          <w:bottom w:val="single" w:color="1F4E79" w:sz="8" w:space="6"/>
        </w:pBdr>
        <w:spacing w:after="180" w:before="360"/>
      </w:pPr>
      <w:r>
        <w:rPr>
          <w:rFonts w:ascii="Calibri" w:cs="Calibri" w:eastAsia="Calibri" w:hAnsi="Calibri"/>
          <w:b/>
          <w:bCs/>
          <w:color w:val="1F4E79"/>
          <w:sz w:val="30"/>
          <w:szCs w:val="30"/>
        </w:rPr>
        <w:t xml:space="preserve">11. Česa izračun namenoma ne počne</w:t>
      </w:r>
    </w:p>
    <w:p>
      <w:pPr>
        <w:spacing w:after="120" w:before="0" w:line="264"/>
      </w:pPr>
      <w:r>
        <w:rPr>
          <w:rFonts w:ascii="Calibri" w:cs="Calibri" w:eastAsia="Calibri" w:hAnsi="Calibri"/>
          <w:color w:val="1A1A1A"/>
          <w:sz w:val="21"/>
          <w:szCs w:val="21"/>
        </w:rPr>
        <w:t xml:space="preserve">To poglavje je najbolj uporabno, kadar stranka ali njen finančnik izračun napade. Vsaka izpustitev je namerna in gre v korist stranke.</w:t>
      </w:r>
    </w:p>
    <w:p>
      <w:pPr>
        <w:spacing w:after="60"/>
      </w:pPr>
    </w:p>
    <w:tbl>
      <w:tblPr>
        <w:tblW w:type="dxa" w:w="9600"/>
        <w:tblBorders>
          <w:top w:val="single" w:color="B7C6D9" w:sz="4"/>
          <w:left w:val="single" w:color="B7C6D9" w:sz="4"/>
          <w:bottom w:val="single" w:color="B7C6D9" w:sz="4"/>
          <w:right w:val="single" w:color="B7C6D9" w:sz="4"/>
          <w:insideH w:val="single" w:color="B7C6D9" w:sz="4"/>
          <w:insideV w:val="single" w:color="B7C6D9" w:sz="4"/>
        </w:tblBorders>
      </w:tblPr>
      <w:tblGrid>
        <w:gridCol w:w="3300"/>
        <w:gridCol w:w="6300"/>
      </w:tblGrid>
      <w:tr>
        <w:trPr>
          <w:tblHeader/>
        </w:trPr>
        <w:tc>
          <w:tcPr>
            <w:tcW w:type="dxa" w:w="33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Česa ne počnemo</w:t>
            </w:r>
          </w:p>
        </w:tc>
        <w:tc>
          <w:tcPr>
            <w:tcW w:type="dxa" w:w="6300"/>
            <w:tcBorders>
              <w:top w:val="single" w:color="B7C6D9" w:sz="4"/>
              <w:left w:val="single" w:color="B7C6D9" w:sz="4"/>
              <w:bottom w:val="single" w:color="B7C6D9" w:sz="4"/>
              <w:right w:val="single" w:color="B7C6D9" w:sz="4"/>
            </w:tcBorders>
            <w:shd w:fill="1F4E79" w:color="auto" w:val="clear"/>
            <w:tcMar>
              <w:top w:type="dxa" w:w="70"/>
              <w:left w:type="dxa" w:w="110"/>
              <w:bottom w:type="dxa" w:w="70"/>
              <w:right w:type="dxa" w:w="110"/>
            </w:tcMar>
            <w:vAlign w:val="center"/>
          </w:tcPr>
          <w:p>
            <w:pPr>
              <w:spacing w:after="0" w:before="0" w:line="240"/>
            </w:pPr>
            <w:r>
              <w:rPr>
                <w:rFonts w:ascii="Calibri" w:cs="Calibri" w:eastAsia="Calibri" w:hAnsi="Calibri"/>
                <w:b/>
                <w:bCs/>
                <w:color w:val="FFFFFF"/>
                <w:sz w:val="19"/>
                <w:szCs w:val="19"/>
              </w:rPr>
              <w:t xml:space="preserve">Zakaj</w:t>
            </w:r>
          </w:p>
        </w:tc>
      </w:tr>
      <w:tr>
        <w:trPr>
          <w:cantSplit/>
        </w:trPr>
        <w:tc>
          <w:tcPr>
            <w:tcW w:type="dxa" w:w="3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 diskontiramo, ne računamo NPV ali IRR</w:t>
            </w:r>
          </w:p>
        </w:tc>
        <w:tc>
          <w:tcPr>
            <w:tcW w:type="dxa" w:w="6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Trileten pogled je preprosto letni znesek × 3 — brez predpostavk o rasti, inflaciji in diskontni stopnji. Izpustitev je konservativna: stroški dela s časom rastejo, mi tega ne štejemo.</w:t>
            </w:r>
          </w:p>
        </w:tc>
      </w:tr>
      <w:tr>
        <w:trPr>
          <w:cantSplit/>
        </w:trPr>
        <w:tc>
          <w:tcPr>
            <w:tcW w:type="dxa" w:w="3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 obljubljamo prihranka pri plačah</w:t>
            </w:r>
          </w:p>
        </w:tc>
        <w:tc>
          <w:tcPr>
            <w:tcW w:type="dxa" w:w="6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Sproščeni čas ni odpuščanje. Zaposleni ostane, njegov čas se preusmeri.</w:t>
            </w:r>
          </w:p>
        </w:tc>
      </w:tr>
      <w:tr>
        <w:trPr>
          <w:cantSplit/>
        </w:trPr>
        <w:tc>
          <w:tcPr>
            <w:tcW w:type="dxa" w:w="3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Enkratnega kapitala ne seštevamo z letnimi zneski</w:t>
            </w:r>
          </w:p>
        </w:tc>
        <w:tc>
          <w:tcPr>
            <w:tcW w:type="dxa" w:w="6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Sprosti se enkrat. Sešteti ga z letno izgubo bi pomenilo trditi, da se sprosti vsako leto znova.</w:t>
            </w:r>
          </w:p>
        </w:tc>
      </w:tr>
      <w:tr>
        <w:trPr>
          <w:cantSplit/>
        </w:trPr>
        <w:tc>
          <w:tcPr>
            <w:tcW w:type="dxa" w:w="3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 štejemo celotnega plačilnega roka</w:t>
            </w:r>
          </w:p>
        </w:tc>
        <w:tc>
          <w:tcPr>
            <w:tcW w:type="dxa" w:w="6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Šteje samo prekoračitev nad dogovorjenim rokom. Celoten rok bi finančnik zavrnil kot manipulacijo.</w:t>
            </w:r>
          </w:p>
        </w:tc>
      </w:tr>
      <w:tr>
        <w:trPr>
          <w:cantSplit/>
        </w:trPr>
        <w:tc>
          <w:tcPr>
            <w:tcW w:type="dxa" w:w="3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 prikazujemo cen PANTHEON</w:t>
            </w:r>
          </w:p>
        </w:tc>
        <w:tc>
          <w:tcPr>
            <w:tcW w:type="dxa" w:w="6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V aplikaciji ni nobene naše cene. Stopnje v tabeli povračila so nevtralne primerjave.</w:t>
            </w:r>
          </w:p>
        </w:tc>
      </w:tr>
      <w:tr>
        <w:trPr>
          <w:cantSplit/>
        </w:trPr>
        <w:tc>
          <w:tcPr>
            <w:tcW w:type="dxa" w:w="3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 izmišljamo si prihodka</w:t>
            </w:r>
          </w:p>
        </w:tc>
        <w:tc>
          <w:tcPr>
            <w:tcW w:type="dxa" w:w="6300"/>
            <w:tcBorders>
              <w:top w:val="single" w:color="B7C6D9" w:sz="4"/>
              <w:left w:val="single" w:color="B7C6D9" w:sz="4"/>
              <w:bottom w:val="single" w:color="B7C6D9" w:sz="4"/>
              <w:right w:val="single" w:color="B7C6D9" w:sz="4"/>
            </w:tcBorders>
            <w:shd w:fill="F2F5F8" w:color="auto" w:val="clear"/>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Če stranka prihodka ne pove, je 0 — ne ugibamo. Vsak drug privzetek bi ustvaril znesek, ki ga ni vnesel nihče.</w:t>
            </w:r>
          </w:p>
        </w:tc>
      </w:tr>
      <w:tr>
        <w:trPr>
          <w:cantSplit/>
        </w:trPr>
        <w:tc>
          <w:tcPr>
            <w:tcW w:type="dxa" w:w="3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Ne štejemo ponovnega komisioniranja</w:t>
            </w:r>
          </w:p>
        </w:tc>
        <w:tc>
          <w:tcPr>
            <w:tcW w:type="dxa" w:w="6300"/>
            <w:tcBorders>
              <w:top w:val="single" w:color="B7C6D9" w:sz="4"/>
              <w:left w:val="single" w:color="B7C6D9" w:sz="4"/>
              <w:bottom w:val="single" w:color="B7C6D9" w:sz="4"/>
              <w:right w:val="single" w:color="B7C6D9" w:sz="4"/>
            </w:tcBorders>
            <w:tcMar>
              <w:top w:type="dxa" w:w="70"/>
              <w:left w:type="dxa" w:w="110"/>
              <w:bottom w:type="dxa" w:w="70"/>
              <w:right w:type="dxa" w:w="110"/>
            </w:tcMar>
            <w:vAlign w:val="center"/>
          </w:tcPr>
          <w:p>
            <w:pPr>
              <w:spacing w:after="0" w:before="0" w:line="240"/>
            </w:pPr>
            <w:r>
              <w:rPr>
                <w:rFonts w:ascii="Calibri" w:cs="Calibri" w:eastAsia="Calibri" w:hAnsi="Calibri"/>
                <w:color w:val="1A1A1A"/>
                <w:sz w:val="19"/>
                <w:szCs w:val="19"/>
              </w:rPr>
              <w:t xml:space="preserve">Namenoma nikjer. Raje podštejemo, kot da bi isto uro prešteli dvakrat.</w:t>
            </w:r>
          </w:p>
        </w:tc>
      </w:tr>
    </w:tbl>
    <w:p>
      <w:pPr>
        <w:spacing w:after="160"/>
      </w:pPr>
    </w:p>
    <w:tbl>
      <w:tblPr>
        <w:tblW w:type="dxa" w:w="9600"/>
        <w:tblBorders>
          <w:top w:val="none" w:color="FFFFFF" w:sz="0"/>
          <w:left w:val="single" w:color="1F4E79" w:sz="18"/>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single" w:color="1F4E79" w:sz="18"/>
              <w:bottom w:val="none" w:color="FFFFFF" w:sz="0"/>
              <w:right w:val="none" w:color="FFFFFF" w:sz="0"/>
            </w:tcBorders>
            <w:shd w:fill="F2F5F8" w:color="auto" w:val="clear"/>
            <w:tcMar>
              <w:top w:type="dxa" w:w="130"/>
              <w:left w:type="dxa" w:w="160"/>
              <w:bottom w:type="dxa" w:w="130"/>
              <w:right w:type="dxa" w:w="160"/>
            </w:tcMar>
          </w:tcPr>
          <w:p>
            <w:pPr>
              <w:spacing w:after="60" w:line="264"/>
            </w:pPr>
            <w:r>
              <w:rPr>
                <w:rFonts w:ascii="Calibri" w:cs="Calibri" w:eastAsia="Calibri" w:hAnsi="Calibri"/>
                <w:b/>
                <w:bCs/>
                <w:color w:val="1F4E79"/>
                <w:sz w:val="20"/>
                <w:szCs w:val="20"/>
              </w:rPr>
              <w:t xml:space="preserve">Kratek povzetek za pogovor s finančnikom</w:t>
            </w:r>
          </w:p>
          <w:p>
            <w:pPr>
              <w:spacing w:after="0" w:line="264"/>
            </w:pPr>
            <w:r>
              <w:rPr>
                <w:rFonts w:ascii="Calibri" w:cs="Calibri" w:eastAsia="Calibri" w:hAnsi="Calibri"/>
                <w:color w:val="1A1A1A"/>
                <w:sz w:val="20"/>
                <w:szCs w:val="20"/>
              </w:rPr>
              <w:t xml:space="preserve">Zaščite pred dvojnim štetjem so vgrajene na osmih mestih: enkratni kapital je zunaj letne vsote; kapital nima naslovljivega deleža; strošek financiranja presežne zaloge ravno tako ne; nadomestni nakupi se odštejejo samo enkrat; ocena prostora za izboljšavo zneska ne zmanjšuje še enkrat; ista ura ima v vsaki panogi svoje ločeno polje; skupna področja so izpuščena tam, kjer bi se prekrivala z lastnimi; kontekstna vprašanja v formule sploh ne vstopajo. Vsaka od teh odločitev znesek zniža, nobena ga ne zviša.</w:t>
            </w:r>
          </w:p>
        </w:tc>
      </w:tr>
    </w:tbl>
    <w:sectPr>
      <w:footerReference w:type="default" r:id="rId7"/>
      <w:pgSz w:w="11905" w:h="16837"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8A8A8A"/>
        <w:sz w:val="16"/>
        <w:szCs w:val="16"/>
      </w:rPr>
      <w:t xml:space="preserve">Kaj aplikacija izračuna · pregled formul po področjih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Kaj aplikacija izračuna — pregled formul po področjih</dc:title>
  <dc:creator>Datalab</dc:creator>
  <dc:description>Poenostavljen pregled vseh formul za prodajno ekipo</dc:description>
  <cp:lastModifiedBy>Un-named</cp:lastModifiedBy>
  <cp:revision>1</cp:revision>
  <dcterms:created xsi:type="dcterms:W3CDTF">2026-08-26T09:03:29.640Z</dcterms:created>
  <dcterms:modified xsi:type="dcterms:W3CDTF">2026-08-26T09:03:29.640Z</dcterms:modified>
</cp:coreProperties>
</file>

<file path=docProps/custom.xml><?xml version="1.0" encoding="utf-8"?>
<Properties xmlns="http://schemas.openxmlformats.org/officeDocument/2006/custom-properties" xmlns:vt="http://schemas.openxmlformats.org/officeDocument/2006/docPropsVTypes"/>
</file>