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rFonts w:ascii="Calibri" w:cs="Calibri" w:eastAsia="Calibri" w:hAnsi="Calibri"/>
          <w:b/>
          <w:bCs/>
          <w:color w:val="8A600D"/>
          <w:spacing w:val="40"/>
          <w:sz w:val="20"/>
          <w:szCs w:val="20"/>
        </w:rPr>
        <w:t xml:space="preserve">DATALAB · ROI KALKULATOR</w:t>
      </w:r>
    </w:p>
    <w:p>
      <w:pPr>
        <w:pBdr>
          <w:bottom w:val="single" w:color="FAAF17" w:sz="18" w:space="6"/>
        </w:pBdr>
        <w:spacing w:after="160"/>
      </w:pPr>
    </w:p>
    <w:p>
      <w:pPr>
        <w:spacing w:after="160"/>
      </w:pPr>
      <w:r>
        <w:rPr>
          <w:rFonts w:ascii="Calibri" w:cs="Calibri" w:eastAsia="Calibri" w:hAnsi="Calibri"/>
          <w:b/>
          <w:bCs/>
          <w:color w:val="231F20"/>
          <w:sz w:val="52"/>
          <w:szCs w:val="52"/>
        </w:rPr>
        <w:t xml:space="preserve">Analiza poročila, ki ga prejme stranka</w:t>
      </w:r>
    </w:p>
    <w:p>
      <w:pPr>
        <w:spacing w:after="400"/>
      </w:pPr>
      <w:r>
        <w:rPr>
          <w:rFonts w:ascii="Calibri" w:cs="Calibri" w:eastAsia="Calibri" w:hAnsi="Calibri"/>
          <w:color w:val="5B6773"/>
          <w:sz w:val="26"/>
          <w:szCs w:val="26"/>
        </w:rPr>
        <w:t xml:space="preserve">Kaj piše v PDF-ju »Analiza skritih stroškov« in kako nastane vsaka številka na njem</w:t>
      </w: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line="260"/>
            </w:pPr>
            <w:r>
              <w:rPr>
                <w:rFonts w:ascii="Calibri" w:cs="Calibri" w:eastAsia="Calibri" w:hAnsi="Calibri"/>
                <w:b/>
                <w:bCs/>
                <w:color w:val="444444"/>
                <w:sz w:val="20"/>
                <w:szCs w:val="20"/>
              </w:rPr>
              <w:t xml:space="preserve">Namen: </w:t>
            </w:r>
            <w:r>
              <w:rPr>
                <w:rFonts w:ascii="Calibri" w:cs="Calibri" w:eastAsia="Calibri" w:hAnsi="Calibri"/>
                <w:color w:val="444444"/>
                <w:sz w:val="20"/>
                <w:szCs w:val="20"/>
              </w:rPr>
              <w:t xml:space="preserve">razložiti vsak glavni izračun na dokumentu, ki ga stranka dobi po oddaji e-naslova — v jeziku, v katerem je te številke mogoče braniti pred direktorjem ali finančnikom.</w:t>
            </w:r>
          </w:p>
          <w:p>
            <w:pPr>
              <w:spacing w:after="60" w:line="260"/>
            </w:pPr>
            <w:r>
              <w:rPr>
                <w:rFonts w:ascii="Calibri" w:cs="Calibri" w:eastAsia="Calibri" w:hAnsi="Calibri"/>
                <w:b/>
                <w:bCs/>
                <w:color w:val="444444"/>
                <w:sz w:val="20"/>
                <w:szCs w:val="20"/>
              </w:rPr>
              <w:t xml:space="preserve">Za koga: </w:t>
            </w:r>
            <w:r>
              <w:rPr>
                <w:rFonts w:ascii="Calibri" w:cs="Calibri" w:eastAsia="Calibri" w:hAnsi="Calibri"/>
                <w:color w:val="444444"/>
                <w:sz w:val="20"/>
                <w:szCs w:val="20"/>
              </w:rPr>
              <w:t xml:space="preserve">vodstvo in prodaja. Brez sklicev na kodo; vsaka razlaga ima svojo številko iz delovnega primera.</w:t>
            </w:r>
          </w:p>
          <w:p>
            <w:pPr>
              <w:spacing w:after="60" w:line="260"/>
            </w:pPr>
            <w:r>
              <w:rPr>
                <w:rFonts w:ascii="Calibri" w:cs="Calibri" w:eastAsia="Calibri" w:hAnsi="Calibri"/>
                <w:b/>
                <w:bCs/>
                <w:color w:val="444444"/>
                <w:sz w:val="20"/>
                <w:szCs w:val="20"/>
              </w:rPr>
              <w:t xml:space="preserve">Priloga: </w:t>
            </w:r>
            <w:r>
              <w:rPr>
                <w:rFonts w:ascii="Calibri" w:cs="Calibri" w:eastAsia="Calibri" w:hAnsi="Calibri"/>
                <w:color w:val="444444"/>
                <w:sz w:val="20"/>
                <w:szCs w:val="20"/>
              </w:rPr>
              <w:t xml:space="preserve">v isti mapi je vzorčno poročilo demo-datalab-analiza-skritih-stroskov-vzorcno-podjetje-2026-08-26.pdf — ustvarila ga je aplikacija sama, z istimi vhodi kot delovni primer v 4. poglavju.</w:t>
            </w:r>
          </w:p>
        </w:tc>
      </w:tr>
    </w:tbl>
    <w:p>
      <w:pPr>
        <w:spacing w:after="300"/>
      </w:pP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2400"/>
        <w:gridCol w:w="6960"/>
      </w:tblGrid>
      <w:tr>
        <w:trPr>
          <w:tblHeader/>
        </w:trPr>
        <w:tc>
          <w:tcPr>
            <w:tcW w:type="dxa" w:w="2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Podatek</w:t>
            </w:r>
          </w:p>
        </w:tc>
        <w:tc>
          <w:tcPr>
            <w:tcW w:type="dxa" w:w="69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Vrednost</w:t>
            </w:r>
          </w:p>
        </w:tc>
      </w:tr>
      <w:tr>
        <w:tc>
          <w:tcPr>
            <w:tcW w:type="dxa" w:w="2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Predmet analize</w:t>
            </w:r>
          </w:p>
        </w:tc>
        <w:tc>
          <w:tcPr>
            <w:tcW w:type="dxa" w:w="6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Strankino poročilo (PDF) iz kalkulatorja »Koliko vas stane sedanji način dela?«</w:t>
            </w:r>
          </w:p>
        </w:tc>
      </w:tr>
      <w:tr>
        <w:tc>
          <w:tcPr>
            <w:tcW w:type="dxa" w:w="2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Stanje aplikacije</w:t>
            </w:r>
          </w:p>
        </w:tc>
        <w:tc>
          <w:tcPr>
            <w:tcW w:type="dxa" w:w="6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veja main, zadnji objavljeni commit 88bca93 (25. 8. 2026), z odprtimi spremembami v delovnem drevesu</w:t>
            </w:r>
          </w:p>
        </w:tc>
      </w:tr>
      <w:tr>
        <w:tc>
          <w:tcPr>
            <w:tcW w:type="dxa" w:w="2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Datum analize</w:t>
            </w:r>
          </w:p>
        </w:tc>
        <w:tc>
          <w:tcPr>
            <w:tcW w:type="dxa" w:w="6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26. avgust 2026</w:t>
            </w:r>
          </w:p>
        </w:tc>
      </w:tr>
      <w:tr>
        <w:tc>
          <w:tcPr>
            <w:tcW w:type="dxa" w:w="2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Metoda</w:t>
            </w:r>
          </w:p>
        </w:tc>
        <w:tc>
          <w:tcPr>
            <w:tcW w:type="dxa" w:w="6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Vsi izračuni so bili pognani na dejanski kodi aplikacije; številke v dokumentu so izpis iz izvedbe, ne prepis iz specifikacije.</w:t>
            </w:r>
          </w:p>
        </w:tc>
      </w:tr>
      <w:tr>
        <w:tc>
          <w:tcPr>
            <w:tcW w:type="dxa" w:w="2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Ni predmet analize</w:t>
            </w:r>
          </w:p>
        </w:tc>
        <w:tc>
          <w:tcPr>
            <w:tcW w:type="dxa" w:w="6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Interna prodajna priprava in zaslon z rezultati — omenjena sta le tam, kjer se od strankinega poročila razlikujeta.</w:t>
            </w:r>
          </w:p>
        </w:tc>
      </w:tr>
    </w:tbl>
    <w:p>
      <w:r>
        <w:br w:type="page"/>
      </w:r>
    </w:p>
    <w:p>
      <w:pPr>
        <w:pStyle w:val="Heading1"/>
        <w:spacing w:after="160" w:before="360"/>
      </w:pPr>
      <w:r>
        <w:rPr>
          <w:rFonts w:ascii="Calibri" w:cs="Calibri" w:eastAsia="Calibri" w:hAnsi="Calibri"/>
          <w:b/>
          <w:bCs/>
          <w:color w:val="231F20"/>
          <w:sz w:val="30"/>
          <w:szCs w:val="30"/>
        </w:rPr>
        <w:t xml:space="preserve">Kazalo</w:t>
      </w:r>
    </w:p>
    <w:sdt>
      <w:sdtPr>
        <w:alias w:val="Kazalo"/>
      </w:sdtPr>
      <w:sdtContent>
        <w:p>
          <w:r>
            <w:fldChar w:fldCharType="begin" w:dirty="true"/>
            <w:instrText xml:space="preserve">TOC \h \o "1-3"</w:instrText>
            <w:fldChar w:fldCharType="separate"/>
          </w:r>
        </w:p>
        <w:p>
          <w:r>
            <w:fldChar w:fldCharType="end"/>
          </w:r>
        </w:p>
      </w:sdtContent>
    </w:sdt>
    <w:p>
      <w:pPr>
        <w:spacing w:after="120" w:before="200" w:line="276"/>
      </w:pPr>
      <w:r>
        <w:rPr>
          <w:rFonts w:ascii="Calibri" w:cs="Calibri" w:eastAsia="Calibri" w:hAnsi="Calibri"/>
          <w:b w:val="false"/>
          <w:bCs w:val="false"/>
          <w:i/>
          <w:iCs/>
          <w:color w:val="5B6773"/>
          <w:sz w:val="18"/>
          <w:szCs w:val="18"/>
        </w:rPr>
        <w:t xml:space="preserve">Kazalo je polje: ob prvem odprtju ga Word izpolni sam, sicer desni klik → Posodobi polje (F9).</w:t>
      </w:r>
    </w:p>
    <w:p>
      <w:r>
        <w:br w:type="page"/>
      </w:r>
    </w:p>
    <w:p>
      <w:pPr>
        <w:pStyle w:val="Heading1"/>
        <w:spacing w:after="160" w:before="360"/>
      </w:pPr>
      <w:r>
        <w:rPr>
          <w:rFonts w:ascii="Calibri" w:cs="Calibri" w:eastAsia="Calibri" w:hAnsi="Calibri"/>
          <w:b/>
          <w:bCs/>
          <w:color w:val="231F20"/>
          <w:sz w:val="30"/>
          <w:szCs w:val="30"/>
        </w:rPr>
        <w:t xml:space="preserve">1. Kaj je strankino poročilo</w:t>
      </w:r>
    </w:p>
    <w:p>
      <w:pPr>
        <w:spacing w:after="120" w:before="0" w:line="276"/>
      </w:pPr>
      <w:r>
        <w:rPr>
          <w:rFonts w:ascii="Calibri" w:cs="Calibri" w:eastAsia="Calibri" w:hAnsi="Calibri"/>
          <w:b w:val="false"/>
          <w:bCs w:val="false"/>
          <w:i w:val="false"/>
          <w:iCs w:val="false"/>
          <w:color w:val="444444"/>
          <w:sz w:val="21"/>
          <w:szCs w:val="21"/>
        </w:rPr>
        <w:t xml:space="preserve">Obiskovalec spletnega kalkulatorja odgovori na vprašanja o svojem načinu dela in svoje številke vidi takoj — še brez e-naslova. Šele ko odda kontakt, se sestavi PDF: to je dokument, ki ga imenujemo strankino poročilo.</w:t>
      </w:r>
    </w:p>
    <w:p>
      <w:pPr>
        <w:spacing w:after="120" w:before="0" w:line="276"/>
      </w:pPr>
      <w:r>
        <w:rPr>
          <w:rFonts w:ascii="Calibri" w:cs="Calibri" w:eastAsia="Calibri" w:hAnsi="Calibri"/>
          <w:b w:val="false"/>
          <w:bCs w:val="false"/>
          <w:i w:val="false"/>
          <w:iCs w:val="false"/>
          <w:color w:val="444444"/>
          <w:sz w:val="21"/>
          <w:szCs w:val="21"/>
        </w:rPr>
        <w:t xml:space="preserve">Ime datoteke nosi podjetje in datum, na primer datalab-analiza-skritih-stroskov-alfa-doo-2026-08-26.pdf. Naslov v temni glavi je panožen — proizvajalec dobi »Analiza skritih stroškov v proizvodnji«.</w:t>
      </w:r>
    </w:p>
    <w:p>
      <w:pPr>
        <w:pStyle w:val="Heading2"/>
        <w:spacing w:after="120" w:before="280"/>
      </w:pPr>
      <w:r>
        <w:rPr>
          <w:rFonts w:ascii="Calibri" w:cs="Calibri" w:eastAsia="Calibri" w:hAnsi="Calibri"/>
          <w:b/>
          <w:bCs/>
          <w:color w:val="8A600D"/>
          <w:sz w:val="24"/>
          <w:szCs w:val="24"/>
        </w:rPr>
        <w:t xml:space="preserve">1.1 Kaj dobi stranka in kaj dobi prodaja</w:t>
      </w:r>
    </w:p>
    <w:p>
      <w:pPr>
        <w:spacing w:after="120" w:before="0" w:line="276"/>
      </w:pPr>
      <w:r>
        <w:rPr>
          <w:rFonts w:ascii="Calibri" w:cs="Calibri" w:eastAsia="Calibri" w:hAnsi="Calibri"/>
          <w:b w:val="false"/>
          <w:bCs w:val="false"/>
          <w:i w:val="false"/>
          <w:iCs w:val="false"/>
          <w:color w:val="444444"/>
          <w:sz w:val="21"/>
          <w:szCs w:val="21"/>
        </w:rPr>
        <w:t xml:space="preserve">Ob oddaji obrazca nastaneta dva različna dokumenta in ločnica med njima je stroga.</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2600"/>
        <w:gridCol w:w="1400"/>
        <w:gridCol w:w="5360"/>
      </w:tblGrid>
      <w:tr>
        <w:trPr>
          <w:tblHeader/>
        </w:trPr>
        <w:tc>
          <w:tcPr>
            <w:tcW w:type="dxa" w:w="26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Dokument</w:t>
            </w:r>
          </w:p>
        </w:tc>
        <w:tc>
          <w:tcPr>
            <w:tcW w:type="dxa" w:w="1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Za koga</w:t>
            </w:r>
          </w:p>
        </w:tc>
        <w:tc>
          <w:tcPr>
            <w:tcW w:type="dxa" w:w="53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 vsebuje</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Analiza skritih stroškov (PDF)</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stranka</w:t>
            </w:r>
          </w:p>
        </w:tc>
        <w:tc>
          <w:tcPr>
            <w:tcW w:type="dxa" w:w="53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Zneski, razčlenitev po področjih, formule, tveganja, trije ukrepi in kontakt. Edini dokument, ki pristane na napravi stranke.</w:t>
            </w:r>
          </w:p>
        </w:tc>
      </w:tr>
      <w:tr>
        <w:tc>
          <w:tcPr>
            <w:tcW w:type="dxa" w:w="26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Prodajna priprava (PDF in HTML)</w:t>
            </w:r>
          </w:p>
        </w:tc>
        <w:tc>
          <w:tcPr>
            <w:tcW w:type="dxa" w:w="14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svetovalec</w:t>
            </w:r>
          </w:p>
        </w:tc>
        <w:tc>
          <w:tcPr>
            <w:tcW w:type="dxa" w:w="53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Kvalifikacija stranke, ocena ustreznosti, velikost posla, iztočnice za pogovor, pričakovani ugovori, priporočilo licence. Stranka je nikoli ne vidi.</w:t>
            </w:r>
          </w:p>
        </w:tc>
      </w:tr>
    </w:tbl>
    <w:p>
      <w:pPr>
        <w:spacing w:after="120"/>
      </w:pPr>
    </w:p>
    <w:p>
      <w:pPr>
        <w:spacing w:after="120" w:before="0" w:line="276"/>
      </w:pPr>
      <w:r>
        <w:rPr>
          <w:rFonts w:ascii="Calibri" w:cs="Calibri" w:eastAsia="Calibri" w:hAnsi="Calibri"/>
          <w:b w:val="false"/>
          <w:bCs w:val="false"/>
          <w:i w:val="false"/>
          <w:iCs w:val="false"/>
          <w:color w:val="444444"/>
          <w:sz w:val="21"/>
          <w:szCs w:val="21"/>
        </w:rPr>
        <w:t xml:space="preserve">Pomembna posledica za prodajo: vse, kar je v strankinem poročilu, stranka lahko prebere — in verjetno bo. Dokument je pisan tako, da vsak stavek zdrži branje tistega, o komer govori.</w:t>
      </w:r>
    </w:p>
    <w:p>
      <w:pPr>
        <w:pStyle w:val="Heading2"/>
        <w:spacing w:after="120" w:before="280"/>
      </w:pPr>
      <w:r>
        <w:rPr>
          <w:rFonts w:ascii="Calibri" w:cs="Calibri" w:eastAsia="Calibri" w:hAnsi="Calibri"/>
          <w:b/>
          <w:bCs/>
          <w:color w:val="8A600D"/>
          <w:sz w:val="24"/>
          <w:szCs w:val="24"/>
        </w:rPr>
        <w:t xml:space="preserve">1.2 Trije stavki, ki jih je treba imeti v glavi</w:t>
      </w:r>
    </w:p>
    <w:p>
      <w:pPr>
        <w:pStyle w:val="ListParagraph"/>
        <w:numPr>
          <w:ilvl w:val="0"/>
          <w:numId w:val="2"/>
        </w:numPr>
        <w:spacing w:after="80" w:line="276"/>
      </w:pPr>
      <w:r>
        <w:rPr>
          <w:rFonts w:ascii="Calibri" w:cs="Calibri" w:eastAsia="Calibri" w:hAnsi="Calibri"/>
          <w:b/>
          <w:bCs/>
          <w:color w:val="444444"/>
          <w:sz w:val="21"/>
          <w:szCs w:val="21"/>
        </w:rPr>
        <w:t xml:space="preserve">Poročilo meri sedanje stanje, ne obljublja prihranka. </w:t>
      </w:r>
      <w:r>
        <w:rPr>
          <w:rFonts w:ascii="Calibri" w:cs="Calibri" w:eastAsia="Calibri" w:hAnsi="Calibri"/>
          <w:color w:val="444444"/>
          <w:sz w:val="21"/>
          <w:szCs w:val="21"/>
        </w:rPr>
        <w:t xml:space="preserve">Glavna številka pove, koliko podjetje danes stane sedanji način dela. Koliko od tega je mogoče odpraviti, je ločena, manjša številka.</w:t>
      </w:r>
    </w:p>
    <w:p>
      <w:pPr>
        <w:pStyle w:val="ListParagraph"/>
        <w:numPr>
          <w:ilvl w:val="0"/>
          <w:numId w:val="2"/>
        </w:numPr>
        <w:spacing w:after="80" w:line="276"/>
      </w:pPr>
      <w:r>
        <w:rPr>
          <w:rFonts w:ascii="Calibri" w:cs="Calibri" w:eastAsia="Calibri" w:hAnsi="Calibri"/>
          <w:b/>
          <w:bCs/>
          <w:color w:val="444444"/>
          <w:sz w:val="21"/>
          <w:szCs w:val="21"/>
        </w:rPr>
        <w:t xml:space="preserve">Poročilo meri manj, kot podjetje izgublja. </w:t>
      </w:r>
      <w:r>
        <w:rPr>
          <w:rFonts w:ascii="Calibri" w:cs="Calibri" w:eastAsia="Calibri" w:hAnsi="Calibri"/>
          <w:color w:val="444444"/>
          <w:sz w:val="21"/>
          <w:szCs w:val="21"/>
        </w:rPr>
        <w:t xml:space="preserve">Meri samo področja, ki jih je obiskovalec izbral in izpolnil; vsa druga prispevajo natanko 0 EUR. To ni pomanjkljivost, ampak zavestna smer napake — vedno navzdol.</w:t>
      </w:r>
    </w:p>
    <w:p>
      <w:pPr>
        <w:pStyle w:val="ListParagraph"/>
        <w:numPr>
          <w:ilvl w:val="0"/>
          <w:numId w:val="2"/>
        </w:numPr>
        <w:spacing w:after="80" w:line="276"/>
      </w:pPr>
      <w:r>
        <w:rPr>
          <w:rFonts w:ascii="Calibri" w:cs="Calibri" w:eastAsia="Calibri" w:hAnsi="Calibri"/>
          <w:b/>
          <w:bCs/>
          <w:color w:val="444444"/>
          <w:sz w:val="21"/>
          <w:szCs w:val="21"/>
        </w:rPr>
        <w:t xml:space="preserve">Poročilo ne vsebuje nobene cene. </w:t>
      </w:r>
      <w:r>
        <w:rPr>
          <w:rFonts w:ascii="Calibri" w:cs="Calibri" w:eastAsia="Calibri" w:hAnsi="Calibri"/>
          <w:color w:val="444444"/>
          <w:sz w:val="21"/>
          <w:szCs w:val="21"/>
        </w:rPr>
        <w:t xml:space="preserve">V celotni aplikaciji ni nobene cene PANTHEON. Tabela povračila navaja primerjalne investicijske zneske, ne ponudbe.</w:t>
      </w:r>
    </w:p>
    <w:p>
      <w:pPr>
        <w:pStyle w:val="Heading1"/>
        <w:spacing w:after="160" w:before="360"/>
      </w:pPr>
      <w:r>
        <w:rPr>
          <w:rFonts w:ascii="Calibri" w:cs="Calibri" w:eastAsia="Calibri" w:hAnsi="Calibri"/>
          <w:b/>
          <w:bCs/>
          <w:color w:val="231F20"/>
          <w:sz w:val="30"/>
          <w:szCs w:val="30"/>
        </w:rPr>
        <w:t xml:space="preserve">2. Zgradba poročila — kaj stranka vidi po vrsti</w:t>
      </w:r>
    </w:p>
    <w:p>
      <w:pPr>
        <w:spacing w:after="120" w:before="0" w:line="276"/>
      </w:pPr>
      <w:r>
        <w:rPr>
          <w:rFonts w:ascii="Calibri" w:cs="Calibri" w:eastAsia="Calibri" w:hAnsi="Calibri"/>
          <w:b w:val="false"/>
          <w:bCs w:val="false"/>
          <w:i w:val="false"/>
          <w:iCs w:val="false"/>
          <w:color w:val="444444"/>
          <w:sz w:val="21"/>
          <w:szCs w:val="21"/>
        </w:rPr>
        <w:t xml:space="preserve">Poročilo ima enajst blokov v tem zaporedju. Vrstni red je pripoveden: koliko stane → iz česa je sestavljeno → kaj to pomeni za investicijo → zakaj je znesek spodnja meja.</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500"/>
        <w:gridCol w:w="2100"/>
        <w:gridCol w:w="5060"/>
        <w:gridCol w:w="1700"/>
      </w:tblGrid>
      <w:tr>
        <w:trPr>
          <w:tblHeader/>
        </w:trPr>
        <w:tc>
          <w:tcPr>
            <w:tcW w:type="dxa" w:w="5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w:t>
            </w:r>
          </w:p>
        </w:tc>
        <w:tc>
          <w:tcPr>
            <w:tcW w:type="dxa" w:w="21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Blok</w:t>
            </w:r>
          </w:p>
        </w:tc>
        <w:tc>
          <w:tcPr>
            <w:tcW w:type="dxa" w:w="50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 je na njem</w:t>
            </w:r>
          </w:p>
        </w:tc>
        <w:tc>
          <w:tcPr>
            <w:tcW w:type="dxa" w:w="17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Se prikaže</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Glava</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Logotip, naslov dokumenta, ime podjetja, panoga z velikostnim razredom, datum.</w:t>
            </w:r>
          </w:p>
        </w:tc>
        <w:tc>
          <w:tcPr>
            <w:tcW w:type="dxa" w:w="17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vedno</w:t>
            </w:r>
          </w:p>
        </w:tc>
      </w:tr>
      <w:tr>
        <w:tc>
          <w:tcPr>
            <w:tcW w:type="dxa" w:w="5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w:t>
            </w:r>
          </w:p>
        </w:tc>
        <w:tc>
          <w:tcPr>
            <w:tcW w:type="dxa" w:w="21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Glavni znesek</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»Skupaj na leto« z oznako zanesljivosti in eno povedjo o tem, iz česa je vsota sestavljena.</w:t>
            </w:r>
          </w:p>
        </w:tc>
        <w:tc>
          <w:tcPr>
            <w:tcW w:type="dxa" w:w="17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vedno</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3</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Izpeljanke</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Znesek v treh letih, cena enega delovnega dne in enega meseca odlašanja.</w:t>
            </w:r>
          </w:p>
        </w:tc>
        <w:tc>
          <w:tcPr>
            <w:tcW w:type="dxa" w:w="17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 je glavni znesek &gt; 0</w:t>
            </w:r>
          </w:p>
        </w:tc>
      </w:tr>
      <w:tr>
        <w:tc>
          <w:tcPr>
            <w:tcW w:type="dxa" w:w="5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4</w:t>
            </w:r>
          </w:p>
        </w:tc>
        <w:tc>
          <w:tcPr>
            <w:tcW w:type="dxa" w:w="21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Kartice</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Do pet kartic: neposredni stroški, nezaslužena marža, izgubljena kapaciteta, sprostljiv kapital, naslovljiv potencial.</w:t>
            </w:r>
          </w:p>
        </w:tc>
        <w:tc>
          <w:tcPr>
            <w:tcW w:type="dxa" w:w="17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vsaka nad svojim pragom</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5</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Povračilo investicije</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Tabela: pri 30.000, 60.000 in 120.000 EUR investicije — v koliko mesecih se povrne.</w:t>
            </w:r>
          </w:p>
        </w:tc>
        <w:tc>
          <w:tcPr>
            <w:tcW w:type="dxa" w:w="17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 je potencial ≥ 10.000 EUR</w:t>
            </w:r>
          </w:p>
        </w:tc>
      </w:tr>
      <w:tr>
        <w:tc>
          <w:tcPr>
            <w:tcW w:type="dxa" w:w="5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6</w:t>
            </w:r>
          </w:p>
        </w:tc>
        <w:tc>
          <w:tcPr>
            <w:tcW w:type="dxa" w:w="21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Česa znesek ne vsebuje</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Štiri ograde in sklepni stavek, da je dejanski strošek višji od prikazanega.</w:t>
            </w:r>
          </w:p>
        </w:tc>
        <w:tc>
          <w:tcPr>
            <w:tcW w:type="dxa" w:w="17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vedno</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7</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Razčlenitev po področjih</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Stolpčni graf po področjih in tabela postavk z letnimi zneski.</w:t>
            </w:r>
          </w:p>
        </w:tc>
        <w:tc>
          <w:tcPr>
            <w:tcW w:type="dxa" w:w="17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 je kaj izmerjeno</w:t>
            </w:r>
          </w:p>
        </w:tc>
      </w:tr>
      <w:tr>
        <w:tc>
          <w:tcPr>
            <w:tcW w:type="dxa" w:w="5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8</w:t>
            </w:r>
          </w:p>
        </w:tc>
        <w:tc>
          <w:tcPr>
            <w:tcW w:type="dxa" w:w="21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Kje se izgublja kapaciteta</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Tabela urnih postavk z mesečnimi urami in skupnim številom sproščenih ur.</w:t>
            </w:r>
          </w:p>
        </w:tc>
        <w:tc>
          <w:tcPr>
            <w:tcW w:type="dxa" w:w="17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 so ure &gt; 0</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9</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Kako smo računali</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Za vsako izmerjeno področje: formula, razlog zanjo in kaj v njem naslavlja PANTHEON.</w:t>
            </w:r>
          </w:p>
        </w:tc>
        <w:tc>
          <w:tcPr>
            <w:tcW w:type="dxa" w:w="17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 je kaj izmerjeno</w:t>
            </w:r>
          </w:p>
        </w:tc>
      </w:tr>
      <w:tr>
        <w:tc>
          <w:tcPr>
            <w:tcW w:type="dxa" w:w="5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10</w:t>
            </w:r>
          </w:p>
        </w:tc>
        <w:tc>
          <w:tcPr>
            <w:tcW w:type="dxa" w:w="21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Tveganja in neizmerjeno</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Diagnostične ocene brez zneska in poimenski seznam področij, ki v izračun niso vstopila.</w:t>
            </w:r>
          </w:p>
        </w:tc>
        <w:tc>
          <w:tcPr>
            <w:tcW w:type="dxa" w:w="17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če obstajajo</w:t>
            </w:r>
          </w:p>
        </w:tc>
      </w:tr>
      <w:tr>
        <w:tc>
          <w:tcPr>
            <w:tcW w:type="dxa" w:w="5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11</w:t>
            </w:r>
          </w:p>
        </w:tc>
        <w:tc>
          <w:tcPr>
            <w:tcW w:type="dxa" w:w="21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Ukrepi in kontakt</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Trije ukrepi za področje z največjim zneskom in telefonska številka prodaje.</w:t>
            </w:r>
          </w:p>
        </w:tc>
        <w:tc>
          <w:tcPr>
            <w:tcW w:type="dxa" w:w="17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vedno</w:t>
            </w:r>
          </w:p>
        </w:tc>
      </w:tr>
    </w:tbl>
    <w:p>
      <w:pPr>
        <w:spacing w:after="120"/>
      </w:pPr>
    </w:p>
    <w:p>
      <w:pPr>
        <w:spacing w:after="120" w:before="0" w:line="276"/>
      </w:pPr>
      <w:r>
        <w:rPr>
          <w:rFonts w:ascii="Calibri" w:cs="Calibri" w:eastAsia="Calibri" w:hAnsi="Calibri"/>
          <w:b w:val="false"/>
          <w:bCs w:val="false"/>
          <w:i w:val="false"/>
          <w:iCs w:val="false"/>
          <w:color w:val="5B6773"/>
          <w:sz w:val="19"/>
          <w:szCs w:val="19"/>
        </w:rPr>
        <w:t xml:space="preserve">V nogi vsake strani stoji pravni pridržek: dokument je samostojna ocena za interno rabo, ne plačan strokovni pregled, in ne obljublja funkcionalnosti izven objavljenega slovenskega cenika.</w:t>
      </w:r>
    </w:p>
    <w:p>
      <w:r>
        <w:br w:type="page"/>
      </w:r>
    </w:p>
    <w:p>
      <w:pPr>
        <w:pStyle w:val="Heading1"/>
        <w:spacing w:after="160" w:before="360"/>
      </w:pPr>
      <w:r>
        <w:rPr>
          <w:rFonts w:ascii="Calibri" w:cs="Calibri" w:eastAsia="Calibri" w:hAnsi="Calibri"/>
          <w:b/>
          <w:bCs/>
          <w:color w:val="231F20"/>
          <w:sz w:val="30"/>
          <w:szCs w:val="30"/>
        </w:rPr>
        <w:t xml:space="preserve">3. Pet zneskov in zakaj so ločeni</w:t>
      </w:r>
    </w:p>
    <w:p>
      <w:pPr>
        <w:spacing w:after="120" w:before="0" w:line="276"/>
      </w:pPr>
      <w:r>
        <w:rPr>
          <w:rFonts w:ascii="Calibri" w:cs="Calibri" w:eastAsia="Calibri" w:hAnsi="Calibri"/>
          <w:b w:val="false"/>
          <w:bCs w:val="false"/>
          <w:i w:val="false"/>
          <w:iCs w:val="false"/>
          <w:color w:val="444444"/>
          <w:sz w:val="21"/>
          <w:szCs w:val="21"/>
        </w:rPr>
        <w:t xml:space="preserve">Vsak izračunani znesek pade v natanko en koš. Ta delitev je najpomembnejša odločitev v celotni metodologiji: ista številka fizično ne more pristati v dveh koših, zato dvojno štetje ni stvar pazljivosti, ampak strukture.</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2500"/>
        <w:gridCol w:w="5060"/>
        <w:gridCol w:w="1800"/>
      </w:tblGrid>
      <w:tr>
        <w:trPr>
          <w:tblHeader/>
        </w:trPr>
        <w:tc>
          <w:tcPr>
            <w:tcW w:type="dxa" w:w="25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Koš na poročilu</w:t>
            </w:r>
          </w:p>
        </w:tc>
        <w:tc>
          <w:tcPr>
            <w:tcW w:type="dxa" w:w="50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 pomeni</w:t>
            </w:r>
          </w:p>
        </w:tc>
        <w:tc>
          <w:tcPr>
            <w:tcW w:type="dxa" w:w="18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Kako se obnaša</w:t>
            </w:r>
          </w:p>
        </w:tc>
      </w:tr>
      <w:tr>
        <w:tc>
          <w:tcPr>
            <w:tcW w:type="dxa" w:w="25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Neposredni letni stroški</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Denar, ki dejansko odteka: izmet, odpisi, penali, ekspresne nabave, reklamacije. Vidno na kontu.</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šteje v glavni znesek</w:t>
            </w:r>
          </w:p>
        </w:tc>
      </w:tr>
      <w:tr>
        <w:tc>
          <w:tcPr>
            <w:tcW w:type="dxa" w:w="25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Nezaslužena letna marža</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Posel, do katerega ni prišlo, ali prodaja po napačni ceni. Denar ni odtekel — ni nikoli prišel.</w:t>
            </w:r>
          </w:p>
        </w:tc>
        <w:tc>
          <w:tcPr>
            <w:tcW w:type="dxa" w:w="18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šteje v glavni znesek, a ločeno</w:t>
            </w:r>
          </w:p>
        </w:tc>
      </w:tr>
      <w:tr>
        <w:tc>
          <w:tcPr>
            <w:tcW w:type="dxa" w:w="25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Vrednost izgubljene kapacitete</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Plačane ure, porabljene za odpravljivo delo. Ni prihranek pri plačah — zaposleni ostane.</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šteje v glavni znesek</w:t>
            </w:r>
          </w:p>
        </w:tc>
      </w:tr>
      <w:tr>
        <w:tc>
          <w:tcPr>
            <w:tcW w:type="dxa" w:w="25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Sprostljiv obratni kapital</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Denar, ki leži v presežni zalogi. Enkraten učinek, ne letni tok.</w:t>
            </w:r>
          </w:p>
        </w:tc>
        <w:tc>
          <w:tcPr>
            <w:tcW w:type="dxa" w:w="18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NIKOLI se ne prišteje</w:t>
            </w:r>
          </w:p>
        </w:tc>
      </w:tr>
      <w:tr>
        <w:tc>
          <w:tcPr>
            <w:tcW w:type="dxa" w:w="25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Tveganja</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Diagnostična ocena zanesljivosti podatkov in procesne odpornosti.</w:t>
            </w:r>
          </w:p>
        </w:tc>
        <w:tc>
          <w:tcPr>
            <w:tcW w:type="dxa" w:w="1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brez zneska</w:t>
            </w:r>
          </w:p>
        </w:tc>
      </w:tr>
    </w:tbl>
    <w:p>
      <w:pPr>
        <w:spacing w:after="120"/>
      </w:pP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Zakaj sta neposredna izguba in nezaslužena marža ločeni</w:t>
            </w:r>
          </w:p>
          <w:p>
            <w:pPr>
              <w:spacing w:after="60" w:line="260"/>
            </w:pPr>
            <w:r>
              <w:rPr>
                <w:rFonts w:ascii="Calibri" w:cs="Calibri" w:eastAsia="Calibri" w:hAnsi="Calibri"/>
                <w:color w:val="444444"/>
                <w:sz w:val="20"/>
                <w:szCs w:val="20"/>
              </w:rPr>
              <w:t xml:space="preserve">Odpis je denar, ki je odtekel in ga je mogoče pokazati na kontu. Izgubljena marža stoji na predpostavki, kaj bi kupec storil, če bi bil izdelek na polici. Trditvi imata različno težo dokaza.</w:t>
            </w:r>
          </w:p>
          <w:p>
            <w:pPr>
              <w:spacing w:after="60" w:line="260"/>
            </w:pPr>
            <w:r>
              <w:rPr>
                <w:rFonts w:ascii="Calibri" w:cs="Calibri" w:eastAsia="Calibri" w:hAnsi="Calibri"/>
                <w:color w:val="444444"/>
                <w:sz w:val="20"/>
                <w:szCs w:val="20"/>
              </w:rPr>
              <w:t xml:space="preserve">Če bi bili v isti številki, bi prvi ugovor — »tega nakupa mogoče ne bi bilo« — podrl tudi tisti del zneska, ki je dokazljiv. Ločeno prikazana marža je zato obramba dokazljivega dela, ne olepšava.</w:t>
            </w:r>
          </w:p>
        </w:tc>
      </w:tr>
    </w:tbl>
    <w:p>
      <w:pPr>
        <w:spacing w:after="120"/>
      </w:pPr>
    </w:p>
    <w:tbl>
      <w:tblPr>
        <w:tblW w:type="dxa" w:w="9360"/>
        <w:tblBorders>
          <w:top w:val="single" w:color="FFF4E5" w:sz="2"/>
          <w:left w:val="single" w:color="F0B429" w:sz="18"/>
          <w:bottom w:val="single" w:color="FFF4E5" w:sz="2"/>
          <w:right w:val="single" w:color="FFF4E5" w:sz="2"/>
          <w:insideH w:val="none" w:color="FFFFFF" w:sz="0"/>
          <w:insideV w:val="none" w:color="FFFFFF" w:sz="0"/>
        </w:tblBorders>
      </w:tblPr>
      <w:tblGrid>
        <w:gridCol w:w="9360"/>
      </w:tblGrid>
      <w:tr>
        <w:tc>
          <w:tcPr>
            <w:tcW w:type="dxa" w:w="9360"/>
            <w:shd w:fill="FFF4E5" w:color="auto" w:val="clear"/>
            <w:tcMar>
              <w:top w:type="dxa" w:w="120"/>
              <w:left w:type="dxa" w:w="180"/>
              <w:bottom w:type="dxa" w:w="120"/>
              <w:right w:type="dxa" w:w="160"/>
            </w:tcMar>
          </w:tcPr>
          <w:p>
            <w:pPr>
              <w:spacing w:after="60" w:before="60" w:line="260"/>
            </w:pPr>
            <w:r>
              <w:rPr>
                <w:rFonts w:ascii="Calibri" w:cs="Calibri" w:eastAsia="Calibri" w:hAnsi="Calibri"/>
                <w:b/>
                <w:bCs/>
                <w:color w:val="7A4A00"/>
                <w:sz w:val="20"/>
                <w:szCs w:val="20"/>
              </w:rPr>
              <w:t xml:space="preserve">Zakaj se sprostljiv kapital nikoli ne prišteje</w:t>
            </w:r>
          </w:p>
          <w:p>
            <w:pPr>
              <w:spacing w:after="60" w:line="260"/>
            </w:pPr>
            <w:r>
              <w:rPr>
                <w:rFonts w:ascii="Calibri" w:cs="Calibri" w:eastAsia="Calibri" w:hAnsi="Calibri"/>
                <w:color w:val="444444"/>
                <w:sz w:val="20"/>
                <w:szCs w:val="20"/>
              </w:rPr>
              <w:t xml:space="preserve">Zaloga, ki jo je mogoče trajno znižati, sprosti denar enkrat. Prištevanje enkratnega zneska k letnim bi glavno številko napihnilo in jo naredilo neprimerljivo med leti — ena velika zaloga bi povozila vse ostalo.</w:t>
            </w:r>
          </w:p>
        </w:tc>
      </w:tr>
    </w:tbl>
    <w:p>
      <w:r>
        <w:br w:type="page"/>
      </w:r>
    </w:p>
    <w:p>
      <w:pPr>
        <w:pStyle w:val="Heading1"/>
        <w:spacing w:after="160" w:before="360"/>
      </w:pPr>
      <w:r>
        <w:rPr>
          <w:rFonts w:ascii="Calibri" w:cs="Calibri" w:eastAsia="Calibri" w:hAnsi="Calibri"/>
          <w:b/>
          <w:bCs/>
          <w:color w:val="231F20"/>
          <w:sz w:val="30"/>
          <w:szCs w:val="30"/>
        </w:rPr>
        <w:t xml:space="preserve">4. Delovni primer skozi cel dokument</w:t>
      </w:r>
    </w:p>
    <w:p>
      <w:pPr>
        <w:spacing w:after="120" w:before="0" w:line="276"/>
      </w:pPr>
      <w:r>
        <w:rPr>
          <w:rFonts w:ascii="Calibri" w:cs="Calibri" w:eastAsia="Calibri" w:hAnsi="Calibri"/>
          <w:b w:val="false"/>
          <w:bCs w:val="false"/>
          <w:i w:val="false"/>
          <w:iCs w:val="false"/>
          <w:color w:val="444444"/>
          <w:sz w:val="21"/>
          <w:szCs w:val="21"/>
        </w:rPr>
        <w:t xml:space="preserve">Da razlage niso abstraktne, skozi vsa naslednja poglavja teče isto podjetje. Vse številke, ki jih navajamo, so izpis iz dejanske izvedbe kalkulatorja s temi vhodi — ne ročni preračun.</w:t>
      </w:r>
    </w:p>
    <w:p>
      <w:pPr>
        <w:pStyle w:val="Heading2"/>
        <w:spacing w:after="120" w:before="280"/>
      </w:pPr>
      <w:r>
        <w:rPr>
          <w:rFonts w:ascii="Calibri" w:cs="Calibri" w:eastAsia="Calibri" w:hAnsi="Calibri"/>
          <w:b/>
          <w:bCs/>
          <w:color w:val="8A600D"/>
          <w:sz w:val="24"/>
          <w:szCs w:val="24"/>
        </w:rPr>
        <w:t xml:space="preserve">4.1 Podjetje in finančna osnova</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2900"/>
        <w:gridCol w:w="2800"/>
        <w:gridCol w:w="3660"/>
      </w:tblGrid>
      <w:tr>
        <w:trPr>
          <w:tblHeader/>
        </w:trPr>
        <w:tc>
          <w:tcPr>
            <w:tcW w:type="dxa" w:w="29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Vhod</w:t>
            </w:r>
          </w:p>
        </w:tc>
        <w:tc>
          <w:tcPr>
            <w:tcW w:type="dxa" w:w="28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Vrednost</w:t>
            </w:r>
          </w:p>
        </w:tc>
        <w:tc>
          <w:tcPr>
            <w:tcW w:type="dxa" w:w="36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Kako je bil podan</w:t>
            </w:r>
          </w:p>
        </w:tc>
      </w:tr>
      <w:tr>
        <w:tc>
          <w:tcPr>
            <w:tcW w:type="dxa" w:w="29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Dejavnost</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Proizvodnja</w:t>
            </w:r>
          </w:p>
        </w:tc>
        <w:tc>
          <w:tcPr>
            <w:tcW w:type="dxa" w:w="36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izbira v prvem koraku</w:t>
            </w:r>
          </w:p>
        </w:tc>
      </w:tr>
      <w:tr>
        <w:tc>
          <w:tcPr>
            <w:tcW w:type="dxa" w:w="29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Zaposleni</w:t>
            </w:r>
          </w:p>
        </w:tc>
        <w:tc>
          <w:tcPr>
            <w:tcW w:type="dxa" w:w="28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60</w:t>
            </w:r>
          </w:p>
        </w:tc>
        <w:tc>
          <w:tcPr>
            <w:tcW w:type="dxa" w:w="36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vneseno (v noben znesek ne vstopa)</w:t>
            </w:r>
          </w:p>
        </w:tc>
      </w:tr>
      <w:tr>
        <w:tc>
          <w:tcPr>
            <w:tcW w:type="dxa" w:w="29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Izbrana področja (triaža)</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Plan in kapacitete · Izmet in kakovost · Zaloge</w:t>
            </w:r>
          </w:p>
        </w:tc>
        <w:tc>
          <w:tcPr>
            <w:tcW w:type="dxa" w:w="36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tri od desetih ponujenih</w:t>
            </w:r>
          </w:p>
        </w:tc>
      </w:tr>
      <w:tr>
        <w:tc>
          <w:tcPr>
            <w:tcW w:type="dxa" w:w="29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Strošek operativne ure</w:t>
            </w:r>
          </w:p>
        </w:tc>
        <w:tc>
          <w:tcPr>
            <w:tcW w:type="dxa" w:w="28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22 EUR</w:t>
            </w:r>
          </w:p>
        </w:tc>
        <w:tc>
          <w:tcPr>
            <w:tcW w:type="dxa" w:w="36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izbran razpon 20–25 EUR</w:t>
            </w:r>
          </w:p>
        </w:tc>
      </w:tr>
      <w:tr>
        <w:tc>
          <w:tcPr>
            <w:tcW w:type="dxa" w:w="29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Strošek administrativne ure</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26 EUR</w:t>
            </w:r>
          </w:p>
        </w:tc>
        <w:tc>
          <w:tcPr>
            <w:tcW w:type="dxa" w:w="36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vneseno</w:t>
            </w:r>
          </w:p>
        </w:tc>
      </w:tr>
      <w:tr>
        <w:tc>
          <w:tcPr>
            <w:tcW w:type="dxa" w:w="29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Letni prihodek</w:t>
            </w:r>
          </w:p>
        </w:tc>
        <w:tc>
          <w:tcPr>
            <w:tcW w:type="dxa" w:w="28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4.000.000 EUR</w:t>
            </w:r>
          </w:p>
        </w:tc>
        <w:tc>
          <w:tcPr>
            <w:tcW w:type="dxa" w:w="36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vneseno</w:t>
            </w:r>
          </w:p>
        </w:tc>
      </w:tr>
      <w:tr>
        <w:tc>
          <w:tcPr>
            <w:tcW w:type="dxa" w:w="29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Prispevna marža</w:t>
            </w:r>
          </w:p>
        </w:tc>
        <w:tc>
          <w:tcPr>
            <w:tcW w:type="dxa" w:w="28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26 %</w:t>
            </w:r>
          </w:p>
        </w:tc>
        <w:tc>
          <w:tcPr>
            <w:tcW w:type="dxa" w:w="36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vneseno</w:t>
            </w:r>
          </w:p>
        </w:tc>
      </w:tr>
      <w:tr>
        <w:tc>
          <w:tcPr>
            <w:tcW w:type="dxa" w:w="29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Strošek kapitala</w:t>
            </w:r>
          </w:p>
        </w:tc>
        <w:tc>
          <w:tcPr>
            <w:tcW w:type="dxa" w:w="28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8,5 %</w:t>
            </w:r>
          </w:p>
        </w:tc>
        <w:tc>
          <w:tcPr>
            <w:tcW w:type="dxa" w:w="36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vneseno</w:t>
            </w:r>
          </w:p>
        </w:tc>
      </w:tr>
    </w:tbl>
    <w:p>
      <w:pPr>
        <w:spacing w:after="120"/>
      </w:pPr>
    </w:p>
    <w:p>
      <w:pPr>
        <w:pStyle w:val="Heading2"/>
        <w:spacing w:after="120" w:before="280"/>
      </w:pPr>
      <w:r>
        <w:rPr>
          <w:rFonts w:ascii="Calibri" w:cs="Calibri" w:eastAsia="Calibri" w:hAnsi="Calibri"/>
          <w:b/>
          <w:bCs/>
          <w:color w:val="8A600D"/>
          <w:sz w:val="24"/>
          <w:szCs w:val="24"/>
        </w:rPr>
        <w:t xml:space="preserve">4.2 Odgovori po področjih</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3000"/>
        <w:gridCol w:w="6360"/>
      </w:tblGrid>
      <w:tr>
        <w:trPr>
          <w:tblHeader/>
        </w:trPr>
        <w:tc>
          <w:tcPr>
            <w:tcW w:type="dxa" w:w="30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Področje</w:t>
            </w:r>
          </w:p>
        </w:tc>
        <w:tc>
          <w:tcPr>
            <w:tcW w:type="dxa" w:w="63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Odgovori</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Plan, kapacitete in navodila</w:t>
            </w:r>
          </w:p>
        </w:tc>
        <w:tc>
          <w:tcPr>
            <w:tcW w:type="dxa" w:w="63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30 h/mesec čakanja, 20 h/mesec nadur, 15 h/mesec ponovnega planiranja; glavni vzrok: podatki ali navodila niso enotni</w:t>
            </w:r>
          </w:p>
        </w:tc>
      </w:tr>
      <w:tr>
        <w:tc>
          <w:tcPr>
            <w:tcW w:type="dxa" w:w="30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Izmet, dodelave in kakovost</w:t>
            </w:r>
          </w:p>
        </w:tc>
        <w:tc>
          <w:tcPr>
            <w:tcW w:type="dxa" w:w="63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900.000 EUR letne porabe materiala, 3 % izmeta, 20 h/mesec dodelav, 6.000 EUR letnih stroškov reklamacij; glavni vzrok: zastarele sestavnice</w:t>
            </w:r>
          </w:p>
        </w:tc>
      </w:tr>
      <w:tr>
        <w:tc>
          <w:tcPr>
            <w:tcW w:type="dxa" w:w="30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Zaloge in razpoložljivost materiala</w:t>
            </w:r>
          </w:p>
        </w:tc>
        <w:tc>
          <w:tcPr>
            <w:tcW w:type="dxa" w:w="63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350.000 EUR povprečne zaloge, 12.000 EUR letnih odpisov, 10 h/mesec čakanja na material, sprostljivo 11–20 %; glavni vzrok: stanje zalog ni zanesljivo</w:t>
            </w:r>
          </w:p>
        </w:tc>
      </w:tr>
    </w:tbl>
    <w:p>
      <w:pPr>
        <w:spacing w:after="120"/>
      </w:pPr>
    </w:p>
    <w:p>
      <w:pPr>
        <w:pStyle w:val="Heading2"/>
        <w:spacing w:after="120" w:before="280"/>
      </w:pPr>
      <w:r>
        <w:rPr>
          <w:rFonts w:ascii="Calibri" w:cs="Calibri" w:eastAsia="Calibri" w:hAnsi="Calibri"/>
          <w:b/>
          <w:bCs/>
          <w:color w:val="8A600D"/>
          <w:sz w:val="24"/>
          <w:szCs w:val="24"/>
        </w:rPr>
        <w:t xml:space="preserve">4.3 Kaj iz tega nastane na poročilu</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4400"/>
        <w:gridCol w:w="4960"/>
      </w:tblGrid>
      <w:tr>
        <w:trPr>
          <w:tblHeader/>
        </w:trPr>
        <w:tc>
          <w:tcPr>
            <w:tcW w:type="dxa" w:w="4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Številka na poročilu</w:t>
            </w:r>
          </w:p>
        </w:tc>
        <w:tc>
          <w:tcPr>
            <w:tcW w:type="dxa" w:w="49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Vrednost</w:t>
            </w:r>
          </w:p>
        </w:tc>
      </w:tr>
      <w:tr>
        <w:tc>
          <w:tcPr>
            <w:tcW w:type="dxa" w:w="4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SKUPAJ NA LETO (glavni znesek)</w:t>
            </w:r>
          </w:p>
        </w:tc>
        <w:tc>
          <w:tcPr>
            <w:tcW w:type="dxa" w:w="4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68.880 – 73.680 EUR</w:t>
            </w:r>
          </w:p>
        </w:tc>
      </w:tr>
      <w:tr>
        <w:tc>
          <w:tcPr>
            <w:tcW w:type="dxa" w:w="4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Neposredni letni stroški</w:t>
            </w:r>
          </w:p>
        </w:tc>
        <w:tc>
          <w:tcPr>
            <w:tcW w:type="dxa" w:w="4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45.000 EUR</w:t>
            </w:r>
          </w:p>
        </w:tc>
      </w:tr>
      <w:tr>
        <w:tc>
          <w:tcPr>
            <w:tcW w:type="dxa" w:w="4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Vrednost izgubljene kapacitete</w:t>
            </w:r>
          </w:p>
        </w:tc>
        <w:tc>
          <w:tcPr>
            <w:tcW w:type="dxa" w:w="4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23.880 – 28.680 EUR  (95 h/mesec)</w:t>
            </w:r>
          </w:p>
        </w:tc>
      </w:tr>
      <w:tr>
        <w:tc>
          <w:tcPr>
            <w:tcW w:type="dxa" w:w="4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Sprostljiv obratni kapital</w:t>
            </w:r>
          </w:p>
        </w:tc>
        <w:tc>
          <w:tcPr>
            <w:tcW w:type="dxa" w:w="4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52.500 EUR (enkratno)</w:t>
            </w:r>
          </w:p>
        </w:tc>
      </w:tr>
      <w:tr>
        <w:tc>
          <w:tcPr>
            <w:tcW w:type="dxa" w:w="4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Ocenjen naslovljiv potencial</w:t>
            </w:r>
          </w:p>
        </w:tc>
        <w:tc>
          <w:tcPr>
            <w:tcW w:type="dxa" w:w="4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44.910 – 48.510 EUR na leto</w:t>
            </w:r>
          </w:p>
        </w:tc>
      </w:tr>
      <w:tr>
        <w:tc>
          <w:tcPr>
            <w:tcW w:type="dxa" w:w="4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 treh letih</w:t>
            </w:r>
          </w:p>
        </w:tc>
        <w:tc>
          <w:tcPr>
            <w:tcW w:type="dxa" w:w="4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206.640 – 221.040 EUR</w:t>
            </w:r>
          </w:p>
        </w:tc>
      </w:tr>
      <w:tr>
        <w:tc>
          <w:tcPr>
            <w:tcW w:type="dxa" w:w="4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Cena odlašanja</w:t>
            </w:r>
          </w:p>
        </w:tc>
        <w:tc>
          <w:tcPr>
            <w:tcW w:type="dxa" w:w="4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281 EUR na delovni dan · 5.900 EUR na mesec</w:t>
            </w:r>
          </w:p>
        </w:tc>
      </w:tr>
      <w:tr>
        <w:tc>
          <w:tcPr>
            <w:tcW w:type="dxa" w:w="4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Zanesljivost</w:t>
            </w:r>
          </w:p>
        </w:tc>
        <w:tc>
          <w:tcPr>
            <w:tcW w:type="dxa" w:w="4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srednja</w:t>
            </w:r>
          </w:p>
        </w:tc>
      </w:tr>
      <w:tr>
        <w:tc>
          <w:tcPr>
            <w:tcW w:type="dxa" w:w="4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Področje z največjim zneskom</w:t>
            </w:r>
          </w:p>
        </w:tc>
        <w:tc>
          <w:tcPr>
            <w:tcW w:type="dxa" w:w="4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Izmet, dodelave in kakovost → od tod trije ukrepi</w:t>
            </w:r>
          </w:p>
        </w:tc>
      </w:tr>
    </w:tbl>
    <w:p>
      <w:pPr>
        <w:spacing w:after="120"/>
      </w:pPr>
    </w:p>
    <w:p>
      <w:pPr>
        <w:spacing w:after="120" w:before="0" w:line="276"/>
      </w:pPr>
      <w:r>
        <w:rPr>
          <w:rFonts w:ascii="Calibri" w:cs="Calibri" w:eastAsia="Calibri" w:hAnsi="Calibri"/>
          <w:b w:val="false"/>
          <w:bCs w:val="false"/>
          <w:i w:val="false"/>
          <w:iCs w:val="false"/>
          <w:color w:val="5B6773"/>
          <w:sz w:val="19"/>
          <w:szCs w:val="19"/>
        </w:rPr>
        <w:t xml:space="preserve">Nezaslužena marža je v tem primeru 0 EUR, ker podjetje področja Roki in nujni stroški ni izbralo — kartica se zato sploh ne prikaže.</w:t>
      </w:r>
    </w:p>
    <w:p>
      <w:r>
        <w:br w:type="page"/>
      </w:r>
    </w:p>
    <w:p>
      <w:pPr>
        <w:pStyle w:val="Heading1"/>
        <w:spacing w:after="160" w:before="360"/>
      </w:pPr>
      <w:r>
        <w:rPr>
          <w:rFonts w:ascii="Calibri" w:cs="Calibri" w:eastAsia="Calibri" w:hAnsi="Calibri"/>
          <w:b/>
          <w:bCs/>
          <w:color w:val="231F20"/>
          <w:sz w:val="30"/>
          <w:szCs w:val="30"/>
        </w:rPr>
        <w:t xml:space="preserve">5. Glavni izračuni, korak za korakom</w:t>
      </w:r>
    </w:p>
    <w:p>
      <w:pPr>
        <w:pStyle w:val="Heading2"/>
        <w:spacing w:after="120" w:before="280"/>
      </w:pPr>
      <w:r>
        <w:rPr>
          <w:rFonts w:ascii="Calibri" w:cs="Calibri" w:eastAsia="Calibri" w:hAnsi="Calibri"/>
          <w:b/>
          <w:bCs/>
          <w:color w:val="8A600D"/>
          <w:sz w:val="24"/>
          <w:szCs w:val="24"/>
        </w:rPr>
        <w:t xml:space="preserve">5.1 Od odgovora do postavke</w:t>
      </w:r>
    </w:p>
    <w:p>
      <w:pPr>
        <w:spacing w:after="120" w:before="0" w:line="276"/>
      </w:pPr>
      <w:r>
        <w:rPr>
          <w:rFonts w:ascii="Calibri" w:cs="Calibri" w:eastAsia="Calibri" w:hAnsi="Calibri"/>
          <w:b w:val="false"/>
          <w:bCs w:val="false"/>
          <w:i w:val="false"/>
          <w:iCs w:val="false"/>
          <w:color w:val="444444"/>
          <w:sz w:val="21"/>
          <w:szCs w:val="21"/>
        </w:rPr>
        <w:t xml:space="preserve">Vsaka postavka na poročilu nastane po enem od štirih vzorcev. Drugih ni.</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1900"/>
        <w:gridCol w:w="3200"/>
        <w:gridCol w:w="4260"/>
      </w:tblGrid>
      <w:tr>
        <w:trPr>
          <w:tblHeader/>
        </w:trPr>
        <w:tc>
          <w:tcPr>
            <w:tcW w:type="dxa" w:w="19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Vzorec</w:t>
            </w:r>
          </w:p>
        </w:tc>
        <w:tc>
          <w:tcPr>
            <w:tcW w:type="dxa" w:w="32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Formula</w:t>
            </w:r>
          </w:p>
        </w:tc>
        <w:tc>
          <w:tcPr>
            <w:tcW w:type="dxa" w:w="42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Primer iz delovnega primera</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Ure v denar</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ure na mesec × strošek ure × 12</w:t>
            </w:r>
          </w:p>
        </w:tc>
        <w:tc>
          <w:tcPr>
            <w:tcW w:type="dxa" w:w="42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50 h × 22 EUR × 12 = 13.200 EUR (zastoji in nadure)</w:t>
            </w:r>
          </w:p>
        </w:tc>
      </w:tr>
      <w:tr>
        <w:tc>
          <w:tcPr>
            <w:tcW w:type="dxa" w:w="19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Delež od vrednosti</w:t>
            </w:r>
          </w:p>
        </w:tc>
        <w:tc>
          <w:tcPr>
            <w:tcW w:type="dxa" w:w="32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letna vrednost × delež</w:t>
            </w:r>
          </w:p>
        </w:tc>
        <w:tc>
          <w:tcPr>
            <w:tcW w:type="dxa" w:w="42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900.000 EUR × 3 % = 27.000 EUR (izmet materiala)</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Vneseni letni znesek</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znesek gre naprej nespremenjen</w:t>
            </w:r>
          </w:p>
        </w:tc>
        <w:tc>
          <w:tcPr>
            <w:tcW w:type="dxa" w:w="42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12.000 EUR odpisov zalog</w:t>
            </w:r>
          </w:p>
        </w:tc>
      </w:tr>
      <w:tr>
        <w:tc>
          <w:tcPr>
            <w:tcW w:type="dxa" w:w="19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Vezan denar</w:t>
            </w:r>
          </w:p>
        </w:tc>
        <w:tc>
          <w:tcPr>
            <w:tcW w:type="dxa" w:w="32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vrednost × delež znižanja (in × strošek kapitala, kjer gre za terjatve)</w:t>
            </w:r>
          </w:p>
        </w:tc>
        <w:tc>
          <w:tcPr>
            <w:tcW w:type="dxa" w:w="42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350.000 EUR × 15 % = 52.500 EUR sprostljivega kapitala</w:t>
            </w:r>
          </w:p>
        </w:tc>
      </w:tr>
    </w:tbl>
    <w:p>
      <w:pPr>
        <w:spacing w:after="120"/>
      </w:pP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Zakaj sta strošek ure dva in zakaj sta različna</w:t>
            </w:r>
          </w:p>
          <w:p>
            <w:pPr>
              <w:spacing w:after="60" w:line="260"/>
            </w:pPr>
            <w:r>
              <w:rPr>
                <w:rFonts w:ascii="Calibri" w:cs="Calibri" w:eastAsia="Calibri" w:hAnsi="Calibri"/>
                <w:color w:val="444444"/>
                <w:sz w:val="20"/>
                <w:szCs w:val="20"/>
              </w:rPr>
              <w:t xml:space="preserve">Operativna ura (proizvodni delavec, voznik, skladiščnik) je v Sloveniji plačana pod povprečjem, pisarniška in vodstvena pa nad njim — zato je administrativna ura vedno dražja od operativne.</w:t>
            </w:r>
          </w:p>
          <w:p>
            <w:pPr>
              <w:spacing w:after="60" w:line="260"/>
            </w:pPr>
            <w:r>
              <w:rPr>
                <w:rFonts w:ascii="Calibri" w:cs="Calibri" w:eastAsia="Calibri" w:hAnsi="Calibri"/>
                <w:color w:val="444444"/>
                <w:sz w:val="20"/>
                <w:szCs w:val="20"/>
              </w:rPr>
              <w:t xml:space="preserve">Strošek ure pomeni strošek dela, ne strošek dela z režijo: bruto plača s prispevki delodajalca, regresom, malico in prevozom, deljeno s približno 1.700 produktivnimi urami na leto. Sproščena ura prihrani plačo, ne najemnine.</w:t>
            </w:r>
          </w:p>
          <w:p>
            <w:pPr>
              <w:spacing w:after="60" w:line="260"/>
            </w:pPr>
            <w:r>
              <w:rPr>
                <w:rFonts w:ascii="Calibri" w:cs="Calibri" w:eastAsia="Calibri" w:hAnsi="Calibri"/>
                <w:color w:val="444444"/>
                <w:sz w:val="20"/>
                <w:szCs w:val="20"/>
              </w:rPr>
              <w:t xml:space="preserve">Razponi so izpeljani iz plač po poklicih (SURS), ne ocenjeni.</w:t>
            </w:r>
          </w:p>
        </w:tc>
      </w:tr>
    </w:tbl>
    <w:p>
      <w:pPr>
        <w:pStyle w:val="Heading2"/>
        <w:spacing w:after="120" w:before="280"/>
      </w:pPr>
      <w:r>
        <w:rPr>
          <w:rFonts w:ascii="Calibri" w:cs="Calibri" w:eastAsia="Calibri" w:hAnsi="Calibri"/>
          <w:b/>
          <w:bCs/>
          <w:color w:val="8A600D"/>
          <w:sz w:val="24"/>
          <w:szCs w:val="24"/>
        </w:rPr>
        <w:t xml:space="preserve">5.2 Glavni znesek: »Skupaj na leto«</w:t>
      </w:r>
    </w:p>
    <w:p>
      <w:pPr>
        <w:spacing w:after="120" w:before="0" w:line="276"/>
      </w:pPr>
      <w:r>
        <w:rPr>
          <w:rFonts w:ascii="Calibri" w:cs="Calibri" w:eastAsia="Calibri" w:hAnsi="Calibri"/>
          <w:b w:val="false"/>
          <w:bCs w:val="false"/>
          <w:i w:val="false"/>
          <w:iCs w:val="false"/>
          <w:color w:val="444444"/>
          <w:sz w:val="21"/>
          <w:szCs w:val="21"/>
        </w:rPr>
        <w:t xml:space="preserve">Največja številka na dokumentu je vsota treh letnih košev.</w:t>
      </w:r>
    </w:p>
    <w:p>
      <w:pPr>
        <w:spacing w:after="40" w:before="40" w:line="260"/>
      </w:pPr>
      <w:r>
        <w:rPr>
          <w:rFonts w:ascii="Consolas" w:cs="Consolas" w:eastAsia="Consolas" w:hAnsi="Consolas"/>
          <w:color w:val="231F20"/>
          <w:sz w:val="20"/>
          <w:szCs w:val="20"/>
        </w:rPr>
        <w:t xml:space="preserve">SKUPAJ NA LETO  =  neposredni stroški  +  nezaslužena marža  +  vrednost izgubljene kapacitete</w:t>
      </w:r>
    </w:p>
    <w:p>
      <w:pPr>
        <w:spacing w:after="120" w:before="0" w:line="276"/>
      </w:pPr>
      <w:r>
        <w:rPr>
          <w:rFonts w:ascii="Calibri" w:cs="Calibri" w:eastAsia="Calibri" w:hAnsi="Calibri"/>
          <w:b w:val="false"/>
          <w:bCs w:val="false"/>
          <w:i w:val="false"/>
          <w:iCs w:val="false"/>
          <w:color w:val="444444"/>
          <w:sz w:val="21"/>
          <w:szCs w:val="21"/>
        </w:rPr>
        <w:t xml:space="preserve">Sprostljiv obratni kapital v to vsoto ne vstopa.</w:t>
      </w: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Delovni primer</w:t>
            </w:r>
          </w:p>
          <w:p>
            <w:pPr>
              <w:spacing w:after="60" w:line="260"/>
            </w:pPr>
            <w:r>
              <w:rPr>
                <w:rFonts w:ascii="Consolas" w:cs="Consolas" w:eastAsia="Consolas" w:hAnsi="Consolas"/>
                <w:b/>
                <w:bCs/>
                <w:color w:val="444444"/>
                <w:sz w:val="20"/>
                <w:szCs w:val="20"/>
              </w:rPr>
              <w:t xml:space="preserve">45.000  +  0  +  25.800  =  70.800 EUR</w:t>
            </w:r>
          </w:p>
          <w:p>
            <w:pPr>
              <w:spacing w:after="60" w:line="260"/>
            </w:pPr>
            <w:r>
              <w:rPr>
                <w:rFonts w:ascii="Calibri" w:cs="Calibri" w:eastAsia="Calibri" w:hAnsi="Calibri"/>
                <w:color w:val="444444"/>
                <w:sz w:val="20"/>
                <w:szCs w:val="20"/>
              </w:rPr>
              <w:t xml:space="preserve">Ker je bila operativna ura izbrana kot razpon 20–25 EUR in ne vnesena, se ista vsota izpiše kot razpon: 68.880 – 73.680 EUR. Zakaj, pojasnjuje razdelek 5.9.</w:t>
            </w:r>
          </w:p>
        </w:tc>
      </w:tr>
    </w:tbl>
    <w:p>
      <w:pPr>
        <w:spacing w:after="120"/>
      </w:pPr>
    </w:p>
    <w:p>
      <w:pPr>
        <w:spacing w:after="120" w:before="0" w:line="276"/>
      </w:pPr>
      <w:r>
        <w:rPr>
          <w:rFonts w:ascii="Calibri" w:cs="Calibri" w:eastAsia="Calibri" w:hAnsi="Calibri"/>
          <w:b w:val="false"/>
          <w:bCs w:val="false"/>
          <w:i w:val="false"/>
          <w:iCs w:val="false"/>
          <w:color w:val="5B6773"/>
          <w:sz w:val="19"/>
          <w:szCs w:val="19"/>
        </w:rPr>
        <w:t xml:space="preserve">To je bila ena od zadnjih popravljenih napak: dokument, ki roma do uprave, je kot glavno številko dolgo izpisoval samo neposredno izgubo, medtem ko je obiskovalec na zaslonu videl vsoto vseh treh. Danes je naslovna številka v obeh medijih ista.</w:t>
      </w:r>
    </w:p>
    <w:p>
      <w:pPr>
        <w:pStyle w:val="Heading3"/>
        <w:spacing w:after="100" w:before="200"/>
      </w:pPr>
      <w:r>
        <w:rPr>
          <w:rFonts w:ascii="Calibri" w:cs="Calibri" w:eastAsia="Calibri" w:hAnsi="Calibri"/>
          <w:b/>
          <w:bCs/>
          <w:color w:val="231F20"/>
          <w:sz w:val="21"/>
          <w:szCs w:val="21"/>
        </w:rPr>
        <w:t xml:space="preserve">Kartice pod glavnim zneskom</w:t>
      </w:r>
    </w:p>
    <w:p>
      <w:pPr>
        <w:spacing w:after="120" w:before="0" w:line="276"/>
      </w:pPr>
      <w:r>
        <w:rPr>
          <w:rFonts w:ascii="Calibri" w:cs="Calibri" w:eastAsia="Calibri" w:hAnsi="Calibri"/>
          <w:b w:val="false"/>
          <w:bCs w:val="false"/>
          <w:i w:val="false"/>
          <w:iCs w:val="false"/>
          <w:color w:val="444444"/>
          <w:sz w:val="21"/>
          <w:szCs w:val="21"/>
        </w:rPr>
        <w:t xml:space="preserve">Vsak koš dobi še svojo kartico — a le, če presega prag. Neposredni stroški, nezaslužena marža in sprostljiv kapital se prikažejo nad 100 EUR, kapaciteta nad 0 EUR. Kartica s 45 EUR pod polnim naslovom ne izgleda kot majhna številka, ampak kot pokvarjen izračun, in v dvom potegne vse ostale zneske na strani. Postavka iz vsote ne izpade — samo svojega poudarka ne dobi.</w:t>
      </w:r>
    </w:p>
    <w:p>
      <w:pPr>
        <w:pStyle w:val="Heading2"/>
        <w:spacing w:after="120" w:before="280"/>
      </w:pPr>
      <w:r>
        <w:rPr>
          <w:rFonts w:ascii="Calibri" w:cs="Calibri" w:eastAsia="Calibri" w:hAnsi="Calibri"/>
          <w:b/>
          <w:bCs/>
          <w:color w:val="8A600D"/>
          <w:sz w:val="24"/>
          <w:szCs w:val="24"/>
        </w:rPr>
        <w:t xml:space="preserve">5.3 Neposredni letni stroški</w:t>
      </w:r>
    </w:p>
    <w:p>
      <w:pPr>
        <w:spacing w:after="120" w:before="0" w:line="276"/>
      </w:pPr>
      <w:r>
        <w:rPr>
          <w:rFonts w:ascii="Calibri" w:cs="Calibri" w:eastAsia="Calibri" w:hAnsi="Calibri"/>
          <w:b w:val="false"/>
          <w:bCs w:val="false"/>
          <w:i w:val="false"/>
          <w:iCs w:val="false"/>
          <w:color w:val="444444"/>
          <w:sz w:val="21"/>
          <w:szCs w:val="21"/>
        </w:rPr>
        <w:t xml:space="preserve">Vsota postavk, ki so denar, ki je odtekel. V delovnem primeru so tri:</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3600"/>
        <w:gridCol w:w="3760"/>
        <w:gridCol w:w="2000"/>
      </w:tblGrid>
      <w:tr>
        <w:trPr>
          <w:tblHeader/>
        </w:trPr>
        <w:tc>
          <w:tcPr>
            <w:tcW w:type="dxa" w:w="36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Postavka</w:t>
            </w:r>
          </w:p>
        </w:tc>
        <w:tc>
          <w:tcPr>
            <w:tcW w:type="dxa" w:w="37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Izračun</w:t>
            </w:r>
          </w:p>
        </w:tc>
        <w:tc>
          <w:tcPr>
            <w:tcW w:type="dxa" w:w="2000"/>
            <w:shd w:fill="231F20" w:color="auto" w:val="clear"/>
            <w:tcMar>
              <w:top w:type="dxa" w:w="80"/>
              <w:left w:type="dxa" w:w="120"/>
              <w:bottom w:type="dxa" w:w="80"/>
              <w:right w:type="dxa" w:w="120"/>
            </w:tcMar>
          </w:tcPr>
          <w:p>
            <w:pPr>
              <w:spacing w:after="0" w:line="260"/>
              <w:jc w:val="right"/>
            </w:pPr>
            <w:r>
              <w:rPr>
                <w:rFonts w:ascii="Calibri" w:cs="Calibri" w:eastAsia="Calibri" w:hAnsi="Calibri"/>
                <w:b/>
                <w:bCs/>
                <w:color w:val="FFFFFF"/>
                <w:sz w:val="20"/>
                <w:szCs w:val="20"/>
              </w:rPr>
              <w:t xml:space="preserve">Znesek</w:t>
            </w:r>
          </w:p>
        </w:tc>
      </w:tr>
      <w:tr>
        <w:tc>
          <w:tcPr>
            <w:tcW w:type="dxa" w:w="36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Izmet materiala</w:t>
            </w:r>
          </w:p>
        </w:tc>
        <w:tc>
          <w:tcPr>
            <w:tcW w:type="dxa" w:w="3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900.000 EUR × 3 %</w:t>
            </w:r>
          </w:p>
        </w:tc>
        <w:tc>
          <w:tcPr>
            <w:tcW w:type="dxa" w:w="20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27.000 EUR</w:t>
            </w:r>
          </w:p>
        </w:tc>
      </w:tr>
      <w:tr>
        <w:tc>
          <w:tcPr>
            <w:tcW w:type="dxa" w:w="36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Reklamacije in vračila</w:t>
            </w:r>
          </w:p>
        </w:tc>
        <w:tc>
          <w:tcPr>
            <w:tcW w:type="dxa" w:w="37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 letni znesek</w:t>
            </w:r>
          </w:p>
        </w:tc>
        <w:tc>
          <w:tcPr>
            <w:tcW w:type="dxa" w:w="20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6.000 EUR</w:t>
            </w:r>
          </w:p>
        </w:tc>
      </w:tr>
      <w:tr>
        <w:tc>
          <w:tcPr>
            <w:tcW w:type="dxa" w:w="36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Odpisi in razvrednotenja zalog</w:t>
            </w:r>
          </w:p>
        </w:tc>
        <w:tc>
          <w:tcPr>
            <w:tcW w:type="dxa" w:w="3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vnesen letni znesek</w:t>
            </w:r>
          </w:p>
        </w:tc>
        <w:tc>
          <w:tcPr>
            <w:tcW w:type="dxa" w:w="20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12.000 EUR</w:t>
            </w:r>
          </w:p>
        </w:tc>
      </w:tr>
      <w:tr>
        <w:tc>
          <w:tcPr>
            <w:tcW w:type="dxa" w:w="36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Skupaj</w:t>
            </w:r>
          </w:p>
        </w:tc>
        <w:tc>
          <w:tcPr>
            <w:tcW w:type="dxa" w:w="37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
            </w:r>
          </w:p>
        </w:tc>
        <w:tc>
          <w:tcPr>
            <w:tcW w:type="dxa" w:w="20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45.000 EUR</w:t>
            </w:r>
          </w:p>
        </w:tc>
      </w:tr>
    </w:tbl>
    <w:p>
      <w:pPr>
        <w:pStyle w:val="Heading2"/>
        <w:spacing w:after="120" w:before="280"/>
      </w:pPr>
      <w:r>
        <w:rPr>
          <w:rFonts w:ascii="Calibri" w:cs="Calibri" w:eastAsia="Calibri" w:hAnsi="Calibri"/>
          <w:b/>
          <w:bCs/>
          <w:color w:val="8A600D"/>
          <w:sz w:val="24"/>
          <w:szCs w:val="24"/>
        </w:rPr>
        <w:t xml:space="preserve">5.4 Nezaslužena letna marža</w:t>
      </w:r>
    </w:p>
    <w:p>
      <w:pPr>
        <w:spacing w:after="120" w:before="0" w:line="276"/>
      </w:pPr>
      <w:r>
        <w:rPr>
          <w:rFonts w:ascii="Calibri" w:cs="Calibri" w:eastAsia="Calibri" w:hAnsi="Calibri"/>
          <w:b w:val="false"/>
          <w:bCs w:val="false"/>
          <w:i w:val="false"/>
          <w:iCs w:val="false"/>
          <w:color w:val="444444"/>
          <w:sz w:val="21"/>
          <w:szCs w:val="21"/>
        </w:rPr>
        <w:t xml:space="preserve">Meri posel, ki se ni zgodil: prazna polica, odpovedano naročilo, prodaja po prenizki ceni. Izračun je praviloma izpad prihodka pomnožen s prispevno maržo — zato je marža med skupnimi finančnimi predpostavkami in se vpraša enkrat za vsa področja.</w:t>
      </w:r>
    </w:p>
    <w:p>
      <w:pPr>
        <w:spacing w:after="120" w:before="0" w:line="276"/>
      </w:pPr>
      <w:r>
        <w:rPr>
          <w:rFonts w:ascii="Calibri" w:cs="Calibri" w:eastAsia="Calibri" w:hAnsi="Calibri"/>
          <w:b w:val="false"/>
          <w:bCs w:val="false"/>
          <w:i w:val="false"/>
          <w:iCs w:val="false"/>
          <w:color w:val="444444"/>
          <w:sz w:val="21"/>
          <w:szCs w:val="21"/>
        </w:rPr>
        <w:t xml:space="preserve">V delovnem primeru je 0 EUR, ker podjetje ni izbralo nobenega področja, ki to meri.</w:t>
      </w:r>
    </w:p>
    <w:p>
      <w:pPr>
        <w:pStyle w:val="Heading2"/>
        <w:spacing w:after="120" w:before="280"/>
      </w:pPr>
      <w:r>
        <w:rPr>
          <w:rFonts w:ascii="Calibri" w:cs="Calibri" w:eastAsia="Calibri" w:hAnsi="Calibri"/>
          <w:b/>
          <w:bCs/>
          <w:color w:val="8A600D"/>
          <w:sz w:val="24"/>
          <w:szCs w:val="24"/>
        </w:rPr>
        <w:t xml:space="preserve">5.5 Vrednost izgubljene kapacitete</w:t>
      </w:r>
    </w:p>
    <w:p>
      <w:pPr>
        <w:spacing w:after="120" w:before="0" w:line="276"/>
      </w:pPr>
      <w:r>
        <w:rPr>
          <w:rFonts w:ascii="Calibri" w:cs="Calibri" w:eastAsia="Calibri" w:hAnsi="Calibri"/>
          <w:b w:val="false"/>
          <w:bCs w:val="false"/>
          <w:i w:val="false"/>
          <w:iCs w:val="false"/>
          <w:color w:val="444444"/>
          <w:sz w:val="21"/>
          <w:szCs w:val="21"/>
        </w:rPr>
        <w:t xml:space="preserve">Sešteje ure, ki gredo v odpravljivo delo, in jih ovrednoti s stroškom ure. Poročilo poleg zneska vedno izpiše tudi skupno število ur na mesec — v delovnem primeru 95 h.</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3100"/>
        <w:gridCol w:w="3160"/>
        <w:gridCol w:w="1200"/>
        <w:gridCol w:w="1900"/>
      </w:tblGrid>
      <w:tr>
        <w:trPr>
          <w:tblHeader/>
        </w:trPr>
        <w:tc>
          <w:tcPr>
            <w:tcW w:type="dxa" w:w="31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Postavka</w:t>
            </w:r>
          </w:p>
        </w:tc>
        <w:tc>
          <w:tcPr>
            <w:tcW w:type="dxa" w:w="31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Izračun</w:t>
            </w:r>
          </w:p>
        </w:tc>
        <w:tc>
          <w:tcPr>
            <w:tcW w:type="dxa" w:w="1200"/>
            <w:shd w:fill="231F20" w:color="auto" w:val="clear"/>
            <w:tcMar>
              <w:top w:type="dxa" w:w="80"/>
              <w:left w:type="dxa" w:w="120"/>
              <w:bottom w:type="dxa" w:w="80"/>
              <w:right w:type="dxa" w:w="120"/>
            </w:tcMar>
          </w:tcPr>
          <w:p>
            <w:pPr>
              <w:spacing w:after="0" w:line="260"/>
              <w:jc w:val="right"/>
            </w:pPr>
            <w:r>
              <w:rPr>
                <w:rFonts w:ascii="Calibri" w:cs="Calibri" w:eastAsia="Calibri" w:hAnsi="Calibri"/>
                <w:b/>
                <w:bCs/>
                <w:color w:val="FFFFFF"/>
                <w:sz w:val="20"/>
                <w:szCs w:val="20"/>
              </w:rPr>
              <w:t xml:space="preserve">Ur/mesec</w:t>
            </w:r>
          </w:p>
        </w:tc>
        <w:tc>
          <w:tcPr>
            <w:tcW w:type="dxa" w:w="1900"/>
            <w:shd w:fill="231F20" w:color="auto" w:val="clear"/>
            <w:tcMar>
              <w:top w:type="dxa" w:w="80"/>
              <w:left w:type="dxa" w:w="120"/>
              <w:bottom w:type="dxa" w:w="80"/>
              <w:right w:type="dxa" w:w="120"/>
            </w:tcMar>
          </w:tcPr>
          <w:p>
            <w:pPr>
              <w:spacing w:after="0" w:line="260"/>
              <w:jc w:val="right"/>
            </w:pPr>
            <w:r>
              <w:rPr>
                <w:rFonts w:ascii="Calibri" w:cs="Calibri" w:eastAsia="Calibri" w:hAnsi="Calibri"/>
                <w:b/>
                <w:bCs/>
                <w:color w:val="FFFFFF"/>
                <w:sz w:val="20"/>
                <w:szCs w:val="20"/>
              </w:rPr>
              <w:t xml:space="preserve">Znesek</w:t>
            </w:r>
          </w:p>
        </w:tc>
      </w:tr>
      <w:tr>
        <w:tc>
          <w:tcPr>
            <w:tcW w:type="dxa" w:w="31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Zastoji in nadure v proizvodnji</w:t>
            </w:r>
          </w:p>
        </w:tc>
        <w:tc>
          <w:tcPr>
            <w:tcW w:type="dxa" w:w="31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(30 + 20) h × 22 EUR × 12</w:t>
            </w:r>
          </w:p>
        </w:tc>
        <w:tc>
          <w:tcPr>
            <w:tcW w:type="dxa" w:w="12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50</w:t>
            </w:r>
          </w:p>
        </w:tc>
        <w:tc>
          <w:tcPr>
            <w:tcW w:type="dxa" w:w="19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13.200 EUR</w:t>
            </w:r>
          </w:p>
        </w:tc>
      </w:tr>
      <w:tr>
        <w:tc>
          <w:tcPr>
            <w:tcW w:type="dxa" w:w="31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Ponovno planiranje in usklajevanje</w:t>
            </w:r>
          </w:p>
        </w:tc>
        <w:tc>
          <w:tcPr>
            <w:tcW w:type="dxa" w:w="31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15 h × 26 EUR × 12</w:t>
            </w:r>
          </w:p>
        </w:tc>
        <w:tc>
          <w:tcPr>
            <w:tcW w:type="dxa" w:w="12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15</w:t>
            </w:r>
          </w:p>
        </w:tc>
        <w:tc>
          <w:tcPr>
            <w:tcW w:type="dxa" w:w="19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4.680 EUR</w:t>
            </w:r>
          </w:p>
        </w:tc>
      </w:tr>
      <w:tr>
        <w:tc>
          <w:tcPr>
            <w:tcW w:type="dxa" w:w="31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Dodelave in ponovna izdelava</w:t>
            </w:r>
          </w:p>
        </w:tc>
        <w:tc>
          <w:tcPr>
            <w:tcW w:type="dxa" w:w="31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20 h × 22 EUR × 12</w:t>
            </w:r>
          </w:p>
        </w:tc>
        <w:tc>
          <w:tcPr>
            <w:tcW w:type="dxa" w:w="12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20</w:t>
            </w:r>
          </w:p>
        </w:tc>
        <w:tc>
          <w:tcPr>
            <w:tcW w:type="dxa" w:w="19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5.280 EUR</w:t>
            </w:r>
          </w:p>
        </w:tc>
      </w:tr>
      <w:tr>
        <w:tc>
          <w:tcPr>
            <w:tcW w:type="dxa" w:w="31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Čakanje na manjkajoč material</w:t>
            </w:r>
          </w:p>
        </w:tc>
        <w:tc>
          <w:tcPr>
            <w:tcW w:type="dxa" w:w="31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10 h × 22 EUR × 12</w:t>
            </w:r>
          </w:p>
        </w:tc>
        <w:tc>
          <w:tcPr>
            <w:tcW w:type="dxa" w:w="12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10</w:t>
            </w:r>
          </w:p>
        </w:tc>
        <w:tc>
          <w:tcPr>
            <w:tcW w:type="dxa" w:w="19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2.640 EUR</w:t>
            </w:r>
          </w:p>
        </w:tc>
      </w:tr>
      <w:tr>
        <w:tc>
          <w:tcPr>
            <w:tcW w:type="dxa" w:w="31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Skupaj</w:t>
            </w:r>
          </w:p>
        </w:tc>
        <w:tc>
          <w:tcPr>
            <w:tcW w:type="dxa" w:w="31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
            </w:r>
          </w:p>
        </w:tc>
        <w:tc>
          <w:tcPr>
            <w:tcW w:type="dxa" w:w="12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95</w:t>
            </w:r>
          </w:p>
        </w:tc>
        <w:tc>
          <w:tcPr>
            <w:tcW w:type="dxa" w:w="19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25.800 EUR</w:t>
            </w:r>
          </w:p>
        </w:tc>
      </w:tr>
    </w:tbl>
    <w:p>
      <w:pPr>
        <w:spacing w:after="120"/>
      </w:pP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Stavek, ki mora ostati ob tej številki</w:t>
            </w:r>
          </w:p>
          <w:p>
            <w:pPr>
              <w:spacing w:after="60" w:line="260"/>
            </w:pPr>
            <w:r>
              <w:rPr>
                <w:rFonts w:ascii="Calibri" w:cs="Calibri" w:eastAsia="Calibri" w:hAnsi="Calibri"/>
                <w:color w:val="444444"/>
                <w:sz w:val="20"/>
                <w:szCs w:val="20"/>
              </w:rPr>
              <w:t xml:space="preserve">To ni prihranek pri plačah. Zaposleni ostane, plačna masa se ne zmanjša. Gre za vrednost časa, ki ga je mogoče usmeriti v delo, ki prinaša denar.</w:t>
            </w:r>
          </w:p>
          <w:p>
            <w:pPr>
              <w:spacing w:after="60" w:line="260"/>
            </w:pPr>
            <w:r>
              <w:rPr>
                <w:rFonts w:ascii="Calibri" w:cs="Calibri" w:eastAsia="Calibri" w:hAnsi="Calibri"/>
                <w:color w:val="444444"/>
                <w:sz w:val="20"/>
                <w:szCs w:val="20"/>
              </w:rPr>
              <w:t xml:space="preserve">Prav zato režija ni všteta: najemnina, vodenje in amortizacija tečejo naprej ne glede na to, kaj ekipa počne. Vštevanje režije bi znesek povečalo za tretjino in ga naredilo neubranljivega.</w:t>
            </w:r>
          </w:p>
        </w:tc>
      </w:tr>
    </w:tbl>
    <w:p>
      <w:pPr>
        <w:pStyle w:val="Heading2"/>
        <w:spacing w:after="120" w:before="280"/>
      </w:pPr>
      <w:r>
        <w:rPr>
          <w:rFonts w:ascii="Calibri" w:cs="Calibri" w:eastAsia="Calibri" w:hAnsi="Calibri"/>
          <w:b/>
          <w:bCs/>
          <w:color w:val="8A600D"/>
          <w:sz w:val="24"/>
          <w:szCs w:val="24"/>
        </w:rPr>
        <w:t xml:space="preserve">5.6 Sprostljiv obratni kapital</w:t>
      </w:r>
    </w:p>
    <w:p>
      <w:pPr>
        <w:spacing w:after="120" w:before="0" w:line="276"/>
      </w:pPr>
      <w:r>
        <w:rPr>
          <w:rFonts w:ascii="Calibri" w:cs="Calibri" w:eastAsia="Calibri" w:hAnsi="Calibri"/>
          <w:b w:val="false"/>
          <w:bCs w:val="false"/>
          <w:i w:val="false"/>
          <w:iCs w:val="false"/>
          <w:color w:val="444444"/>
          <w:sz w:val="21"/>
          <w:szCs w:val="21"/>
        </w:rPr>
        <w:t xml:space="preserve">Meri denar, ki leži v zalogi, ki bi je lahko trajno bilo manj, ne da bi kdaj zmanjkalo.</w:t>
      </w:r>
    </w:p>
    <w:p>
      <w:pPr>
        <w:spacing w:after="40" w:before="40" w:line="260"/>
      </w:pPr>
      <w:r>
        <w:rPr>
          <w:rFonts w:ascii="Consolas" w:cs="Consolas" w:eastAsia="Consolas" w:hAnsi="Consolas"/>
          <w:color w:val="231F20"/>
          <w:sz w:val="20"/>
          <w:szCs w:val="20"/>
        </w:rPr>
        <w:t xml:space="preserve">sprostljiv kapital  =  povprečna vrednost zaloge  ×  ocenjen delež znižanja</w:t>
      </w: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Delovni primer</w:t>
            </w:r>
          </w:p>
          <w:p>
            <w:pPr>
              <w:spacing w:after="60" w:line="260"/>
            </w:pPr>
            <w:r>
              <w:rPr>
                <w:rFonts w:ascii="Consolas" w:cs="Consolas" w:eastAsia="Consolas" w:hAnsi="Consolas"/>
                <w:b/>
                <w:bCs/>
                <w:color w:val="444444"/>
                <w:sz w:val="20"/>
                <w:szCs w:val="20"/>
              </w:rPr>
              <w:t xml:space="preserve">350.000 EUR × 15 %  =  52.500 EUR</w:t>
            </w:r>
          </w:p>
          <w:p>
            <w:pPr>
              <w:spacing w:after="60" w:line="260"/>
            </w:pPr>
            <w:r>
              <w:rPr>
                <w:rFonts w:ascii="Calibri" w:cs="Calibri" w:eastAsia="Calibri" w:hAnsi="Calibri"/>
                <w:color w:val="444444"/>
                <w:sz w:val="20"/>
                <w:szCs w:val="20"/>
              </w:rPr>
              <w:t xml:space="preserve">Odgovor »11–20 %« se prevede v 15 %. Pretvorbena lestvica je: do 5 % → 5 %, 6–10 % → 8 %, 11–20 % → 15 %, več kot 20 % → 25 %, »Ne vem« → 10 %.</w:t>
            </w:r>
          </w:p>
        </w:tc>
      </w:tr>
    </w:tbl>
    <w:p>
      <w:pPr>
        <w:spacing w:after="120"/>
      </w:pPr>
    </w:p>
    <w:p>
      <w:pPr>
        <w:spacing w:after="120" w:before="0" w:line="276"/>
      </w:pPr>
      <w:r>
        <w:rPr>
          <w:rFonts w:ascii="Calibri" w:cs="Calibri" w:eastAsia="Calibri" w:hAnsi="Calibri"/>
          <w:b w:val="false"/>
          <w:bCs w:val="false"/>
          <w:i w:val="false"/>
          <w:iCs w:val="false"/>
          <w:color w:val="5B6773"/>
          <w:sz w:val="19"/>
          <w:szCs w:val="19"/>
        </w:rPr>
        <w:t xml:space="preserve">Vrednost pri odgovoru »Ne vem« je bila avgusta 2026 popravljena s 5 % na 10 %, ker je 5 % pomenilo polovico najslabšega izmerjenega rezultata v literaturi — anketa Aberdeen med 1.680 podjetji meri povprečno znižanje stroškov zalog ob uvedbi ERP 17,2 %. Neodgovor je torej obljubljal manj od najslabšega dejanskega projekta.</w:t>
      </w:r>
    </w:p>
    <w:p>
      <w:pPr>
        <w:pStyle w:val="Heading2"/>
        <w:spacing w:after="120" w:before="280"/>
      </w:pPr>
      <w:r>
        <w:rPr>
          <w:rFonts w:ascii="Calibri" w:cs="Calibri" w:eastAsia="Calibri" w:hAnsi="Calibri"/>
          <w:b/>
          <w:bCs/>
          <w:color w:val="8A600D"/>
          <w:sz w:val="24"/>
          <w:szCs w:val="24"/>
        </w:rPr>
        <w:t xml:space="preserve">5.7 Ocenjen naslovljiv potencial — najpomembnejši izračun</w:t>
      </w:r>
    </w:p>
    <w:p>
      <w:pPr>
        <w:spacing w:after="120" w:before="0" w:line="276"/>
      </w:pPr>
      <w:r>
        <w:rPr>
          <w:rFonts w:ascii="Calibri" w:cs="Calibri" w:eastAsia="Calibri" w:hAnsi="Calibri"/>
          <w:b w:val="false"/>
          <w:bCs w:val="false"/>
          <w:i w:val="false"/>
          <w:iCs w:val="false"/>
          <w:color w:val="444444"/>
          <w:sz w:val="21"/>
          <w:szCs w:val="21"/>
        </w:rPr>
        <w:t xml:space="preserve">To je edina številka na poročilu, ki govori o prihodnosti, in edino mesto, kjer se izmerjeni strošek zmanjša. Pove, koliko od izmerjenega je z boljšimi procesi in podatki sploh mogoče odpraviti.</w:t>
      </w:r>
    </w:p>
    <w:p>
      <w:pPr>
        <w:spacing w:after="40" w:before="40" w:line="260"/>
      </w:pPr>
      <w:r>
        <w:rPr>
          <w:rFonts w:ascii="Consolas" w:cs="Consolas" w:eastAsia="Consolas" w:hAnsi="Consolas"/>
          <w:color w:val="231F20"/>
          <w:sz w:val="20"/>
          <w:szCs w:val="20"/>
        </w:rPr>
        <w:t xml:space="preserve">potencial  =  Σ ( postavka  ×  naslovljiv delež )</w:t>
      </w:r>
    </w:p>
    <w:p>
      <w:pPr>
        <w:spacing w:after="120" w:before="0" w:line="276"/>
      </w:pPr>
      <w:r>
        <w:rPr>
          <w:rFonts w:ascii="Calibri" w:cs="Calibri" w:eastAsia="Calibri" w:hAnsi="Calibri"/>
          <w:b w:val="false"/>
          <w:bCs w:val="false"/>
          <w:i w:val="false"/>
          <w:iCs w:val="false"/>
          <w:color w:val="444444"/>
          <w:sz w:val="21"/>
          <w:szCs w:val="21"/>
        </w:rPr>
        <w:t xml:space="preserve">Vsota teče samo čez letne koše. Sprostljiv kapital je izpuščen z dveh razlogov: enkraten znesek se ne meša med letne, hkrati pa je ta znesek že sam potencial in ne sedanji strošek — množenje bi ga štelo dvakrat.</w:t>
      </w:r>
    </w:p>
    <w:p>
      <w:pPr>
        <w:pStyle w:val="Heading3"/>
        <w:spacing w:after="100" w:before="200"/>
      </w:pPr>
      <w:r>
        <w:rPr>
          <w:rFonts w:ascii="Calibri" w:cs="Calibri" w:eastAsia="Calibri" w:hAnsi="Calibri"/>
          <w:b/>
          <w:bCs/>
          <w:color w:val="231F20"/>
          <w:sz w:val="21"/>
          <w:szCs w:val="21"/>
        </w:rPr>
        <w:t xml:space="preserve">Od kod pride naslovljiv delež</w:t>
      </w:r>
    </w:p>
    <w:p>
      <w:pPr>
        <w:spacing w:after="120" w:before="0" w:line="276"/>
      </w:pPr>
      <w:r>
        <w:rPr>
          <w:rFonts w:ascii="Calibri" w:cs="Calibri" w:eastAsia="Calibri" w:hAnsi="Calibri"/>
          <w:b w:val="false"/>
          <w:bCs w:val="false"/>
          <w:i w:val="false"/>
          <w:iCs w:val="false"/>
          <w:color w:val="444444"/>
          <w:sz w:val="21"/>
          <w:szCs w:val="21"/>
        </w:rPr>
        <w:t xml:space="preserve">Vsako področje ima vprašanje »Kaj je glavni vzrok?«. Odgovor določi delež, s katerim se pomnožijo vse postavke tega področja. Logika je preprosta: težavo, ki izvira iz podatkov, informacijski sistem reši skoraj v celoti; okvare stroja ne reši skoraj nič.</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3200"/>
        <w:gridCol w:w="1100"/>
        <w:gridCol w:w="5060"/>
      </w:tblGrid>
      <w:tr>
        <w:trPr>
          <w:tblHeader/>
        </w:trPr>
        <w:tc>
          <w:tcPr>
            <w:tcW w:type="dxa" w:w="32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Kategorija vzroka</w:t>
            </w:r>
          </w:p>
        </w:tc>
        <w:tc>
          <w:tcPr>
            <w:tcW w:type="dxa" w:w="1100"/>
            <w:shd w:fill="231F20" w:color="auto" w:val="clear"/>
            <w:tcMar>
              <w:top w:type="dxa" w:w="80"/>
              <w:left w:type="dxa" w:w="120"/>
              <w:bottom w:type="dxa" w:w="80"/>
              <w:right w:type="dxa" w:w="120"/>
            </w:tcMar>
          </w:tcPr>
          <w:p>
            <w:pPr>
              <w:spacing w:after="0" w:line="260"/>
              <w:jc w:val="center"/>
            </w:pPr>
            <w:r>
              <w:rPr>
                <w:rFonts w:ascii="Calibri" w:cs="Calibri" w:eastAsia="Calibri" w:hAnsi="Calibri"/>
                <w:b/>
                <w:bCs/>
                <w:color w:val="FFFFFF"/>
                <w:sz w:val="20"/>
                <w:szCs w:val="20"/>
              </w:rPr>
              <w:t xml:space="preserve">Delež</w:t>
            </w:r>
          </w:p>
        </w:tc>
        <w:tc>
          <w:tcPr>
            <w:tcW w:type="dxa" w:w="50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 pomeni</w:t>
            </w:r>
          </w:p>
        </w:tc>
      </w:tr>
      <w:tr>
        <w:tc>
          <w:tcPr>
            <w:tcW w:type="dxa" w:w="32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Podatki in dokumentacija</w:t>
            </w:r>
          </w:p>
        </w:tc>
        <w:tc>
          <w:tcPr>
            <w:tcW w:type="dxa" w:w="11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Isti podatek vnašamo v več sistemov, listine so papirne, normativi zastareli.</w:t>
            </w:r>
          </w:p>
        </w:tc>
      </w:tr>
      <w:tr>
        <w:tc>
          <w:tcPr>
            <w:tcW w:type="dxa" w:w="32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Planiranje in vidnost</w:t>
            </w:r>
          </w:p>
        </w:tc>
        <w:tc>
          <w:tcPr>
            <w:tcW w:type="dxa" w:w="11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65 %</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Plan ni ažuren, stanje nalogov ni vidno, nabava ni povezana s planom.</w:t>
            </w:r>
          </w:p>
        </w:tc>
      </w:tr>
      <w:tr>
        <w:tc>
          <w:tcPr>
            <w:tcW w:type="dxa" w:w="32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Ljudje in disciplina</w:t>
            </w:r>
          </w:p>
        </w:tc>
        <w:tc>
          <w:tcPr>
            <w:tcW w:type="dxa" w:w="11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45 %</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Pomanjkanje usposabljanja, premalo ljudi, napake, ki jih sistem težko prepreči.</w:t>
            </w:r>
          </w:p>
        </w:tc>
      </w:tr>
      <w:tr>
        <w:tc>
          <w:tcPr>
            <w:tcW w:type="dxa" w:w="32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»Ne vemo« ali brez odgovora</w:t>
            </w:r>
          </w:p>
        </w:tc>
        <w:tc>
          <w:tcPr>
            <w:tcW w:type="dxa" w:w="11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45 %</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Konservativna privzeta ocena, ki ustreza 25. percentilu vseh odgovorov.</w:t>
            </w:r>
          </w:p>
        </w:tc>
      </w:tr>
      <w:tr>
        <w:tc>
          <w:tcPr>
            <w:tcW w:type="dxa" w:w="32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Zunanji dejavniki</w:t>
            </w:r>
          </w:p>
        </w:tc>
        <w:tc>
          <w:tcPr>
            <w:tcW w:type="dxa" w:w="11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30 %</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Dobavitelji in kupci. Dobavitelja ne popravimo, pred njim se pa zavarujemo.</w:t>
            </w:r>
          </w:p>
        </w:tc>
      </w:tr>
      <w:tr>
        <w:tc>
          <w:tcPr>
            <w:tcW w:type="dxa" w:w="32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Fizični vzroki</w:t>
            </w:r>
          </w:p>
        </w:tc>
        <w:tc>
          <w:tcPr>
            <w:tcW w:type="dxa" w:w="11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15 %</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Strojne okvare, kakovost vhodnega materiala.</w:t>
            </w:r>
          </w:p>
        </w:tc>
      </w:tr>
    </w:tbl>
    <w:p>
      <w:pPr>
        <w:spacing w:after="120"/>
      </w:pP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Zgornja meja pri postavkah s fizikalnim dnom</w:t>
            </w:r>
          </w:p>
          <w:p>
            <w:pPr>
              <w:spacing w:after="60" w:line="260"/>
            </w:pPr>
            <w:r>
              <w:rPr>
                <w:rFonts w:ascii="Calibri" w:cs="Calibri" w:eastAsia="Calibri" w:hAnsi="Calibri"/>
                <w:color w:val="444444"/>
                <w:sz w:val="20"/>
                <w:szCs w:val="20"/>
              </w:rPr>
              <w:t xml:space="preserve">Nekatere postavke imajo mejo, ki je noben sistem ne preseže. Izmet materiala ima tehnološko dno — razrez, zagon serije in izplen ostanejo tudi ob popolnih podatkih — zato je pri njem naslovljivost omejena na največ 50 %, ne glede na vzrok. Brez te meje bi vzrok »zastarele sestavnice« trdil, da je odpravljivih 75 % izmeta, kar ni mogoče niti načeloma.</w:t>
            </w:r>
          </w:p>
          <w:p>
            <w:pPr>
              <w:spacing w:after="60" w:line="260"/>
            </w:pPr>
            <w:r>
              <w:rPr>
                <w:rFonts w:ascii="Calibri" w:cs="Calibri" w:eastAsia="Calibri" w:hAnsi="Calibri"/>
                <w:color w:val="444444"/>
                <w:sz w:val="20"/>
                <w:szCs w:val="20"/>
              </w:rPr>
              <w:t xml:space="preserve">Podobno velja za prazne kilometre v logistiki, kjer je dno geografsko. Meja se uporablja samo tam, kjer tako dno resnično obstaja.</w:t>
            </w:r>
          </w:p>
        </w:tc>
      </w:tr>
    </w:tbl>
    <w:p>
      <w:pPr>
        <w:spacing w:after="120"/>
      </w:pPr>
    </w:p>
    <w:p>
      <w:pPr>
        <w:pStyle w:val="Heading3"/>
        <w:spacing w:after="100" w:before="200"/>
      </w:pPr>
      <w:r>
        <w:rPr>
          <w:rFonts w:ascii="Calibri" w:cs="Calibri" w:eastAsia="Calibri" w:hAnsi="Calibri"/>
          <w:b/>
          <w:bCs/>
          <w:color w:val="231F20"/>
          <w:sz w:val="21"/>
          <w:szCs w:val="21"/>
        </w:rPr>
        <w:t xml:space="preserve">Izračun potenciala v delovnem primeru</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3300"/>
        <w:gridCol w:w="2000"/>
        <w:gridCol w:w="1900"/>
        <w:gridCol w:w="2160"/>
      </w:tblGrid>
      <w:tr>
        <w:trPr>
          <w:tblHeader/>
        </w:trPr>
        <w:tc>
          <w:tcPr>
            <w:tcW w:type="dxa" w:w="33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Postavka</w:t>
            </w:r>
          </w:p>
        </w:tc>
        <w:tc>
          <w:tcPr>
            <w:tcW w:type="dxa" w:w="2000"/>
            <w:shd w:fill="231F20" w:color="auto" w:val="clear"/>
            <w:tcMar>
              <w:top w:type="dxa" w:w="80"/>
              <w:left w:type="dxa" w:w="120"/>
              <w:bottom w:type="dxa" w:w="80"/>
              <w:right w:type="dxa" w:w="120"/>
            </w:tcMar>
          </w:tcPr>
          <w:p>
            <w:pPr>
              <w:spacing w:after="0" w:line="260"/>
              <w:jc w:val="right"/>
            </w:pPr>
            <w:r>
              <w:rPr>
                <w:rFonts w:ascii="Calibri" w:cs="Calibri" w:eastAsia="Calibri" w:hAnsi="Calibri"/>
                <w:b/>
                <w:bCs/>
                <w:color w:val="FFFFFF"/>
                <w:sz w:val="20"/>
                <w:szCs w:val="20"/>
              </w:rPr>
              <w:t xml:space="preserve">Znesek</w:t>
            </w:r>
          </w:p>
        </w:tc>
        <w:tc>
          <w:tcPr>
            <w:tcW w:type="dxa" w:w="1900"/>
            <w:shd w:fill="231F20" w:color="auto" w:val="clear"/>
            <w:tcMar>
              <w:top w:type="dxa" w:w="80"/>
              <w:left w:type="dxa" w:w="120"/>
              <w:bottom w:type="dxa" w:w="80"/>
              <w:right w:type="dxa" w:w="120"/>
            </w:tcMar>
          </w:tcPr>
          <w:p>
            <w:pPr>
              <w:spacing w:after="0" w:line="260"/>
              <w:jc w:val="center"/>
            </w:pPr>
            <w:r>
              <w:rPr>
                <w:rFonts w:ascii="Calibri" w:cs="Calibri" w:eastAsia="Calibri" w:hAnsi="Calibri"/>
                <w:b/>
                <w:bCs/>
                <w:color w:val="FFFFFF"/>
                <w:sz w:val="20"/>
                <w:szCs w:val="20"/>
              </w:rPr>
              <w:t xml:space="preserve">Delež</w:t>
            </w:r>
          </w:p>
        </w:tc>
        <w:tc>
          <w:tcPr>
            <w:tcW w:type="dxa" w:w="2160"/>
            <w:shd w:fill="231F20" w:color="auto" w:val="clear"/>
            <w:tcMar>
              <w:top w:type="dxa" w:w="80"/>
              <w:left w:type="dxa" w:w="120"/>
              <w:bottom w:type="dxa" w:w="80"/>
              <w:right w:type="dxa" w:w="120"/>
            </w:tcMar>
          </w:tcPr>
          <w:p>
            <w:pPr>
              <w:spacing w:after="0" w:line="260"/>
              <w:jc w:val="right"/>
            </w:pPr>
            <w:r>
              <w:rPr>
                <w:rFonts w:ascii="Calibri" w:cs="Calibri" w:eastAsia="Calibri" w:hAnsi="Calibri"/>
                <w:b/>
                <w:bCs/>
                <w:color w:val="FFFFFF"/>
                <w:sz w:val="20"/>
                <w:szCs w:val="20"/>
              </w:rPr>
              <w:t xml:space="preserve">Potencial</w:t>
            </w:r>
          </w:p>
        </w:tc>
      </w:tr>
      <w:tr>
        <w:tc>
          <w:tcPr>
            <w:tcW w:type="dxa" w:w="33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Izmet materiala</w:t>
            </w:r>
          </w:p>
        </w:tc>
        <w:tc>
          <w:tcPr>
            <w:tcW w:type="dxa" w:w="20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27.000 EUR</w:t>
            </w:r>
          </w:p>
        </w:tc>
        <w:tc>
          <w:tcPr>
            <w:tcW w:type="dxa" w:w="19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50 % (meja)</w:t>
            </w:r>
          </w:p>
        </w:tc>
        <w:tc>
          <w:tcPr>
            <w:tcW w:type="dxa" w:w="216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13.500 EUR</w:t>
            </w:r>
          </w:p>
        </w:tc>
      </w:tr>
      <w:tr>
        <w:tc>
          <w:tcPr>
            <w:tcW w:type="dxa" w:w="33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Reklamacije in vračila</w:t>
            </w:r>
          </w:p>
        </w:tc>
        <w:tc>
          <w:tcPr>
            <w:tcW w:type="dxa" w:w="20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6.000 EUR</w:t>
            </w:r>
          </w:p>
        </w:tc>
        <w:tc>
          <w:tcPr>
            <w:tcW w:type="dxa" w:w="19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216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4.500 EUR</w:t>
            </w:r>
          </w:p>
        </w:tc>
      </w:tr>
      <w:tr>
        <w:tc>
          <w:tcPr>
            <w:tcW w:type="dxa" w:w="33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Odpisi in razvrednotenja zalog</w:t>
            </w:r>
          </w:p>
        </w:tc>
        <w:tc>
          <w:tcPr>
            <w:tcW w:type="dxa" w:w="20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12.000 EUR</w:t>
            </w:r>
          </w:p>
        </w:tc>
        <w:tc>
          <w:tcPr>
            <w:tcW w:type="dxa" w:w="19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216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9.000 EUR</w:t>
            </w:r>
          </w:p>
        </w:tc>
      </w:tr>
      <w:tr>
        <w:tc>
          <w:tcPr>
            <w:tcW w:type="dxa" w:w="33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Zastoji in nadure</w:t>
            </w:r>
          </w:p>
        </w:tc>
        <w:tc>
          <w:tcPr>
            <w:tcW w:type="dxa" w:w="20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13.200 EUR</w:t>
            </w:r>
          </w:p>
        </w:tc>
        <w:tc>
          <w:tcPr>
            <w:tcW w:type="dxa" w:w="19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216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9.900 EUR</w:t>
            </w:r>
          </w:p>
        </w:tc>
      </w:tr>
      <w:tr>
        <w:tc>
          <w:tcPr>
            <w:tcW w:type="dxa" w:w="33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Ponovno planiranje</w:t>
            </w:r>
          </w:p>
        </w:tc>
        <w:tc>
          <w:tcPr>
            <w:tcW w:type="dxa" w:w="20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4.680 EUR</w:t>
            </w:r>
          </w:p>
        </w:tc>
        <w:tc>
          <w:tcPr>
            <w:tcW w:type="dxa" w:w="19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216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3.510 EUR</w:t>
            </w:r>
          </w:p>
        </w:tc>
      </w:tr>
      <w:tr>
        <w:tc>
          <w:tcPr>
            <w:tcW w:type="dxa" w:w="33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Dodelave in ponovna izdelava</w:t>
            </w:r>
          </w:p>
        </w:tc>
        <w:tc>
          <w:tcPr>
            <w:tcW w:type="dxa" w:w="20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5.280 EUR</w:t>
            </w:r>
          </w:p>
        </w:tc>
        <w:tc>
          <w:tcPr>
            <w:tcW w:type="dxa" w:w="19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216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3.960 EUR</w:t>
            </w:r>
          </w:p>
        </w:tc>
      </w:tr>
      <w:tr>
        <w:tc>
          <w:tcPr>
            <w:tcW w:type="dxa" w:w="33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Čakanje na material</w:t>
            </w:r>
          </w:p>
        </w:tc>
        <w:tc>
          <w:tcPr>
            <w:tcW w:type="dxa" w:w="200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2.640 EUR</w:t>
            </w:r>
          </w:p>
        </w:tc>
        <w:tc>
          <w:tcPr>
            <w:tcW w:type="dxa" w:w="1900"/>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75 %</w:t>
            </w:r>
          </w:p>
        </w:tc>
        <w:tc>
          <w:tcPr>
            <w:tcW w:type="dxa" w:w="2160"/>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1.980 EUR</w:t>
            </w:r>
          </w:p>
        </w:tc>
      </w:tr>
      <w:tr>
        <w:tc>
          <w:tcPr>
            <w:tcW w:type="dxa" w:w="33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Skupaj</w:t>
            </w:r>
          </w:p>
        </w:tc>
        <w:tc>
          <w:tcPr>
            <w:tcW w:type="dxa" w:w="200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70.800 EUR</w:t>
            </w:r>
          </w:p>
        </w:tc>
        <w:tc>
          <w:tcPr>
            <w:tcW w:type="dxa" w:w="1900"/>
            <w:shd w:fill="F1EDE2" w:color="auto" w:val="clear"/>
            <w:tcMar>
              <w:top w:type="dxa" w:w="80"/>
              <w:left w:type="dxa" w:w="120"/>
              <w:bottom w:type="dxa" w:w="80"/>
              <w:right w:type="dxa" w:w="120"/>
            </w:tcMar>
          </w:tcPr>
          <w:p>
            <w:pPr>
              <w:spacing w:after="0" w:line="260"/>
              <w:jc w:val="center"/>
            </w:pPr>
            <w:r>
              <w:rPr>
                <w:rFonts w:ascii="Calibri" w:cs="Calibri" w:eastAsia="Calibri" w:hAnsi="Calibri"/>
                <w:b w:val="false"/>
                <w:bCs w:val="false"/>
                <w:color w:val="444444"/>
                <w:sz w:val="20"/>
                <w:szCs w:val="20"/>
              </w:rPr>
              <w:t xml:space="preserve"/>
            </w:r>
          </w:p>
        </w:tc>
        <w:tc>
          <w:tcPr>
            <w:tcW w:type="dxa" w:w="2160"/>
            <w:shd w:fill="F1EDE2" w:color="auto" w:val="clear"/>
            <w:tcMar>
              <w:top w:type="dxa" w:w="80"/>
              <w:left w:type="dxa" w:w="120"/>
              <w:bottom w:type="dxa" w:w="80"/>
              <w:right w:type="dxa" w:w="120"/>
            </w:tcMar>
          </w:tcPr>
          <w:p>
            <w:pPr>
              <w:spacing w:after="0" w:line="260"/>
              <w:jc w:val="right"/>
            </w:pPr>
            <w:r>
              <w:rPr>
                <w:rFonts w:ascii="Calibri" w:cs="Calibri" w:eastAsia="Calibri" w:hAnsi="Calibri"/>
                <w:b w:val="false"/>
                <w:bCs w:val="false"/>
                <w:color w:val="444444"/>
                <w:sz w:val="20"/>
                <w:szCs w:val="20"/>
              </w:rPr>
              <w:t xml:space="preserve">46.350 EUR</w:t>
            </w:r>
          </w:p>
        </w:tc>
      </w:tr>
    </w:tbl>
    <w:p>
      <w:pPr>
        <w:spacing w:after="120"/>
      </w:pPr>
    </w:p>
    <w:tbl>
      <w:tblPr>
        <w:tblW w:type="dxa" w:w="9360"/>
        <w:tblBorders>
          <w:top w:val="single" w:color="FFF4E5" w:sz="2"/>
          <w:left w:val="single" w:color="F0B429" w:sz="18"/>
          <w:bottom w:val="single" w:color="FFF4E5" w:sz="2"/>
          <w:right w:val="single" w:color="FFF4E5" w:sz="2"/>
          <w:insideH w:val="none" w:color="FFFFFF" w:sz="0"/>
          <w:insideV w:val="none" w:color="FFFFFF" w:sz="0"/>
        </w:tblBorders>
      </w:tblPr>
      <w:tblGrid>
        <w:gridCol w:w="9360"/>
      </w:tblGrid>
      <w:tr>
        <w:tc>
          <w:tcPr>
            <w:tcW w:type="dxa" w:w="9360"/>
            <w:shd w:fill="FFF4E5" w:color="auto" w:val="clear"/>
            <w:tcMar>
              <w:top w:type="dxa" w:w="120"/>
              <w:left w:type="dxa" w:w="180"/>
              <w:bottom w:type="dxa" w:w="120"/>
              <w:right w:type="dxa" w:w="160"/>
            </w:tcMar>
          </w:tcPr>
          <w:p>
            <w:pPr>
              <w:spacing w:after="60" w:before="60" w:line="260"/>
            </w:pPr>
            <w:r>
              <w:rPr>
                <w:rFonts w:ascii="Calibri" w:cs="Calibri" w:eastAsia="Calibri" w:hAnsi="Calibri"/>
                <w:b/>
                <w:bCs/>
                <w:color w:val="7A4A00"/>
                <w:sz w:val="20"/>
                <w:szCs w:val="20"/>
              </w:rPr>
              <w:t xml:space="preserve">Sprememba, ki jo mora prodaja poznati</w:t>
            </w:r>
          </w:p>
          <w:p>
            <w:pPr>
              <w:spacing w:after="60" w:line="260"/>
            </w:pPr>
            <w:r>
              <w:rPr>
                <w:rFonts w:ascii="Calibri" w:cs="Calibri" w:eastAsia="Calibri" w:hAnsi="Calibri"/>
                <w:color w:val="444444"/>
                <w:sz w:val="20"/>
                <w:szCs w:val="20"/>
              </w:rPr>
              <w:t xml:space="preserve">Do avgusta 2026 se je izmerjeni strošek množil dvakrat: enkrat z naslovljivim deležem (glavni vzrok) in še enkrat s »pasom izboljšave«, izpeljanim iz odgovora o sedanjem sistemu. Ker sta oba merila isto stvar — koliko problema je odpravljivega — je bil isti problem diskontiran dvakrat.</w:t>
            </w:r>
          </w:p>
          <w:p>
            <w:pPr>
              <w:spacing w:after="60" w:line="260"/>
            </w:pPr>
            <w:r>
              <w:rPr>
                <w:rFonts w:ascii="Calibri" w:cs="Calibri" w:eastAsia="Calibri" w:hAnsi="Calibri"/>
                <w:color w:val="444444"/>
                <w:sz w:val="20"/>
                <w:szCs w:val="20"/>
              </w:rPr>
              <w:t xml:space="preserve">Posledica: podjetju z 10.000 EUR izgube smo pokazali 1.875 EUR potenciala namesto 7.500 EUR. Danes velja en sam koeficient. Odgovor o sedanjem sistemu se še vedno vpraša, a je odslej prodajni signal za kvalifikacijo in v evre ne vstopa.</w:t>
            </w:r>
          </w:p>
        </w:tc>
      </w:tr>
    </w:tbl>
    <w:p>
      <w:pPr>
        <w:spacing w:after="120"/>
      </w:pPr>
    </w:p>
    <w:p>
      <w:pPr>
        <w:spacing w:after="120" w:before="0" w:line="276"/>
      </w:pPr>
      <w:r>
        <w:rPr>
          <w:rFonts w:ascii="Calibri" w:cs="Calibri" w:eastAsia="Calibri" w:hAnsi="Calibri"/>
          <w:b w:val="false"/>
          <w:bCs w:val="false"/>
          <w:i w:val="false"/>
          <w:iCs w:val="false"/>
          <w:color w:val="444444"/>
          <w:sz w:val="21"/>
          <w:szCs w:val="21"/>
        </w:rPr>
        <w:t xml:space="preserve">Ob potencialu na poročilu vedno stoji ograda: »Ni obljuba prihranka, ampak konservativen poslovni potencial, ki ga je mogoče preveriti na uvodnem sestanku.« Ta stavek ni okras — brez njega se konservativna ocena bere kot zaveza.</w:t>
      </w:r>
    </w:p>
    <w:p>
      <w:r>
        <w:br w:type="page"/>
      </w:r>
    </w:p>
    <w:p>
      <w:pPr>
        <w:pStyle w:val="Heading2"/>
        <w:spacing w:after="120" w:before="280"/>
      </w:pPr>
      <w:r>
        <w:rPr>
          <w:rFonts w:ascii="Calibri" w:cs="Calibri" w:eastAsia="Calibri" w:hAnsi="Calibri"/>
          <w:b/>
          <w:bCs/>
          <w:color w:val="8A600D"/>
          <w:sz w:val="24"/>
          <w:szCs w:val="24"/>
        </w:rPr>
        <w:t xml:space="preserve">5.8 Izpeljanke: tri leta, delovni dan, mesec</w:t>
      </w:r>
    </w:p>
    <w:p>
      <w:pPr>
        <w:spacing w:after="120" w:before="0" w:line="276"/>
      </w:pPr>
      <w:r>
        <w:rPr>
          <w:rFonts w:ascii="Calibri" w:cs="Calibri" w:eastAsia="Calibri" w:hAnsi="Calibri"/>
          <w:b w:val="false"/>
          <w:bCs w:val="false"/>
          <w:i w:val="false"/>
          <w:iCs w:val="false"/>
          <w:color w:val="444444"/>
          <w:sz w:val="21"/>
          <w:szCs w:val="21"/>
        </w:rPr>
        <w:t xml:space="preserve">Tri številke, ki nastanejo iz glavnega zneska brez novih predpostavk.</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2400"/>
        <w:gridCol w:w="3200"/>
        <w:gridCol w:w="3760"/>
      </w:tblGrid>
      <w:tr>
        <w:trPr>
          <w:tblHeader/>
        </w:trPr>
        <w:tc>
          <w:tcPr>
            <w:tcW w:type="dxa" w:w="2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Izpeljanka</w:t>
            </w:r>
          </w:p>
        </w:tc>
        <w:tc>
          <w:tcPr>
            <w:tcW w:type="dxa" w:w="32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Formula</w:t>
            </w:r>
          </w:p>
        </w:tc>
        <w:tc>
          <w:tcPr>
            <w:tcW w:type="dxa" w:w="37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Delovni primer</w:t>
            </w:r>
          </w:p>
        </w:tc>
      </w:tr>
      <w:tr>
        <w:tc>
          <w:tcPr>
            <w:tcW w:type="dxa" w:w="2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 treh letih</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letni znesek × 3</w:t>
            </w:r>
          </w:p>
        </w:tc>
        <w:tc>
          <w:tcPr>
            <w:tcW w:type="dxa" w:w="3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70.800 × 3 = 212.400 EUR</w:t>
            </w:r>
          </w:p>
        </w:tc>
      </w:tr>
      <w:tr>
        <w:tc>
          <w:tcPr>
            <w:tcW w:type="dxa" w:w="2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Na delovni dan</w:t>
            </w:r>
          </w:p>
        </w:tc>
        <w:tc>
          <w:tcPr>
            <w:tcW w:type="dxa" w:w="32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letni znesek ÷ 252</w:t>
            </w:r>
          </w:p>
        </w:tc>
        <w:tc>
          <w:tcPr>
            <w:tcW w:type="dxa" w:w="37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70.800 ÷ 252 = 281 EUR</w:t>
            </w:r>
          </w:p>
        </w:tc>
      </w:tr>
      <w:tr>
        <w:tc>
          <w:tcPr>
            <w:tcW w:type="dxa" w:w="2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Na mesec</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letni znesek ÷ 12</w:t>
            </w:r>
          </w:p>
        </w:tc>
        <w:tc>
          <w:tcPr>
            <w:tcW w:type="dxa" w:w="3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70.800 ÷ 12 = 5.900 EUR</w:t>
            </w:r>
          </w:p>
        </w:tc>
      </w:tr>
    </w:tbl>
    <w:p>
      <w:pPr>
        <w:spacing w:after="120"/>
      </w:pPr>
    </w:p>
    <w:p>
      <w:pPr>
        <w:pStyle w:val="ListParagraph"/>
        <w:numPr>
          <w:ilvl w:val="0"/>
          <w:numId w:val="2"/>
        </w:numPr>
        <w:spacing w:after="80" w:line="276"/>
      </w:pPr>
      <w:r>
        <w:rPr>
          <w:rFonts w:ascii="Calibri" w:cs="Calibri" w:eastAsia="Calibri" w:hAnsi="Calibri"/>
          <w:b/>
          <w:bCs/>
          <w:color w:val="444444"/>
          <w:sz w:val="21"/>
          <w:szCs w:val="21"/>
        </w:rPr>
        <w:t xml:space="preserve">Zakaj tri leta in ne pet: </w:t>
      </w:r>
      <w:r>
        <w:rPr>
          <w:rFonts w:ascii="Calibri" w:cs="Calibri" w:eastAsia="Calibri" w:hAnsi="Calibri"/>
          <w:color w:val="444444"/>
          <w:sz w:val="21"/>
          <w:szCs w:val="21"/>
        </w:rPr>
        <w:t xml:space="preserve">pri petih bi bila predpostavka o nespremenjenem poslovanju težko branljiva. Tri leta so hkrati sredina razpona, v katerem raziskave merijo dobo povračila ERP projektov (1,5–3 leta).</w:t>
      </w:r>
    </w:p>
    <w:p>
      <w:pPr>
        <w:pStyle w:val="ListParagraph"/>
        <w:numPr>
          <w:ilvl w:val="0"/>
          <w:numId w:val="2"/>
        </w:numPr>
        <w:spacing w:after="80" w:line="276"/>
      </w:pPr>
      <w:r>
        <w:rPr>
          <w:rFonts w:ascii="Calibri" w:cs="Calibri" w:eastAsia="Calibri" w:hAnsi="Calibri"/>
          <w:b/>
          <w:bCs/>
          <w:color w:val="444444"/>
          <w:sz w:val="21"/>
          <w:szCs w:val="21"/>
        </w:rPr>
        <w:t xml:space="preserve">Zakaj gola multiplikacija: </w:t>
      </w:r>
      <w:r>
        <w:rPr>
          <w:rFonts w:ascii="Calibri" w:cs="Calibri" w:eastAsia="Calibri" w:hAnsi="Calibri"/>
          <w:color w:val="444444"/>
          <w:sz w:val="21"/>
          <w:szCs w:val="21"/>
        </w:rPr>
        <w:t xml:space="preserve">brez rasti, inflacije in diskontiranja. Vsaka od teh predpostavk bi terjala svojo obrambo; gola multiplikacija je ne. Je celo konservativna, saj kapacitetne postavke rastejo s plačami.</w:t>
      </w:r>
    </w:p>
    <w:p>
      <w:pPr>
        <w:pStyle w:val="ListParagraph"/>
        <w:numPr>
          <w:ilvl w:val="0"/>
          <w:numId w:val="2"/>
        </w:numPr>
        <w:spacing w:after="80" w:line="276"/>
      </w:pPr>
      <w:r>
        <w:rPr>
          <w:rFonts w:ascii="Calibri" w:cs="Calibri" w:eastAsia="Calibri" w:hAnsi="Calibri"/>
          <w:b/>
          <w:bCs/>
          <w:color w:val="444444"/>
          <w:sz w:val="21"/>
          <w:szCs w:val="21"/>
        </w:rPr>
        <w:t xml:space="preserve">Zakaj 252 in ne 365 dni: </w:t>
      </w:r>
      <w:r>
        <w:rPr>
          <w:rFonts w:ascii="Calibri" w:cs="Calibri" w:eastAsia="Calibri" w:hAnsi="Calibri"/>
          <w:color w:val="444444"/>
          <w:sz w:val="21"/>
          <w:szCs w:val="21"/>
        </w:rPr>
        <w:t xml:space="preserve">znesek nastaja med delom, ne med prazniki. 252 je 261 delovnih dni minus prazniki na delovni dan — isti delitelj kot pri urnih postavkah.</w:t>
      </w:r>
    </w:p>
    <w:p>
      <w:pPr>
        <w:pStyle w:val="ListParagraph"/>
        <w:numPr>
          <w:ilvl w:val="0"/>
          <w:numId w:val="2"/>
        </w:numPr>
        <w:spacing w:after="80" w:line="276"/>
      </w:pPr>
      <w:r>
        <w:rPr>
          <w:rFonts w:ascii="Calibri" w:cs="Calibri" w:eastAsia="Calibri" w:hAnsi="Calibri"/>
          <w:b/>
          <w:bCs/>
          <w:color w:val="444444"/>
          <w:sz w:val="21"/>
          <w:szCs w:val="21"/>
        </w:rPr>
        <w:t xml:space="preserve">Kadar je glavni znesek razpon, </w:t>
      </w:r>
      <w:r>
        <w:rPr>
          <w:rFonts w:ascii="Calibri" w:cs="Calibri" w:eastAsia="Calibri" w:hAnsi="Calibri"/>
          <w:color w:val="444444"/>
          <w:sz w:val="21"/>
          <w:szCs w:val="21"/>
        </w:rPr>
        <w:t xml:space="preserve">je tudi trojni znesek razpon — v delovnem primeru 206.640 – 221.040 EUR. Cena delovnega dne in meseca pa se računata iz sredinske vrednosti, ker sta sidri za hitro preverbo na pamet in ne knjigovodski postavki.</w:t>
      </w:r>
    </w:p>
    <w:p>
      <w:pPr>
        <w:pStyle w:val="Heading2"/>
        <w:spacing w:after="120" w:before="280"/>
      </w:pPr>
      <w:r>
        <w:rPr>
          <w:rFonts w:ascii="Calibri" w:cs="Calibri" w:eastAsia="Calibri" w:hAnsi="Calibri"/>
          <w:b/>
          <w:bCs/>
          <w:color w:val="8A600D"/>
          <w:sz w:val="24"/>
          <w:szCs w:val="24"/>
        </w:rPr>
        <w:t xml:space="preserve">5.9 Povračilo investicije</w:t>
      </w:r>
    </w:p>
    <w:p>
      <w:pPr>
        <w:spacing w:after="120" w:before="0" w:line="276"/>
      </w:pPr>
      <w:r>
        <w:rPr>
          <w:rFonts w:ascii="Calibri" w:cs="Calibri" w:eastAsia="Calibri" w:hAnsi="Calibri"/>
          <w:b w:val="false"/>
          <w:bCs w:val="false"/>
          <w:i w:val="false"/>
          <w:iCs w:val="false"/>
          <w:color w:val="444444"/>
          <w:sz w:val="21"/>
          <w:szCs w:val="21"/>
        </w:rPr>
        <w:t xml:space="preserve">Tabela pokaže, v koliko mesecih se posamezna investicija povrne iz izračunanega letnega potenciala.</w:t>
      </w:r>
    </w:p>
    <w:p>
      <w:pPr>
        <w:spacing w:after="40" w:before="40" w:line="260"/>
      </w:pPr>
      <w:r>
        <w:rPr>
          <w:rFonts w:ascii="Consolas" w:cs="Consolas" w:eastAsia="Consolas" w:hAnsi="Consolas"/>
          <w:color w:val="231F20"/>
          <w:sz w:val="20"/>
          <w:szCs w:val="20"/>
        </w:rPr>
        <w:t xml:space="preserve">meseci  =  ( investicija  ÷  letni potencial )  ×  12</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3400"/>
        <w:gridCol w:w="5960"/>
      </w:tblGrid>
      <w:tr>
        <w:trPr>
          <w:tblHeader/>
        </w:trPr>
        <w:tc>
          <w:tcPr>
            <w:tcW w:type="dxa" w:w="3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Primerjalna investicija</w:t>
            </w:r>
          </w:p>
        </w:tc>
        <w:tc>
          <w:tcPr>
            <w:tcW w:type="dxa" w:w="59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Delovni primer (potencial 46.350 EUR)</w:t>
            </w:r>
          </w:p>
        </w:tc>
      </w:tr>
      <w:tr>
        <w:tc>
          <w:tcPr>
            <w:tcW w:type="dxa" w:w="3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30.000 EUR</w:t>
            </w:r>
          </w:p>
        </w:tc>
        <w:tc>
          <w:tcPr>
            <w:tcW w:type="dxa" w:w="5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8 mesecev</w:t>
            </w:r>
          </w:p>
        </w:tc>
      </w:tr>
      <w:tr>
        <w:tc>
          <w:tcPr>
            <w:tcW w:type="dxa" w:w="3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60.000 EUR</w:t>
            </w:r>
          </w:p>
        </w:tc>
        <w:tc>
          <w:tcPr>
            <w:tcW w:type="dxa" w:w="59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16 mesecev</w:t>
            </w:r>
          </w:p>
        </w:tc>
      </w:tr>
      <w:tr>
        <w:tc>
          <w:tcPr>
            <w:tcW w:type="dxa" w:w="3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120.000 EUR</w:t>
            </w:r>
          </w:p>
        </w:tc>
        <w:tc>
          <w:tcPr>
            <w:tcW w:type="dxa" w:w="59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31 mesecev</w:t>
            </w:r>
          </w:p>
        </w:tc>
      </w:tr>
    </w:tbl>
    <w:p>
      <w:pPr>
        <w:spacing w:after="120"/>
      </w:pPr>
    </w:p>
    <w:p>
      <w:pPr>
        <w:pStyle w:val="ListParagraph"/>
        <w:numPr>
          <w:ilvl w:val="0"/>
          <w:numId w:val="2"/>
        </w:numPr>
        <w:spacing w:after="80" w:line="276"/>
      </w:pPr>
      <w:r>
        <w:rPr>
          <w:rFonts w:ascii="Calibri" w:cs="Calibri" w:eastAsia="Calibri" w:hAnsi="Calibri"/>
          <w:color w:val="444444"/>
          <w:sz w:val="21"/>
          <w:szCs w:val="21"/>
        </w:rPr>
        <w:t xml:space="preserve">Stopnje niso cene PANTHEON. V celotni aplikaciji ni nobene cene; pod tabelo stoji izrecen stavek, da točen obseg in ceno potrdi svetovalec po veljavnem ceniku.</w:t>
      </w:r>
    </w:p>
    <w:p>
      <w:pPr>
        <w:pStyle w:val="ListParagraph"/>
        <w:numPr>
          <w:ilvl w:val="0"/>
          <w:numId w:val="2"/>
        </w:numPr>
        <w:spacing w:after="80" w:line="276"/>
      </w:pPr>
      <w:r>
        <w:rPr>
          <w:rFonts w:ascii="Calibri" w:cs="Calibri" w:eastAsia="Calibri" w:hAnsi="Calibri"/>
          <w:color w:val="444444"/>
          <w:sz w:val="21"/>
          <w:szCs w:val="21"/>
        </w:rPr>
        <w:t xml:space="preserve">Pri potencialu pod 10.000 EUR se tabela sploh ne izriše — vsaka stopnja bi dala dobo povračila v desetletjih in tabela bi delovala proti temu, kar naj pokaže.</w:t>
      </w:r>
    </w:p>
    <w:p>
      <w:pPr>
        <w:pStyle w:val="ListParagraph"/>
        <w:numPr>
          <w:ilvl w:val="0"/>
          <w:numId w:val="2"/>
        </w:numPr>
        <w:spacing w:after="80" w:line="276"/>
      </w:pPr>
      <w:r>
        <w:rPr>
          <w:rFonts w:ascii="Calibri" w:cs="Calibri" w:eastAsia="Calibri" w:hAnsi="Calibri"/>
          <w:color w:val="444444"/>
          <w:sz w:val="21"/>
          <w:szCs w:val="21"/>
        </w:rPr>
        <w:t xml:space="preserve">Primerjava se dela s potencialom, ne z glavnim zneskom. Investicija se povrne iz tega, kar je mogoče odpraviti, ne iz tega, kar podjetje izgublja.</w:t>
      </w:r>
    </w:p>
    <w:p>
      <w:pPr>
        <w:pStyle w:val="Heading2"/>
        <w:spacing w:after="120" w:before="280"/>
      </w:pPr>
      <w:r>
        <w:rPr>
          <w:rFonts w:ascii="Calibri" w:cs="Calibri" w:eastAsia="Calibri" w:hAnsi="Calibri"/>
          <w:b/>
          <w:bCs/>
          <w:color w:val="8A600D"/>
          <w:sz w:val="24"/>
          <w:szCs w:val="24"/>
        </w:rPr>
        <w:t xml:space="preserve">5.10 Kdaj je rezultat razpon in ne točka</w:t>
      </w:r>
    </w:p>
    <w:p>
      <w:pPr>
        <w:spacing w:after="120" w:before="0" w:line="276"/>
      </w:pPr>
      <w:r>
        <w:rPr>
          <w:rFonts w:ascii="Calibri" w:cs="Calibri" w:eastAsia="Calibri" w:hAnsi="Calibri"/>
          <w:b w:val="false"/>
          <w:bCs w:val="false"/>
          <w:i w:val="false"/>
          <w:iCs w:val="false"/>
          <w:color w:val="444444"/>
          <w:sz w:val="21"/>
          <w:szCs w:val="21"/>
        </w:rPr>
        <w:t xml:space="preserve">Če je katera od skupnih finančnih predpostavk izbrana kot razpon (»20–25 EUR«) ali prevzeta kot povprečje panoge, se celoten izračun požene dvakrat: enkrat s spodnjimi in enkrat z zgornjimi mejami vseh izbranih razponov. Rezultat se izpiše kot razpon.</w:t>
      </w: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Zakaj tako</w:t>
            </w:r>
          </w:p>
          <w:p>
            <w:pPr>
              <w:spacing w:after="60" w:line="260"/>
            </w:pPr>
            <w:r>
              <w:rPr>
                <w:rFonts w:ascii="Calibri" w:cs="Calibri" w:eastAsia="Calibri" w:hAnsi="Calibri"/>
                <w:color w:val="444444"/>
                <w:sz w:val="20"/>
                <w:szCs w:val="20"/>
              </w:rPr>
              <w:t xml:space="preserve">Sredina razpona je doslej vstopila v izračun kot točka: kdor je izbral »3–10 milijonov EUR«, je dobil izračun iz natanko 5,5 milijona — številke, ki je ni nikoli izrekel, prikazane z natančnostjo, ki je podatek nima.</w:t>
            </w:r>
          </w:p>
          <w:p>
            <w:pPr>
              <w:spacing w:after="60" w:line="260"/>
            </w:pPr>
            <w:r>
              <w:rPr>
                <w:rFonts w:ascii="Calibri" w:cs="Calibri" w:eastAsia="Calibri" w:hAnsi="Calibri"/>
                <w:color w:val="444444"/>
                <w:sz w:val="20"/>
                <w:szCs w:val="20"/>
              </w:rPr>
              <w:t xml:space="preserve">Vnesena vrednost ostane točka, ker je podatek. Razpon nastane samo iz razpršenosti predpostavk, nikoli iz druge ocene odpravljivosti.</w:t>
            </w:r>
          </w:p>
        </w:tc>
      </w:tr>
    </w:tbl>
    <w:p>
      <w:pPr>
        <w:spacing w:after="120"/>
      </w:pPr>
    </w:p>
    <w:p>
      <w:pPr>
        <w:spacing w:after="120" w:before="0" w:line="276"/>
      </w:pPr>
      <w:r>
        <w:rPr>
          <w:rFonts w:ascii="Calibri" w:cs="Calibri" w:eastAsia="Calibri" w:hAnsi="Calibri"/>
          <w:b w:val="false"/>
          <w:bCs w:val="false"/>
          <w:i w:val="false"/>
          <w:iCs w:val="false"/>
          <w:color w:val="444444"/>
          <w:sz w:val="21"/>
          <w:szCs w:val="21"/>
        </w:rPr>
        <w:t xml:space="preserve">V delovnem primeru je operativna ura izbrana kot razpon 20–25 EUR. Zato so vse postavke, ki jo množijo, izpisane v razponu, kapaciteta kot 23.880 – 28.680 EUR in glavni znesek kot 68.880 – 73.680 EUR. Administrativne postavke se ne premaknejo, ker je ta ura vnesena.</w:t>
      </w:r>
    </w:p>
    <w:p>
      <w:r>
        <w:br w:type="page"/>
      </w:r>
    </w:p>
    <w:p>
      <w:pPr>
        <w:pStyle w:val="Heading2"/>
        <w:spacing w:after="120" w:before="280"/>
      </w:pPr>
      <w:r>
        <w:rPr>
          <w:rFonts w:ascii="Calibri" w:cs="Calibri" w:eastAsia="Calibri" w:hAnsi="Calibri"/>
          <w:b/>
          <w:bCs/>
          <w:color w:val="8A600D"/>
          <w:sz w:val="24"/>
          <w:szCs w:val="24"/>
        </w:rPr>
        <w:t xml:space="preserve">5.11 Oznaka zanesljivosti</w:t>
      </w:r>
    </w:p>
    <w:p>
      <w:pPr>
        <w:spacing w:after="120" w:before="0" w:line="276"/>
      </w:pPr>
      <w:r>
        <w:rPr>
          <w:rFonts w:ascii="Calibri" w:cs="Calibri" w:eastAsia="Calibri" w:hAnsi="Calibri"/>
          <w:b w:val="false"/>
          <w:bCs w:val="false"/>
          <w:i w:val="false"/>
          <w:iCs w:val="false"/>
          <w:color w:val="444444"/>
          <w:sz w:val="21"/>
          <w:szCs w:val="21"/>
        </w:rPr>
        <w:t xml:space="preserve">Ob glavnem znesku stoji oznaka in ena poved, zakaj je taka. Kalkulator, ki ob skoraj praznem obrazcu pokaže natančen znesek, ni verodostojen.</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1400"/>
        <w:gridCol w:w="5400"/>
        <w:gridCol w:w="2560"/>
      </w:tblGrid>
      <w:tr>
        <w:trPr>
          <w:tblHeader/>
        </w:trPr>
        <w:tc>
          <w:tcPr>
            <w:tcW w:type="dxa" w:w="1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Oznaka</w:t>
            </w:r>
          </w:p>
        </w:tc>
        <w:tc>
          <w:tcPr>
            <w:tcW w:type="dxa" w:w="54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Kdaj</w:t>
            </w:r>
          </w:p>
        </w:tc>
        <w:tc>
          <w:tcPr>
            <w:tcW w:type="dxa" w:w="25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 naredi s prikazom</w:t>
            </w:r>
          </w:p>
        </w:tc>
      </w:tr>
      <w:tr>
        <w:tc>
          <w:tcPr>
            <w:tcW w:type="dxa" w:w="1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Visoka</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Nobena finančna predpostavka ni ocenjena, ni odgovorov »Ne vem«, izpolnjenih je vsaj 80 % polj.</w:t>
            </w:r>
          </w:p>
        </w:tc>
        <w:tc>
          <w:tcPr>
            <w:tcW w:type="dxa" w:w="25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zneski se izpišejo takšni, kot so</w:t>
            </w:r>
          </w:p>
        </w:tc>
      </w:tr>
      <w:tr>
        <w:tc>
          <w:tcPr>
            <w:tcW w:type="dxa" w:w="14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Srednja</w:t>
            </w:r>
          </w:p>
        </w:tc>
        <w:tc>
          <w:tcPr>
            <w:tcW w:type="dxa" w:w="54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Vse ostalo.</w:t>
            </w:r>
          </w:p>
        </w:tc>
        <w:tc>
          <w:tcPr>
            <w:tcW w:type="dxa" w:w="25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zneski se izpišejo takšni, kot so</w:t>
            </w:r>
          </w:p>
        </w:tc>
      </w:tr>
      <w:tr>
        <w:tc>
          <w:tcPr>
            <w:tcW w:type="dxa" w:w="14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Nizka</w:t>
            </w:r>
          </w:p>
        </w:tc>
        <w:tc>
          <w:tcPr>
            <w:tcW w:type="dxa" w:w="54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Izpolnjeno je 50 % polj ali manj; ali so vse finančne predpostavke ocenjene; ali manjka prihodek, ki ga izpolnjeno področje potrebuje.</w:t>
            </w:r>
          </w:p>
        </w:tc>
        <w:tc>
          <w:tcPr>
            <w:tcW w:type="dxa" w:w="25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zneski dobijo predpono »najmanj«</w:t>
            </w:r>
          </w:p>
        </w:tc>
      </w:tr>
    </w:tbl>
    <w:p>
      <w:pPr>
        <w:spacing w:after="120"/>
      </w:pPr>
    </w:p>
    <w:p>
      <w:pPr>
        <w:pStyle w:val="ListParagraph"/>
        <w:numPr>
          <w:ilvl w:val="0"/>
          <w:numId w:val="2"/>
        </w:numPr>
        <w:spacing w:after="80" w:line="276"/>
      </w:pPr>
      <w:r>
        <w:rPr>
          <w:rFonts w:ascii="Calibri" w:cs="Calibri" w:eastAsia="Calibri" w:hAnsi="Calibri"/>
          <w:b/>
          <w:bCs/>
          <w:color w:val="444444"/>
          <w:sz w:val="21"/>
          <w:szCs w:val="21"/>
        </w:rPr>
        <w:t xml:space="preserve">Utež je denar, ne število odgovorov. </w:t>
      </w:r>
      <w:r>
        <w:rPr>
          <w:rFonts w:ascii="Calibri" w:cs="Calibri" w:eastAsia="Calibri" w:hAnsi="Calibri"/>
          <w:color w:val="444444"/>
          <w:sz w:val="21"/>
          <w:szCs w:val="21"/>
        </w:rPr>
        <w:t xml:space="preserve">Neizpolnjeno polje za 500 EUR in neizpolnjeno polje za 80.000 EUR sta nekoč štela enako — oznaka je merila potrpežljivost obiskovalca namesto zanesljivosti zneska. Danes so področja tehtana po svojem denarnem izidu.</w:t>
      </w:r>
    </w:p>
    <w:p>
      <w:pPr>
        <w:pStyle w:val="ListParagraph"/>
        <w:numPr>
          <w:ilvl w:val="0"/>
          <w:numId w:val="2"/>
        </w:numPr>
        <w:spacing w:after="80" w:line="276"/>
      </w:pPr>
      <w:r>
        <w:rPr>
          <w:rFonts w:ascii="Calibri" w:cs="Calibri" w:eastAsia="Calibri" w:hAnsi="Calibri"/>
          <w:b/>
          <w:bCs/>
          <w:color w:val="444444"/>
          <w:sz w:val="21"/>
          <w:szCs w:val="21"/>
        </w:rPr>
        <w:t xml:space="preserve">»Ne vem« je odgovor, ne podatek. </w:t>
      </w:r>
      <w:r>
        <w:rPr>
          <w:rFonts w:ascii="Calibri" w:cs="Calibri" w:eastAsia="Calibri" w:hAnsi="Calibri"/>
          <w:color w:val="444444"/>
          <w:sz w:val="21"/>
          <w:szCs w:val="21"/>
        </w:rPr>
        <w:t xml:space="preserve">Ne šteje med izpolnjena polja in prepreči najvišjo oznako, hkrati pa v izračun vstopi kot 0 in ne kot negativna vrednost.</w:t>
      </w:r>
    </w:p>
    <w:p>
      <w:pPr>
        <w:pStyle w:val="ListParagraph"/>
        <w:numPr>
          <w:ilvl w:val="0"/>
          <w:numId w:val="2"/>
        </w:numPr>
        <w:spacing w:after="80" w:line="276"/>
      </w:pPr>
      <w:r>
        <w:rPr>
          <w:rFonts w:ascii="Calibri" w:cs="Calibri" w:eastAsia="Calibri" w:hAnsi="Calibri"/>
          <w:b/>
          <w:bCs/>
          <w:color w:val="444444"/>
          <w:sz w:val="21"/>
          <w:szCs w:val="21"/>
        </w:rPr>
        <w:t xml:space="preserve">Nedotaknjeno področje se ne šteje. </w:t>
      </w:r>
      <w:r>
        <w:rPr>
          <w:rFonts w:ascii="Calibri" w:cs="Calibri" w:eastAsia="Calibri" w:hAnsi="Calibri"/>
          <w:color w:val="444444"/>
          <w:sz w:val="21"/>
          <w:szCs w:val="21"/>
        </w:rPr>
        <w:t xml:space="preserve">Področje, ki ga je obiskovalec izbral in pustil prazno, prispeva 0 EUR — različna oznaka za isti znesek bi merila nekaj drugega kot kakovost podatkov. Namesto tega se pokaže po imenu v razdelku »Česa nismo izmerili«.</w:t>
      </w:r>
    </w:p>
    <w:p>
      <w:pPr>
        <w:pStyle w:val="ListParagraph"/>
        <w:numPr>
          <w:ilvl w:val="0"/>
          <w:numId w:val="2"/>
        </w:numPr>
        <w:spacing w:after="80" w:line="276"/>
      </w:pPr>
      <w:r>
        <w:rPr>
          <w:rFonts w:ascii="Calibri" w:cs="Calibri" w:eastAsia="Calibri" w:hAnsi="Calibri"/>
          <w:b/>
          <w:bCs/>
          <w:color w:val="444444"/>
          <w:sz w:val="21"/>
          <w:szCs w:val="21"/>
        </w:rPr>
        <w:t xml:space="preserve">Razlog je izračunan, ne splošen. </w:t>
      </w:r>
      <w:r>
        <w:rPr>
          <w:rFonts w:ascii="Calibri" w:cs="Calibri" w:eastAsia="Calibri" w:hAnsi="Calibri"/>
          <w:color w:val="444444"/>
          <w:sz w:val="21"/>
          <w:szCs w:val="21"/>
        </w:rPr>
        <w:t xml:space="preserve">Pri nizki oznaki poročilo ne trdi več »podatki manjkajo«, kadar so vsa polja vnesena in sta le urni postavki panožna ocena — pove točno to.</w:t>
      </w:r>
    </w:p>
    <w:p>
      <w:pPr>
        <w:pStyle w:val="Heading2"/>
        <w:spacing w:after="120" w:before="280"/>
      </w:pPr>
      <w:r>
        <w:rPr>
          <w:rFonts w:ascii="Calibri" w:cs="Calibri" w:eastAsia="Calibri" w:hAnsi="Calibri"/>
          <w:b/>
          <w:bCs/>
          <w:color w:val="8A600D"/>
          <w:sz w:val="24"/>
          <w:szCs w:val="24"/>
        </w:rPr>
        <w:t xml:space="preserve">5.12 Pokritost izračuna</w:t>
      </w:r>
    </w:p>
    <w:p>
      <w:pPr>
        <w:spacing w:after="120" w:before="0" w:line="276"/>
      </w:pPr>
      <w:r>
        <w:rPr>
          <w:rFonts w:ascii="Calibri" w:cs="Calibri" w:eastAsia="Calibri" w:hAnsi="Calibri"/>
          <w:b w:val="false"/>
          <w:bCs w:val="false"/>
          <w:i w:val="false"/>
          <w:iCs w:val="false"/>
          <w:color w:val="444444"/>
          <w:sz w:val="21"/>
          <w:szCs w:val="21"/>
        </w:rPr>
        <w:t xml:space="preserve">Tik pod glavnim zneskom stoji vrstica v slogu »Izmerjeno 3 od 10 področij — neizmerjena v zneske ne vstopajo«.</w:t>
      </w:r>
    </w:p>
    <w:p>
      <w:pPr>
        <w:spacing w:after="120" w:before="0" w:line="276"/>
      </w:pPr>
      <w:r>
        <w:rPr>
          <w:rFonts w:ascii="Calibri" w:cs="Calibri" w:eastAsia="Calibri" w:hAnsi="Calibri"/>
          <w:b w:val="false"/>
          <w:bCs w:val="false"/>
          <w:i w:val="false"/>
          <w:iCs w:val="false"/>
          <w:color w:val="444444"/>
          <w:sz w:val="21"/>
          <w:szCs w:val="21"/>
        </w:rPr>
        <w:t xml:space="preserve">To je ena najpomembnejših vrstic na dokumentu in hkrati najmočnejša prodajna iztočnica. Vprašalnik ponudi 7 do 10 področij, podrobna vprašanja pa zastavi le trem z najvišjo triažno oceno. Preostala v znesek ne vstopajo z nobenim evrom — čeprav jih je obiskovalec sam ocenil kot boleča.</w:t>
      </w:r>
    </w:p>
    <w:p>
      <w:pPr>
        <w:spacing w:after="120" w:before="0" w:line="276"/>
      </w:pPr>
      <w:r>
        <w:rPr>
          <w:rFonts w:ascii="Calibri" w:cs="Calibri" w:eastAsia="Calibri" w:hAnsi="Calibri"/>
          <w:b w:val="false"/>
          <w:bCs w:val="false"/>
          <w:i w:val="false"/>
          <w:iCs w:val="false"/>
          <w:color w:val="444444"/>
          <w:sz w:val="21"/>
          <w:szCs w:val="21"/>
        </w:rPr>
        <w:t xml:space="preserve">Zato se ta področja poimensko naštejejo v razdelku »Česa nismo izmerili«, skupaj z obiskovalčevo lastno oceno. Področje z oceno »skoraj vsak dan« in brez zneska je najboljši razlog za pogovor, kar jih poročilo ponudi.</w:t>
      </w:r>
    </w:p>
    <w:p>
      <w:pPr>
        <w:pStyle w:val="Heading2"/>
        <w:spacing w:after="120" w:before="280"/>
      </w:pPr>
      <w:r>
        <w:rPr>
          <w:rFonts w:ascii="Calibri" w:cs="Calibri" w:eastAsia="Calibri" w:hAnsi="Calibri"/>
          <w:b/>
          <w:bCs/>
          <w:color w:val="8A600D"/>
          <w:sz w:val="24"/>
          <w:szCs w:val="24"/>
        </w:rPr>
        <w:t xml:space="preserve">5.13 Posebnost računovodskih servisov</w:t>
      </w:r>
    </w:p>
    <w:p>
      <w:pPr>
        <w:spacing w:after="120" w:before="0" w:line="276"/>
      </w:pPr>
      <w:r>
        <w:rPr>
          <w:rFonts w:ascii="Calibri" w:cs="Calibri" w:eastAsia="Calibri" w:hAnsi="Calibri"/>
          <w:b w:val="false"/>
          <w:bCs w:val="false"/>
          <w:i w:val="false"/>
          <w:iCs w:val="false"/>
          <w:color w:val="444444"/>
          <w:sz w:val="21"/>
          <w:szCs w:val="21"/>
        </w:rPr>
        <w:t xml:space="preserve">Računovodski servis dobi nad glavnim zneskom še rumeni pas z drugačno številko:</w:t>
      </w:r>
    </w:p>
    <w:p>
      <w:pPr>
        <w:spacing w:after="40" w:before="40" w:line="260"/>
      </w:pPr>
      <w:r>
        <w:rPr>
          <w:rFonts w:ascii="Consolas" w:cs="Consolas" w:eastAsia="Consolas" w:hAnsi="Consolas"/>
          <w:color w:val="231F20"/>
          <w:sz w:val="20"/>
          <w:szCs w:val="20"/>
        </w:rPr>
        <w:t xml:space="preserve">dodatne stranke  =  sproščene ure na mesec  ÷  povprečne ure na stranko na mesec</w:t>
      </w:r>
    </w:p>
    <w:p>
      <w:pPr>
        <w:spacing w:after="120" w:before="0" w:line="276"/>
      </w:pPr>
      <w:r>
        <w:rPr>
          <w:rFonts w:ascii="Calibri" w:cs="Calibri" w:eastAsia="Calibri" w:hAnsi="Calibri"/>
          <w:b w:val="false"/>
          <w:bCs w:val="false"/>
          <w:i w:val="false"/>
          <w:iCs w:val="false"/>
          <w:color w:val="444444"/>
          <w:sz w:val="21"/>
          <w:szCs w:val="21"/>
        </w:rPr>
        <w:t xml:space="preserve">Delitelj ni skrita konstanta — vpraša ga področje »Neobračunano delo in donosnost strank«. Rezerva iz nastavitev segmenta se uporabi le, kadar tega področja obiskovalec ni izbral.</w:t>
      </w:r>
    </w:p>
    <w:p>
      <w:pPr>
        <w:spacing w:after="120" w:before="0" w:line="276"/>
      </w:pPr>
      <w:r>
        <w:rPr>
          <w:rFonts w:ascii="Calibri" w:cs="Calibri" w:eastAsia="Calibri" w:hAnsi="Calibri"/>
          <w:b w:val="false"/>
          <w:bCs w:val="false"/>
          <w:i w:val="false"/>
          <w:iCs w:val="false"/>
          <w:color w:val="444444"/>
          <w:sz w:val="21"/>
          <w:szCs w:val="21"/>
        </w:rPr>
        <w:t xml:space="preserve">Servis kot edina dejavnost tudi nima koša sprostljivega kapitala: zalog ne drži in si obratnega kapitala ne more sprostiti. Vsiljena postavka bi bila prazna številka, ki bi na zaslonu delovala kot prihranek.</w:t>
      </w:r>
    </w:p>
    <w:p>
      <w:r>
        <w:br w:type="page"/>
      </w:r>
    </w:p>
    <w:p>
      <w:pPr>
        <w:pStyle w:val="Heading1"/>
        <w:spacing w:after="160" w:before="360"/>
      </w:pPr>
      <w:r>
        <w:rPr>
          <w:rFonts w:ascii="Calibri" w:cs="Calibri" w:eastAsia="Calibri" w:hAnsi="Calibri"/>
          <w:b/>
          <w:bCs/>
          <w:color w:val="231F20"/>
          <w:sz w:val="30"/>
          <w:szCs w:val="30"/>
        </w:rPr>
        <w:t xml:space="preserve">6. Deli poročila brez zneska</w:t>
      </w:r>
    </w:p>
    <w:p>
      <w:pPr>
        <w:pStyle w:val="Heading2"/>
        <w:spacing w:after="120" w:before="280"/>
      </w:pPr>
      <w:r>
        <w:rPr>
          <w:rFonts w:ascii="Calibri" w:cs="Calibri" w:eastAsia="Calibri" w:hAnsi="Calibri"/>
          <w:b/>
          <w:bCs/>
          <w:color w:val="8A600D"/>
          <w:sz w:val="24"/>
          <w:szCs w:val="24"/>
        </w:rPr>
        <w:t xml:space="preserve">6.1 Kako smo računali</w:t>
      </w:r>
    </w:p>
    <w:p>
      <w:pPr>
        <w:spacing w:after="120" w:before="0" w:line="276"/>
      </w:pPr>
      <w:r>
        <w:rPr>
          <w:rFonts w:ascii="Calibri" w:cs="Calibri" w:eastAsia="Calibri" w:hAnsi="Calibri"/>
          <w:b w:val="false"/>
          <w:bCs w:val="false"/>
          <w:i w:val="false"/>
          <w:iCs w:val="false"/>
          <w:color w:val="444444"/>
          <w:sz w:val="21"/>
          <w:szCs w:val="21"/>
        </w:rPr>
        <w:t xml:space="preserve">Za vsako izmerjeno področje poročilo izpiše formulo, en stavek o tem, zakaj se računa tako, in alineje »PANTHEON naslavlja«. To je edini del, ki izračun poveže z izdelkom — a brez cen in brez obljub.</w:t>
      </w:r>
    </w:p>
    <w:p>
      <w:pPr>
        <w:spacing w:after="120" w:before="0" w:line="276"/>
      </w:pPr>
      <w:r>
        <w:rPr>
          <w:rFonts w:ascii="Calibri" w:cs="Calibri" w:eastAsia="Calibri" w:hAnsi="Calibri"/>
          <w:b w:val="false"/>
          <w:bCs w:val="false"/>
          <w:i w:val="false"/>
          <w:iCs w:val="false"/>
          <w:color w:val="444444"/>
          <w:sz w:val="21"/>
          <w:szCs w:val="21"/>
        </w:rPr>
        <w:t xml:space="preserve">Blok se izpiše enkrat na področje in ne pod vsako tabelo. Področje, ki polni dva koša, bi sicer isti blok dobilo dvakrat.</w:t>
      </w:r>
    </w:p>
    <w:p>
      <w:pPr>
        <w:pStyle w:val="Heading2"/>
        <w:spacing w:after="120" w:before="280"/>
      </w:pPr>
      <w:r>
        <w:rPr>
          <w:rFonts w:ascii="Calibri" w:cs="Calibri" w:eastAsia="Calibri" w:hAnsi="Calibri"/>
          <w:b/>
          <w:bCs/>
          <w:color w:val="8A600D"/>
          <w:sz w:val="24"/>
          <w:szCs w:val="24"/>
        </w:rPr>
        <w:t xml:space="preserve">6.2 Podatki in procesna tveganja</w:t>
      </w:r>
    </w:p>
    <w:p>
      <w:pPr>
        <w:spacing w:after="120" w:before="0" w:line="276"/>
      </w:pPr>
      <w:r>
        <w:rPr>
          <w:rFonts w:ascii="Calibri" w:cs="Calibri" w:eastAsia="Calibri" w:hAnsi="Calibri"/>
          <w:b w:val="false"/>
          <w:bCs w:val="false"/>
          <w:i w:val="false"/>
          <w:iCs w:val="false"/>
          <w:color w:val="444444"/>
          <w:sz w:val="21"/>
          <w:szCs w:val="21"/>
        </w:rPr>
        <w:t xml:space="preserve">Diagnostična vprašanja o zanesljivosti podatkov in odpornosti procesa dajo oceno brez zneska: nizko, srednje ali visoko tveganje.</w:t>
      </w: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Zakaj namenoma brez zneska</w:t>
            </w:r>
          </w:p>
          <w:p>
            <w:pPr>
              <w:spacing w:after="60" w:line="260"/>
            </w:pPr>
            <w:r>
              <w:rPr>
                <w:rFonts w:ascii="Calibri" w:cs="Calibri" w:eastAsia="Calibri" w:hAnsi="Calibri"/>
                <w:color w:val="444444"/>
                <w:sz w:val="20"/>
                <w:szCs w:val="20"/>
              </w:rPr>
              <w:t xml:space="preserve">Kjer ni kalkulacije ali sledljivosti, natančnega zneska ni mogoče izračunati. Navidezno natančna številka bi prav to težavo skrila.</w:t>
            </w:r>
          </w:p>
          <w:p>
            <w:pPr>
              <w:spacing w:after="60" w:line="260"/>
            </w:pPr>
            <w:r>
              <w:rPr>
                <w:rFonts w:ascii="Calibri" w:cs="Calibri" w:eastAsia="Calibri" w:hAnsi="Calibri"/>
                <w:color w:val="444444"/>
                <w:sz w:val="20"/>
                <w:szCs w:val="20"/>
              </w:rPr>
              <w:t xml:space="preserve">Kadar obiskovalec na diagnostiko ne odgovori, poročilo ne izpiše »nizko tveganje«, ampak »ni ocenjeno«. Sodba o podjetju brez enega samega podatka o podjetju je slabša od odsotnosti sodbe.</w:t>
            </w:r>
          </w:p>
        </w:tc>
      </w:tr>
    </w:tbl>
    <w:p>
      <w:pPr>
        <w:pStyle w:val="Heading2"/>
        <w:spacing w:after="120" w:before="280"/>
      </w:pPr>
      <w:r>
        <w:rPr>
          <w:rFonts w:ascii="Calibri" w:cs="Calibri" w:eastAsia="Calibri" w:hAnsi="Calibri"/>
          <w:b/>
          <w:bCs/>
          <w:color w:val="8A600D"/>
          <w:sz w:val="24"/>
          <w:szCs w:val="24"/>
        </w:rPr>
        <w:t xml:space="preserve">6.3 Česa ta znesek ne vsebuje</w:t>
      </w:r>
    </w:p>
    <w:p>
      <w:pPr>
        <w:spacing w:after="120" w:before="0" w:line="276"/>
      </w:pPr>
      <w:r>
        <w:rPr>
          <w:rFonts w:ascii="Calibri" w:cs="Calibri" w:eastAsia="Calibri" w:hAnsi="Calibri"/>
          <w:b w:val="false"/>
          <w:bCs w:val="false"/>
          <w:i w:val="false"/>
          <w:iCs w:val="false"/>
          <w:color w:val="444444"/>
          <w:sz w:val="21"/>
          <w:szCs w:val="21"/>
        </w:rPr>
        <w:t xml:space="preserve">Zbrane ograde na enem mestu, takoj za glavnim zneskom in ne v drobnem tisku na koncu:</w:t>
      </w:r>
    </w:p>
    <w:p>
      <w:pPr>
        <w:pStyle w:val="ListParagraph"/>
        <w:numPr>
          <w:ilvl w:val="0"/>
          <w:numId w:val="3"/>
        </w:numPr>
        <w:spacing w:after="80" w:line="276"/>
      </w:pPr>
      <w:r>
        <w:rPr>
          <w:rFonts w:ascii="Calibri" w:cs="Calibri" w:eastAsia="Calibri" w:hAnsi="Calibri"/>
          <w:color w:val="444444"/>
          <w:sz w:val="21"/>
          <w:szCs w:val="21"/>
        </w:rPr>
        <w:t xml:space="preserve">Režije na sproščene ure — najemnina, vodenje in amortizacija tečejo naprej, zato jih ne štejemo.</w:t>
      </w:r>
    </w:p>
    <w:p>
      <w:pPr>
        <w:pStyle w:val="ListParagraph"/>
        <w:numPr>
          <w:ilvl w:val="0"/>
          <w:numId w:val="3"/>
        </w:numPr>
        <w:spacing w:after="80" w:line="276"/>
      </w:pPr>
      <w:r>
        <w:rPr>
          <w:rFonts w:ascii="Calibri" w:cs="Calibri" w:eastAsia="Calibri" w:hAnsi="Calibri"/>
          <w:color w:val="444444"/>
          <w:sz w:val="21"/>
          <w:szCs w:val="21"/>
        </w:rPr>
        <w:t xml:space="preserve">Rasti podjetja in rasti plač; izračun stoji pri današnjem obsegu in današnjih postavkah.</w:t>
      </w:r>
    </w:p>
    <w:p>
      <w:pPr>
        <w:pStyle w:val="ListParagraph"/>
        <w:numPr>
          <w:ilvl w:val="0"/>
          <w:numId w:val="3"/>
        </w:numPr>
        <w:spacing w:after="80" w:line="276"/>
      </w:pPr>
      <w:r>
        <w:rPr>
          <w:rFonts w:ascii="Calibri" w:cs="Calibri" w:eastAsia="Calibri" w:hAnsi="Calibri"/>
          <w:color w:val="444444"/>
          <w:sz w:val="21"/>
          <w:szCs w:val="21"/>
        </w:rPr>
        <w:t xml:space="preserve">Področij, ki jih obiskovalec ni izmeril — ta v znesek ne vstopajo z nobenim evrom.</w:t>
      </w:r>
    </w:p>
    <w:p>
      <w:pPr>
        <w:pStyle w:val="ListParagraph"/>
        <w:numPr>
          <w:ilvl w:val="0"/>
          <w:numId w:val="3"/>
        </w:numPr>
        <w:spacing w:after="80" w:line="276"/>
      </w:pPr>
      <w:r>
        <w:rPr>
          <w:rFonts w:ascii="Calibri" w:cs="Calibri" w:eastAsia="Calibri" w:hAnsi="Calibri"/>
          <w:color w:val="444444"/>
          <w:sz w:val="21"/>
          <w:szCs w:val="21"/>
        </w:rPr>
        <w:t xml:space="preserve">Vsega, kar je označil z »Ne vem«: tam je vzeta najbolj zadržana vrednost.</w:t>
      </w:r>
    </w:p>
    <w:p>
      <w:pPr>
        <w:spacing w:after="60"/>
      </w:pPr>
    </w:p>
    <w:p>
      <w:pPr>
        <w:spacing w:after="120" w:before="0" w:line="276"/>
      </w:pPr>
      <w:r>
        <w:rPr>
          <w:rFonts w:ascii="Calibri" w:cs="Calibri" w:eastAsia="Calibri" w:hAnsi="Calibri"/>
          <w:b/>
          <w:bCs/>
          <w:i w:val="false"/>
          <w:iCs w:val="false"/>
          <w:color w:val="444444"/>
          <w:sz w:val="21"/>
          <w:szCs w:val="21"/>
        </w:rPr>
        <w:t xml:space="preserve">Sklepni stavek bloka: »Dejanski strošek je torej višji od prikazanega, ne nižji.«</w:t>
      </w:r>
    </w:p>
    <w:p>
      <w:pPr>
        <w:spacing w:after="120" w:before="0" w:line="276"/>
      </w:pPr>
      <w:r>
        <w:rPr>
          <w:rFonts w:ascii="Calibri" w:cs="Calibri" w:eastAsia="Calibri" w:hAnsi="Calibri"/>
          <w:b w:val="false"/>
          <w:bCs w:val="false"/>
          <w:i w:val="false"/>
          <w:iCs w:val="false"/>
          <w:color w:val="5B6773"/>
          <w:sz w:val="19"/>
          <w:szCs w:val="19"/>
        </w:rPr>
        <w:t xml:space="preserve">To je razlika med konservativno oceno in podcenjeno — in razlog, da poročilo prenese branje pri finančniku.</w:t>
      </w:r>
    </w:p>
    <w:p>
      <w:pPr>
        <w:pStyle w:val="Heading2"/>
        <w:spacing w:after="120" w:before="280"/>
      </w:pPr>
      <w:r>
        <w:rPr>
          <w:rFonts w:ascii="Calibri" w:cs="Calibri" w:eastAsia="Calibri" w:hAnsi="Calibri"/>
          <w:b/>
          <w:bCs/>
          <w:color w:val="8A600D"/>
          <w:sz w:val="24"/>
          <w:szCs w:val="24"/>
        </w:rPr>
        <w:t xml:space="preserve">6.4 Trije ukrepi ta teden</w:t>
      </w:r>
    </w:p>
    <w:p>
      <w:pPr>
        <w:spacing w:after="120" w:before="0" w:line="276"/>
      </w:pPr>
      <w:r>
        <w:rPr>
          <w:rFonts w:ascii="Calibri" w:cs="Calibri" w:eastAsia="Calibri" w:hAnsi="Calibri"/>
          <w:b w:val="false"/>
          <w:bCs w:val="false"/>
          <w:i w:val="false"/>
          <w:iCs w:val="false"/>
          <w:color w:val="444444"/>
          <w:sz w:val="21"/>
          <w:szCs w:val="21"/>
        </w:rPr>
        <w:t xml:space="preserve">Trije konkretni ukrepi za področje z največjim letnim zneskom. Področje se določi po vsoti letnih košev; sprostljiv kapital pri tem ne šteje, ker bi ena velika zaloga povozila vse ostalo, ukrepi pa morajo naslavljati ponavljajočo se izgubo.</w:t>
      </w:r>
    </w:p>
    <w:p>
      <w:pPr>
        <w:spacing w:after="120" w:before="0" w:line="276"/>
      </w:pPr>
      <w:r>
        <w:rPr>
          <w:rFonts w:ascii="Calibri" w:cs="Calibri" w:eastAsia="Calibri" w:hAnsi="Calibri"/>
          <w:b w:val="false"/>
          <w:bCs w:val="false"/>
          <w:i w:val="false"/>
          <w:iCs w:val="false"/>
          <w:color w:val="444444"/>
          <w:sz w:val="21"/>
          <w:szCs w:val="21"/>
        </w:rPr>
        <w:t xml:space="preserve">V delovnem primeru je največje področje Izmet in kakovost, zato poročilo predlaga: primerjavo dejanske porabe z normativom pri desetih izdelkih z največ izmeta, mesečno beleženje vzroka vsake dodelave in preverbo ažurnosti sestavnic.</w:t>
      </w:r>
    </w:p>
    <w:p>
      <w:pPr>
        <w:spacing w:after="120" w:before="0" w:line="276"/>
      </w:pPr>
      <w:r>
        <w:rPr>
          <w:rFonts w:ascii="Calibri" w:cs="Calibri" w:eastAsia="Calibri" w:hAnsi="Calibri"/>
          <w:b w:val="false"/>
          <w:bCs w:val="false"/>
          <w:i w:val="false"/>
          <w:iCs w:val="false"/>
          <w:color w:val="5B6773"/>
          <w:sz w:val="19"/>
          <w:szCs w:val="19"/>
        </w:rPr>
        <w:t xml:space="preserve">Ukrepi so namenoma taki, da jih je mogoče izvesti brez nakupa česarkoli. To je tudi razlog, da dokument deluje kot lead magnet in ne kot prodajno gradivo.</w:t>
      </w:r>
    </w:p>
    <w:p>
      <w:pPr>
        <w:pStyle w:val="Heading2"/>
        <w:spacing w:after="120" w:before="280"/>
      </w:pPr>
      <w:r>
        <w:rPr>
          <w:rFonts w:ascii="Calibri" w:cs="Calibri" w:eastAsia="Calibri" w:hAnsi="Calibri"/>
          <w:b/>
          <w:bCs/>
          <w:color w:val="8A600D"/>
          <w:sz w:val="24"/>
          <w:szCs w:val="24"/>
        </w:rPr>
        <w:t xml:space="preserve">6.5 Naslednji korak</w:t>
      </w:r>
    </w:p>
    <w:p>
      <w:pPr>
        <w:spacing w:after="120" w:before="0" w:line="276"/>
      </w:pPr>
      <w:r>
        <w:rPr>
          <w:rFonts w:ascii="Calibri" w:cs="Calibri" w:eastAsia="Calibri" w:hAnsi="Calibri"/>
          <w:b w:val="false"/>
          <w:bCs w:val="false"/>
          <w:i w:val="false"/>
          <w:iCs w:val="false"/>
          <w:color w:val="444444"/>
          <w:sz w:val="21"/>
          <w:szCs w:val="21"/>
        </w:rPr>
        <w:t xml:space="preserve">Zadnji blok je kontakt prodaje s telefonsko številko in e-naslovom. Dokument po lastni obljubi kroži po upravi — bere ga tudi nekdo, ki kalkulatorja ni nikoli odprl, in brez kontakta se zanj zgodba tu konča.</w:t>
      </w:r>
    </w:p>
    <w:p>
      <w:r>
        <w:br w:type="page"/>
      </w:r>
    </w:p>
    <w:p>
      <w:pPr>
        <w:pStyle w:val="Heading1"/>
        <w:spacing w:after="160" w:before="360"/>
      </w:pPr>
      <w:r>
        <w:rPr>
          <w:rFonts w:ascii="Calibri" w:cs="Calibri" w:eastAsia="Calibri" w:hAnsi="Calibri"/>
          <w:b/>
          <w:bCs/>
          <w:color w:val="231F20"/>
          <w:sz w:val="30"/>
          <w:szCs w:val="30"/>
        </w:rPr>
        <w:t xml:space="preserve">7. Kaj poročilo namenoma ne trdi</w:t>
      </w:r>
    </w:p>
    <w:p>
      <w:pPr>
        <w:spacing w:after="120" w:before="0" w:line="276"/>
      </w:pPr>
      <w:r>
        <w:rPr>
          <w:rFonts w:ascii="Calibri" w:cs="Calibri" w:eastAsia="Calibri" w:hAnsi="Calibri"/>
          <w:b w:val="false"/>
          <w:bCs w:val="false"/>
          <w:i w:val="false"/>
          <w:iCs w:val="false"/>
          <w:color w:val="444444"/>
          <w:sz w:val="21"/>
          <w:szCs w:val="21"/>
        </w:rPr>
        <w:t xml:space="preserve">Pri pogovoru s stranko je enako pomembno vedeti, česa dokument ne trdi — ker prav to so mesta, kjer bi neprevidna razlaga presegla, kar številke prenesejo.</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4300"/>
        <w:gridCol w:w="5060"/>
      </w:tblGrid>
      <w:tr>
        <w:trPr>
          <w:tblHeader/>
        </w:trPr>
        <w:tc>
          <w:tcPr>
            <w:tcW w:type="dxa" w:w="43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Poročilo NE trdi</w:t>
            </w:r>
          </w:p>
        </w:tc>
        <w:tc>
          <w:tcPr>
            <w:tcW w:type="dxa" w:w="50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 trdi namesto tega</w:t>
            </w:r>
          </w:p>
        </w:tc>
      </w:tr>
      <w:tr>
        <w:tc>
          <w:tcPr>
            <w:tcW w:type="dxa" w:w="43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bo podjetje prihranilo prikazani znesek</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toliko danes stane sedanji način dela na izmerjenih področjih</w:t>
            </w:r>
          </w:p>
        </w:tc>
      </w:tr>
      <w:tr>
        <w:tc>
          <w:tcPr>
            <w:tcW w:type="dxa" w:w="43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bo potencial dosežen</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je toliko po navedenih glavnih vzrokih načeloma odpravljivo — kar je treba preveriti na sestanku</w:t>
            </w:r>
          </w:p>
        </w:tc>
      </w:tr>
      <w:tr>
        <w:tc>
          <w:tcPr>
            <w:tcW w:type="dxa" w:w="43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se bo plačna masa zmanjšala</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se sprosti toliko ur, ki jih je mogoče usmeriti drugam</w:t>
            </w:r>
          </w:p>
        </w:tc>
      </w:tr>
      <w:tr>
        <w:tc>
          <w:tcPr>
            <w:tcW w:type="dxa" w:w="43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so izmerjena področja edina, kjer nastaja strošek</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neizmerjena področja v znesek ne vstopajo in je dejanski strošek višji</w:t>
            </w:r>
          </w:p>
        </w:tc>
      </w:tr>
      <w:tr>
        <w:tc>
          <w:tcPr>
            <w:tcW w:type="dxa" w:w="43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bi kupec zagotovo kupil, če bi bil izdelek na zalogi</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nezaslužena marža stoji na predpostavki in je zato prikazana ločeno</w:t>
            </w:r>
          </w:p>
        </w:tc>
      </w:tr>
      <w:tr>
        <w:tc>
          <w:tcPr>
            <w:tcW w:type="dxa" w:w="43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je znesek natančen</w:t>
            </w:r>
          </w:p>
        </w:tc>
        <w:tc>
          <w:tcPr>
            <w:tcW w:type="dxa" w:w="50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pri ocenjenih predpostavkah razpon, pri nizki zanesljivosti pa spodnjo mejo z besedo »najmanj«</w:t>
            </w:r>
          </w:p>
        </w:tc>
      </w:tr>
      <w:tr>
        <w:tc>
          <w:tcPr>
            <w:tcW w:type="dxa" w:w="43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PANTHEON stane določeno vsoto</w:t>
            </w:r>
          </w:p>
        </w:tc>
        <w:tc>
          <w:tcPr>
            <w:tcW w:type="dxa" w:w="50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da se pri primerjalnih investicijskih zneskih potencial povrne v toliko mesecih</w:t>
            </w:r>
          </w:p>
        </w:tc>
      </w:tr>
    </w:tbl>
    <w:p>
      <w:r>
        <w:br w:type="page"/>
      </w:r>
    </w:p>
    <w:p>
      <w:pPr>
        <w:pStyle w:val="Heading1"/>
        <w:spacing w:after="160" w:before="360"/>
      </w:pPr>
      <w:r>
        <w:rPr>
          <w:rFonts w:ascii="Calibri" w:cs="Calibri" w:eastAsia="Calibri" w:hAnsi="Calibri"/>
          <w:b/>
          <w:bCs/>
          <w:color w:val="231F20"/>
          <w:sz w:val="30"/>
          <w:szCs w:val="30"/>
        </w:rPr>
        <w:t xml:space="preserve">8. Kaj je še ocena in ne meritev</w:t>
      </w:r>
    </w:p>
    <w:p>
      <w:pPr>
        <w:spacing w:after="120" w:before="0" w:line="276"/>
      </w:pPr>
      <w:r>
        <w:rPr>
          <w:rFonts w:ascii="Calibri" w:cs="Calibri" w:eastAsia="Calibri" w:hAnsi="Calibri"/>
          <w:b w:val="false"/>
          <w:bCs w:val="false"/>
          <w:i w:val="false"/>
          <w:iCs w:val="false"/>
          <w:color w:val="444444"/>
          <w:sz w:val="21"/>
          <w:szCs w:val="21"/>
        </w:rPr>
        <w:t xml:space="preserve">Poštenost dokumenta stoji na tem, da so ocenjeni koeficienti znani in zapisani. Naslednje vrednosti so bile avgusta 2026 preverjene proti literaturi, a nobena od meritev ni slovenska — prava kalibracija bo prišla iz Datalabovih lastnih uvedb.</w:t>
      </w:r>
    </w:p>
    <w:tbl>
      <w:tblPr>
        <w:tblW w:type="dxa" w:w="9360"/>
        <w:tblBorders>
          <w:top w:val="single" w:color="DFE3E8" w:sz="2"/>
          <w:left w:val="single" w:color="DFE3E8" w:sz="2"/>
          <w:bottom w:val="single" w:color="DFE3E8" w:sz="2"/>
          <w:right w:val="single" w:color="DFE3E8" w:sz="2"/>
          <w:insideH w:val="single" w:color="DFE3E8" w:sz="2"/>
          <w:insideV w:val="single" w:color="DFE3E8" w:sz="2"/>
        </w:tblBorders>
      </w:tblPr>
      <w:tblGrid>
        <w:gridCol w:w="2700"/>
        <w:gridCol w:w="1900"/>
        <w:gridCol w:w="4760"/>
      </w:tblGrid>
      <w:tr>
        <w:trPr>
          <w:tblHeader/>
        </w:trPr>
        <w:tc>
          <w:tcPr>
            <w:tcW w:type="dxa" w:w="27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Kaj</w:t>
            </w:r>
          </w:p>
        </w:tc>
        <w:tc>
          <w:tcPr>
            <w:tcW w:type="dxa" w:w="190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Trenutna vrednost</w:t>
            </w:r>
          </w:p>
        </w:tc>
        <w:tc>
          <w:tcPr>
            <w:tcW w:type="dxa" w:w="4760"/>
            <w:shd w:fill="231F20" w:color="auto" w:val="clear"/>
            <w:tcMar>
              <w:top w:type="dxa" w:w="80"/>
              <w:left w:type="dxa" w:w="120"/>
              <w:bottom w:type="dxa" w:w="80"/>
              <w:right w:type="dxa" w:w="120"/>
            </w:tcMar>
          </w:tcPr>
          <w:p>
            <w:pPr>
              <w:spacing w:after="0" w:line="260"/>
            </w:pPr>
            <w:r>
              <w:rPr>
                <w:rFonts w:ascii="Calibri" w:cs="Calibri" w:eastAsia="Calibri" w:hAnsi="Calibri"/>
                <w:b/>
                <w:bCs/>
                <w:color w:val="FFFFFF"/>
                <w:sz w:val="20"/>
                <w:szCs w:val="20"/>
              </w:rPr>
              <w:t xml:space="preserve">Status</w:t>
            </w:r>
          </w:p>
        </w:tc>
      </w:tr>
      <w:tr>
        <w:tc>
          <w:tcPr>
            <w:tcW w:type="dxa" w:w="27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Naslovljivi deleži po vzroku</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15 % – 75 %</w:t>
            </w:r>
          </w:p>
        </w:tc>
        <w:tc>
          <w:tcPr>
            <w:tcW w:type="dxa" w:w="4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preverjeno proti literaturi; delež za »podatki« (75 %) leži pri zgornjem robu izmerjenega in je prva vrednost, ki se ob izpodbijanju umakne</w:t>
            </w:r>
          </w:p>
        </w:tc>
      </w:tr>
      <w:tr>
        <w:tc>
          <w:tcPr>
            <w:tcW w:type="dxa" w:w="27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Deleži znižanja zaloge</w:t>
            </w:r>
          </w:p>
        </w:tc>
        <w:tc>
          <w:tcPr>
            <w:tcW w:type="dxa" w:w="19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5 % – 25 %</w:t>
            </w:r>
          </w:p>
        </w:tc>
        <w:tc>
          <w:tcPr>
            <w:tcW w:type="dxa" w:w="47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privezano na zunanji vir (Aberdeen, 1.680 podjetij)</w:t>
            </w:r>
          </w:p>
        </w:tc>
      </w:tr>
      <w:tr>
        <w:tc>
          <w:tcPr>
            <w:tcW w:type="dxa" w:w="27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Strošek kapitala</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8,5 %</w:t>
            </w:r>
          </w:p>
        </w:tc>
        <w:tc>
          <w:tcPr>
            <w:tcW w:type="dxa" w:w="4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WACC iz KPMG Cost of Capital Study 2025; ni obrestna mera posojila</w:t>
            </w:r>
          </w:p>
        </w:tc>
      </w:tr>
      <w:tr>
        <w:tc>
          <w:tcPr>
            <w:tcW w:type="dxa" w:w="27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Zgornja meja pri izmetu</w:t>
            </w:r>
          </w:p>
        </w:tc>
        <w:tc>
          <w:tcPr>
            <w:tcW w:type="dxa" w:w="19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50 %</w:t>
            </w:r>
          </w:p>
        </w:tc>
        <w:tc>
          <w:tcPr>
            <w:tcW w:type="dxa" w:w="47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 panožnih razponov izmeta (povprečje 3–8 %, dobra praksa pod 2,5 %)</w:t>
            </w:r>
          </w:p>
        </w:tc>
      </w:tr>
      <w:tr>
        <w:tc>
          <w:tcPr>
            <w:tcW w:type="dxa" w:w="2700"/>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Prag visoke izgube po panogah</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15.000 – 20.000 EUR</w:t>
            </w:r>
          </w:p>
        </w:tc>
        <w:tc>
          <w:tcPr>
            <w:tcW w:type="dxa" w:w="4760"/>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začetna ocena, preveriti po prvih ~50 vnosih</w:t>
            </w:r>
          </w:p>
        </w:tc>
      </w:tr>
      <w:tr>
        <w:tc>
          <w:tcPr>
            <w:tcW w:type="dxa" w:w="2700"/>
            <w:shd w:fill="F1EDE2" w:color="auto" w:val="clear"/>
            <w:tcMar>
              <w:top w:type="dxa" w:w="80"/>
              <w:left w:type="dxa" w:w="120"/>
              <w:bottom w:type="dxa" w:w="80"/>
              <w:right w:type="dxa" w:w="120"/>
            </w:tcMar>
          </w:tcPr>
          <w:p>
            <w:pPr>
              <w:spacing w:after="0" w:line="260"/>
            </w:pPr>
            <w:r>
              <w:rPr>
                <w:rFonts w:ascii="Calibri" w:cs="Calibri" w:eastAsia="Calibri" w:hAnsi="Calibri"/>
                <w:b/>
                <w:bCs/>
                <w:color w:val="444444"/>
                <w:sz w:val="20"/>
                <w:szCs w:val="20"/>
              </w:rPr>
              <w:t xml:space="preserve">Razponi urnih postavk</w:t>
            </w:r>
          </w:p>
        </w:tc>
        <w:tc>
          <w:tcPr>
            <w:tcW w:type="dxa" w:w="190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po poklicih in panogah</w:t>
            </w:r>
          </w:p>
        </w:tc>
        <w:tc>
          <w:tcPr>
            <w:tcW w:type="dxa" w:w="4760"/>
            <w:shd w:fill="F1EDE2" w:color="auto" w:val="clear"/>
            <w:tcMar>
              <w:top w:type="dxa" w:w="80"/>
              <w:left w:type="dxa" w:w="120"/>
              <w:bottom w:type="dxa" w:w="80"/>
              <w:right w:type="dxa" w:w="120"/>
            </w:tcMar>
          </w:tcPr>
          <w:p>
            <w:pPr>
              <w:spacing w:after="0" w:line="260"/>
            </w:pPr>
            <w:r>
              <w:rPr>
                <w:rFonts w:ascii="Calibri" w:cs="Calibri" w:eastAsia="Calibri" w:hAnsi="Calibri"/>
                <w:b w:val="false"/>
                <w:bCs w:val="false"/>
                <w:color w:val="444444"/>
                <w:sz w:val="20"/>
                <w:szCs w:val="20"/>
              </w:rPr>
              <w:t xml:space="preserve">izpeljano iz plač po poklicih (SURS) — edini del, ki ga je mogoče preveriti pri javnem viru</w:t>
            </w:r>
          </w:p>
        </w:tc>
      </w:tr>
    </w:tbl>
    <w:p>
      <w:pPr>
        <w:spacing w:after="120"/>
      </w:pPr>
    </w:p>
    <w:tbl>
      <w:tblPr>
        <w:tblW w:type="dxa" w:w="9360"/>
        <w:tblBorders>
          <w:top w:val="single" w:color="F1EDE2" w:sz="2"/>
          <w:left w:val="single" w:color="FAAF17" w:sz="18"/>
          <w:bottom w:val="single" w:color="F1EDE2" w:sz="2"/>
          <w:right w:val="single" w:color="F1EDE2" w:sz="2"/>
          <w:insideH w:val="none" w:color="FFFFFF" w:sz="0"/>
          <w:insideV w:val="none" w:color="FFFFFF" w:sz="0"/>
        </w:tblBorders>
      </w:tblPr>
      <w:tblGrid>
        <w:gridCol w:w="9360"/>
      </w:tblGrid>
      <w:tr>
        <w:tc>
          <w:tcPr>
            <w:tcW w:type="dxa" w:w="9360"/>
            <w:shd w:fill="F1EDE2" w:color="auto" w:val="clear"/>
            <w:tcMar>
              <w:top w:type="dxa" w:w="120"/>
              <w:left w:type="dxa" w:w="180"/>
              <w:bottom w:type="dxa" w:w="120"/>
              <w:right w:type="dxa" w:w="160"/>
            </w:tcMar>
          </w:tcPr>
          <w:p>
            <w:pPr>
              <w:spacing w:after="60" w:before="60" w:line="260"/>
            </w:pPr>
            <w:r>
              <w:rPr>
                <w:rFonts w:ascii="Calibri" w:cs="Calibri" w:eastAsia="Calibri" w:hAnsi="Calibri"/>
                <w:b/>
                <w:bCs/>
                <w:color w:val="8A600D"/>
                <w:sz w:val="20"/>
                <w:szCs w:val="20"/>
              </w:rPr>
              <w:t xml:space="preserve">Priporočilo</w:t>
            </w:r>
          </w:p>
          <w:p>
            <w:pPr>
              <w:spacing w:after="60" w:line="260"/>
            </w:pPr>
            <w:r>
              <w:rPr>
                <w:rFonts w:ascii="Calibri" w:cs="Calibri" w:eastAsia="Calibri" w:hAnsi="Calibri"/>
                <w:color w:val="444444"/>
                <w:sz w:val="20"/>
                <w:szCs w:val="20"/>
              </w:rPr>
              <w:t xml:space="preserve">Po prvih približno petdesetih izpolnjenih vprašalnikih je smiselno pogledati porazdelitev odgovorov o glavnem vzroku in deležu sprostljive zaloge ter koeficiente umeriti na dejanskih vnosih. Do tedaj velja, da so vsi zneski konservativni — smer napake je zavestno navzdol.</w:t>
            </w:r>
          </w:p>
        </w:tc>
      </w:tr>
    </w:tbl>
    <w:sectPr>
      <w:footerReference w:type="default" r:id="rId7"/>
      <w:pgSz w:w="11906" w:h="16838"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3E8" w:sz="4" w:space="6"/>
      </w:pBdr>
      <w:tabs>
        <w:tab w:val="right" w:pos="9360"/>
      </w:tabs>
      <w:spacing w:before="60"/>
    </w:pPr>
    <w:r>
      <w:rPr>
        <w:rFonts w:ascii="Calibri" w:cs="Calibri" w:eastAsia="Calibri" w:hAnsi="Calibri"/>
        <w:color w:val="5B6773"/>
        <w:sz w:val="16"/>
        <w:szCs w:val="16"/>
      </w:rPr>
      <w:t xml:space="preserve">Datalab · Analiza strankinega poročila · avgust 2026</w:t>
    </w:r>
    <w:r>
      <w:rPr>
        <w:rFonts w:ascii="Calibri" w:cs="Calibri" w:eastAsia="Calibri" w:hAnsi="Calibri"/>
        <w:sz w:val="16"/>
        <w:szCs w:val="16"/>
      </w:rPr>
      <w:t xml:space="preserve">		</w:t>
    </w:r>
    <w:r>
      <w:rPr>
        <w:rFonts w:ascii="Calibri" w:cs="Calibri" w:eastAsia="Calibri" w:hAnsi="Calibri"/>
        <w:color w:val="5B6773"/>
        <w:sz w:val="16"/>
        <w:szCs w:val="16"/>
      </w:rPr>
      <w:t xml:space="preserve">Stran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31F20"/>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8A600D"/>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31F2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poročila, ki ga prejme stranka</dc:title>
  <dc:creator>Datalab</dc:creator>
  <dc:description>Razlaga vseh glavnih izračunov na strankinem PDF poročilu ROI kalkulatorja</dc:description>
  <cp:lastModifiedBy>Un-named</cp:lastModifiedBy>
  <cp:revision>1</cp:revision>
  <dcterms:created xsi:type="dcterms:W3CDTF">2026-08-26T09:05:46.878Z</dcterms:created>
  <dcterms:modified xsi:type="dcterms:W3CDTF">2026-08-26T09:05:46.878Z</dcterms:modified>
</cp:coreProperties>
</file>

<file path=docProps/custom.xml><?xml version="1.0" encoding="utf-8"?>
<Properties xmlns="http://schemas.openxmlformats.org/officeDocument/2006/custom-properties" xmlns:vt="http://schemas.openxmlformats.org/officeDocument/2006/docPropsVTypes"/>
</file>