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students explore research from environmental psychology and communication science to understand how people respond to climate change messages and what makes communication effective. Students work in groups to evaluate climate change communication examples and propose evidence-informed improvements, presenting their analyses orally and reflecting on the process in writing. The course is pass/fail based on a group presentation and written individual reflection.</w:t>
      </w:r>
    </w:p>
    <w:p>
      <w:pPr>
        <w:pStyle w:val="BodyText"/>
      </w:pPr>
      <w:r>
        <w:t xml:space="preserve">For organisational reasons, participation in this course requires a course-internal commitment at latest by Friday, September 25, 2026 (23:59). After this date, groups/projects will be fixed, and students are expected to remain in the course. Students who do not intend to participate must delete the course from myStudies by the commitment deadline.</w:t>
      </w:r>
    </w:p>
    <w:bookmarkEnd w:id="26"/>
    <w:bookmarkStart w:id="27" w:name="learning-objectives"/>
    <w:p>
      <w:pPr>
        <w:pStyle w:val="Heading2"/>
      </w:pPr>
      <w:r>
        <w:t xml:space="preserve">Learning Objectives</w:t>
      </w:r>
    </w:p>
    <w:p>
      <w:pPr>
        <w:pStyle w:val="FirstParagraph"/>
      </w:pPr>
      <w:r>
        <w:t xml:space="preserve">At the completion of the course, students will be able to:</w:t>
      </w:r>
    </w:p>
    <w:p>
      <w:pPr>
        <w:pStyle w:val="Compact"/>
        <w:numPr>
          <w:ilvl w:val="0"/>
          <w:numId w:val="1001"/>
        </w:numPr>
      </w:pPr>
      <w:r>
        <w:t xml:space="preserve">Independently and accurately identify challenges in climate change communication</w:t>
      </w:r>
    </w:p>
    <w:p>
      <w:pPr>
        <w:pStyle w:val="Compact"/>
        <w:numPr>
          <w:ilvl w:val="0"/>
          <w:numId w:val="1001"/>
        </w:numPr>
      </w:pPr>
      <w:r>
        <w:t xml:space="preserve">Clearly explain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Develop evidence-informed recommendations for improving climate change messages for specific audiences and communication contexts</w:t>
      </w:r>
    </w:p>
    <w:bookmarkEnd w:id="27"/>
    <w:bookmarkStart w:id="29" w:name="general-information"/>
    <w:p>
      <w:pPr>
        <w:pStyle w:val="Heading2"/>
      </w:pPr>
      <w:r>
        <w:t xml:space="preserve">General Information</w:t>
      </w:r>
    </w:p>
    <w:p>
      <w:pPr>
        <w:pStyle w:val="Compact"/>
        <w:numPr>
          <w:ilvl w:val="0"/>
          <w:numId w:val="1002"/>
        </w:numPr>
      </w:pPr>
      <w:r>
        <w:t xml:space="preserve">ETH Zurich, room CAB G 61</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p>
      <w:pPr>
        <w:pStyle w:val="Compact"/>
        <w:numPr>
          <w:ilvl w:val="0"/>
          <w:numId w:val="1002"/>
        </w:numPr>
      </w:pPr>
      <w:r>
        <w:t xml:space="preserve">Students wishing to drop the course need to do so before 29.09.2026</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 Students are expected to read the main article assigned for each lecture and prepare three questions for each guest speaker.</w:t>
      </w:r>
    </w:p>
    <w:bookmarkEnd w:id="30"/>
    <w:bookmarkStart w:id="31" w:name="materials"/>
    <w:p>
      <w:pPr>
        <w:pStyle w:val="Heading2"/>
      </w:pPr>
      <w:r>
        <w:t xml:space="preserve">Materials</w:t>
      </w:r>
    </w:p>
    <w:p>
      <w:pPr>
        <w:pStyle w:val="FirstParagraph"/>
      </w:pPr>
      <w:r>
        <w:t xml:space="preserve">Course plan, reading materials, and slides will be available on Moodle and on the</w:t>
      </w:r>
      <w:r>
        <w:t xml:space="preserve"> </w:t>
      </w:r>
      <w:hyperlink r:id="rId28">
        <w:r>
          <w:rPr>
            <w:rStyle w:val="Hyperlink"/>
          </w:rPr>
          <w:t xml:space="preserve">course website</w:t>
        </w:r>
      </w:hyperlink>
      <w:r>
        <w:t xml:space="preserve">. Please note that</w:t>
      </w:r>
      <w:r>
        <w:t xml:space="preserve"> </w:t>
      </w:r>
      <w:r>
        <w:rPr>
          <w:b/>
          <w:bCs/>
        </w:rPr>
        <w:t xml:space="preserve">no</w:t>
      </w:r>
      <w:r>
        <w:t xml:space="preserve"> </w:t>
      </w:r>
      <w:r>
        <w:t xml:space="preserve">recording will be available for this course.</w:t>
      </w:r>
    </w:p>
    <w:bookmarkEnd w:id="31"/>
    <w:bookmarkStart w:id="34"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3"/>
        </w:numPr>
      </w:pPr>
      <w:r>
        <w:t xml:space="preserve">present an example of climate change communication in an oral group presentation, and</w:t>
      </w:r>
    </w:p>
    <w:p>
      <w:pPr>
        <w:pStyle w:val="Compact"/>
        <w:numPr>
          <w:ilvl w:val="0"/>
          <w:numId w:val="1003"/>
        </w:numPr>
      </w:pPr>
      <w:r>
        <w:t xml:space="preserve">submit a one-page individual reflection on the group presentation.</w:t>
      </w:r>
    </w:p>
    <w:bookmarkStart w:id="32" w:name="oral-group-presentation"/>
    <w:p>
      <w:pPr>
        <w:pStyle w:val="Heading3"/>
      </w:pPr>
      <w:r>
        <w:t xml:space="preserve">Oral group presentation</w:t>
      </w:r>
    </w:p>
    <w:p>
      <w:pPr>
        <w:pStyle w:val="FirstParagraph"/>
      </w:pPr>
      <w:r>
        <w:t xml:space="preserve">Groups present an example of climate change communication. Presentations start in week 5.</w:t>
      </w:r>
    </w:p>
    <w:p>
      <w:pPr>
        <w:pStyle w:val="Compact"/>
        <w:numPr>
          <w:ilvl w:val="0"/>
          <w:numId w:val="1004"/>
        </w:numPr>
      </w:pPr>
      <w:r>
        <w:t xml:space="preserve">Presentations last 10 minutes, followed by 5 minutes of Q&amp;A.</w:t>
      </w:r>
    </w:p>
    <w:p>
      <w:pPr>
        <w:pStyle w:val="Compact"/>
        <w:numPr>
          <w:ilvl w:val="0"/>
          <w:numId w:val="1004"/>
        </w:numPr>
      </w:pPr>
      <w:r>
        <w:t xml:space="preserve">Slides (PowerPoint or similar) are required.</w:t>
      </w:r>
    </w:p>
    <w:p>
      <w:pPr>
        <w:pStyle w:val="Compact"/>
        <w:numPr>
          <w:ilvl w:val="0"/>
          <w:numId w:val="1004"/>
        </w:numPr>
      </w:pPr>
      <w:r>
        <w:t xml:space="preserve">All group members need to actively present, with an approximately equal time split.</w:t>
      </w:r>
    </w:p>
    <w:p>
      <w:pPr>
        <w:pStyle w:val="Compact"/>
        <w:numPr>
          <w:ilvl w:val="0"/>
          <w:numId w:val="1004"/>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4"/>
        </w:numPr>
      </w:pPr>
      <w:r>
        <w:t xml:space="preserve">Presentations need to introduce the content/message, address the following questions, and explicitly draw on relevant concepts learned in the course:</w:t>
      </w:r>
    </w:p>
    <w:p>
      <w:pPr>
        <w:pStyle w:val="Compact"/>
        <w:numPr>
          <w:ilvl w:val="1"/>
          <w:numId w:val="1005"/>
        </w:numPr>
      </w:pPr>
      <w:r>
        <w:t xml:space="preserve">Introduce your example. How did you come across it and why did you pick it?</w:t>
      </w:r>
    </w:p>
    <w:p>
      <w:pPr>
        <w:pStyle w:val="Compact"/>
        <w:numPr>
          <w:ilvl w:val="1"/>
          <w:numId w:val="1005"/>
        </w:numPr>
      </w:pPr>
      <w:r>
        <w:t xml:space="preserve">Who is the communicator and what is their motivation?</w:t>
      </w:r>
    </w:p>
    <w:p>
      <w:pPr>
        <w:pStyle w:val="Compact"/>
        <w:numPr>
          <w:ilvl w:val="1"/>
          <w:numId w:val="1005"/>
        </w:numPr>
      </w:pPr>
      <w:r>
        <w:t xml:space="preserve">Who is the target audience?</w:t>
      </w:r>
    </w:p>
    <w:p>
      <w:pPr>
        <w:pStyle w:val="Compact"/>
        <w:numPr>
          <w:ilvl w:val="1"/>
          <w:numId w:val="1005"/>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5"/>
        </w:numPr>
      </w:pPr>
      <w:r>
        <w:t xml:space="preserve">How could the message/content be improved?</w:t>
      </w:r>
    </w:p>
    <w:p>
      <w:pPr>
        <w:pStyle w:val="Compact"/>
        <w:numPr>
          <w:ilvl w:val="0"/>
          <w:numId w:val="1004"/>
        </w:numPr>
      </w:pPr>
      <w:r>
        <w:t xml:space="preserve">You can use AI for the preparation of the presentation, but examples should be selected by group members.</w:t>
      </w:r>
    </w:p>
    <w:bookmarkEnd w:id="32"/>
    <w:bookmarkStart w:id="33" w:name="reflection-task"/>
    <w:p>
      <w:pPr>
        <w:pStyle w:val="Heading3"/>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6"/>
        </w:numPr>
      </w:pPr>
      <w:r>
        <w:t xml:space="preserve">Describe how your group selected the communication example.</w:t>
      </w:r>
    </w:p>
    <w:p>
      <w:pPr>
        <w:pStyle w:val="Compact"/>
        <w:numPr>
          <w:ilvl w:val="0"/>
          <w:numId w:val="1006"/>
        </w:numPr>
      </w:pPr>
      <w:r>
        <w:t xml:space="preserve">Clearly state your role in the project and your overall contribution to the group project.</w:t>
      </w:r>
    </w:p>
    <w:p>
      <w:pPr>
        <w:pStyle w:val="Compact"/>
        <w:numPr>
          <w:ilvl w:val="0"/>
          <w:numId w:val="1006"/>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6"/>
        </w:numPr>
      </w:pPr>
      <w:r>
        <w:t xml:space="preserve">Reflect on your own contribution. Are you happy with your contribution/performance? Would you have liked to do more/less?</w:t>
      </w:r>
    </w:p>
    <w:p>
      <w:pPr>
        <w:pStyle w:val="Compact"/>
        <w:numPr>
          <w:ilvl w:val="0"/>
          <w:numId w:val="1006"/>
        </w:numPr>
      </w:pPr>
      <w:r>
        <w:t xml:space="preserve">Declare the use of AI in your group. If yes: How did you use it? Which model did you use? In which ways do you think using AI helped you? Do you think there are any downsides to the use of AI for your project?</w:t>
      </w:r>
    </w:p>
    <w:bookmarkEnd w:id="33"/>
    <w:bookmarkEnd w:id="34"/>
    <w:bookmarkStart w:id="43"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key concepts in environmental psychology</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w:t>
            </w:r>
            <w:r>
              <w:t xml:space="preserve"> </w:t>
            </w:r>
            <w:r>
              <w:rPr>
                <w:i/>
                <w:iCs/>
              </w:rPr>
              <w:t xml:space="preserve">Psychology and Climate Change</w:t>
            </w:r>
            <w:r>
              <w:t xml:space="preserve">, 35–63.</w:t>
            </w:r>
            <w:r>
              <w:t xml:space="preserve"> </w:t>
            </w:r>
            <w:hyperlink r:id="rId35">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Public opinion on climate change and the deficit model</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(2015). Global warming’s five</w:t>
            </w:r>
            <w:r>
              <w:t xml:space="preserve"> </w:t>
            </w:r>
            <w:r>
              <w:t xml:space="preserve">Germanys</w:t>
            </w:r>
            <w:r>
              <w:t xml:space="preserve">:</w:t>
            </w:r>
            <w:r>
              <w:t xml:space="preserve"> </w:t>
            </w:r>
            <w:r>
              <w:t xml:space="preserve">A</w:t>
            </w:r>
            <w:r>
              <w:t xml:space="preserve"> </w:t>
            </w:r>
            <w:r>
              <w:t xml:space="preserve">typology of</w:t>
            </w:r>
            <w:r>
              <w:t xml:space="preserve"> </w:t>
            </w:r>
            <w:r>
              <w:t xml:space="preserve">Germans</w:t>
            </w:r>
            <w:r>
              <w:t xml:space="preserve">’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6">
              <w:r>
                <w:rPr>
                  <w:rStyle w:val="Hyperlink"/>
                </w:rPr>
                <w:t xml:space="preserve">https://doi.org/10.1177/0963662515592558</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w:t>
            </w:r>
            <w:r>
              <w:t xml:space="preserve"> </w:t>
            </w:r>
            <w:r>
              <w:t xml:space="preserve">A</w:t>
            </w:r>
            <w:r>
              <w:t xml:space="preserve"> </w:t>
            </w:r>
            <w:r>
              <w:t xml:space="preserve">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7">
              <w:r>
                <w:rPr>
                  <w:rStyle w:val="Hyperlink"/>
                </w:rPr>
                <w:t xml:space="preserve">https://doi.org/10.1371/journal.pclm.0000400</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Van Der Linden, S., Maibach, E., &amp; Leiserowitz, A. (2015). Improving</w:t>
            </w:r>
            <w:r>
              <w:t xml:space="preserve"> </w:t>
            </w:r>
            <w:r>
              <w:t xml:space="preserve">Public Engagement With Climate Change</w:t>
            </w:r>
            <w:r>
              <w:t xml:space="preserve">:</w:t>
            </w:r>
            <w:r>
              <w:t xml:space="preserve"> </w:t>
            </w:r>
            <w:r>
              <w:t xml:space="preserve">Five</w:t>
            </w:r>
            <w:r>
              <w:t xml:space="preserve"> </w:t>
            </w:r>
            <w:r>
              <w:t xml:space="preserve">“</w:t>
            </w:r>
            <w:r>
              <w:t xml:space="preserve">Best Practice</w:t>
            </w:r>
            <w:r>
              <w:t xml:space="preserve">”</w:t>
            </w:r>
            <w:r>
              <w:t xml:space="preserve"> </w:t>
            </w:r>
            <w:r>
              <w:t xml:space="preserve">Insights From Psychological Science</w:t>
            </w:r>
            <w:r>
              <w:t xml:space="preserve">.</w:t>
            </w:r>
            <w:r>
              <w:t xml:space="preserve"> </w:t>
            </w:r>
            <w:r>
              <w:rPr>
                <w:i/>
                <w:iCs/>
              </w:rPr>
              <w:t xml:space="preserve">Perspectives on Psychological Science</w:t>
            </w:r>
            <w:r>
              <w:t xml:space="preserve">,</w:t>
            </w:r>
            <w:r>
              <w:t xml:space="preserve"> </w:t>
            </w:r>
            <w:r>
              <w:rPr>
                <w:i/>
                <w:iCs/>
              </w:rPr>
              <w:t xml:space="preserve">10</w:t>
            </w:r>
            <w:r>
              <w:t xml:space="preserve">(6), 758–763.</w:t>
            </w:r>
            <w:r>
              <w:t xml:space="preserve"> </w:t>
            </w:r>
            <w:hyperlink r:id="rId38">
              <w:r>
                <w:rPr>
                  <w:rStyle w:val="Hyperlink"/>
                </w:rPr>
                <w:t xml:space="preserve">https://doi.org/10.1177/1745691615598516</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 Group presentations start this week.</w:t>
            </w:r>
          </w:p>
        </w:tc>
        <w:tc>
          <w:tcPr/>
          <w:p>
            <w:pPr>
              <w:pStyle w:val="BodyText"/>
            </w:pPr>
            <w:r>
              <w:t xml:space="preserve">Stanley, S. K., Hogg, T. L., Leviston, Z., &amp; Walker, I. (2021). From anger to action:</w:t>
            </w:r>
            <w:r>
              <w:t xml:space="preserve"> </w:t>
            </w:r>
            <w:r>
              <w:t xml:space="preserve">Differential</w:t>
            </w:r>
            <w:r>
              <w:t xml:space="preserve"> </w:t>
            </w:r>
            <w:r>
              <w:t xml:space="preserve">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9">
              <w:r>
                <w:rPr>
                  <w:rStyle w:val="Hyperlink"/>
                </w:rPr>
                <w:t xml:space="preserve">https://doi.org/10.1016/j.joclim.2021.100003</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Prof. Dr. Reto Knutti</w:t>
            </w:r>
            <w:r>
              <w:t xml:space="preserve"> — Invited speaker</w:t>
            </w:r>
          </w:p>
          <w:p>
            <w:pPr>
              <w:pStyle w:val="BodyText"/>
            </w:pPr>
            <w:r>
              <w:t xml:space="preserve">Prof. Dr. Reto Knutti is Professor of Climate Physics at the Institute for Atmospheric and Climate Science at ETH Zurich and has served as a lead author of the Intergovernmental Panel on Climate Change (IPCC) assessment reports.</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w:t>
            </w:r>
            <w:r>
              <w:t xml:space="preserve"> </w:t>
            </w:r>
            <w:r>
              <w:t xml:space="preserve">Climate Change Imagery</w:t>
            </w:r>
            <w:r>
              <w:t xml:space="preserve">:</w:t>
            </w:r>
            <w:r>
              <w:t xml:space="preserve"> </w:t>
            </w:r>
            <w:r>
              <w:t xml:space="preserve">Evoked Salience</w:t>
            </w:r>
            <w:r>
              <w:t xml:space="preserve"> </w:t>
            </w:r>
            <w:r>
              <w:t xml:space="preserve">and</w:t>
            </w:r>
            <w:r>
              <w:t xml:space="preserve"> </w:t>
            </w:r>
            <w:r>
              <w:t xml:space="preserve">Self-Efficacy</w:t>
            </w:r>
            <w:r>
              <w:t xml:space="preserve"> </w:t>
            </w:r>
            <w:r>
              <w:t xml:space="preserve">in</w:t>
            </w:r>
            <w:r>
              <w:t xml:space="preserve"> </w:t>
            </w:r>
            <w:r>
              <w:t xml:space="preserve">Germany</w:t>
            </w:r>
            <w:r>
              <w:t xml:space="preserve">,</w:t>
            </w:r>
            <w:r>
              <w:t xml:space="preserve"> </w:t>
            </w:r>
            <w:r>
              <w:t xml:space="preserve">Switzerland</w:t>
            </w:r>
            <w:r>
              <w:t xml:space="preserve">, and</w:t>
            </w:r>
            <w:r>
              <w:t xml:space="preserve"> </w:t>
            </w:r>
            <w:r>
              <w:t xml:space="preserve">Austria</w:t>
            </w:r>
            <w:r>
              <w:t xml:space="preserve">.</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0">
              <w:r>
                <w:rPr>
                  <w:rStyle w:val="Hyperlink"/>
                </w:rPr>
                <w:t xml:space="preserve">https://doi.org/10.1177/1075547016635181</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Lewandowsky, S. (2021). Climate</w:t>
            </w:r>
            <w:r>
              <w:t xml:space="preserve"> </w:t>
            </w:r>
            <w:r>
              <w:t xml:space="preserve">Change Disinformation</w:t>
            </w:r>
            <w:r>
              <w:t xml:space="preserve"> </w:t>
            </w:r>
            <w:r>
              <w:t xml:space="preserve">and</w:t>
            </w:r>
            <w:r>
              <w:t xml:space="preserve"> </w:t>
            </w:r>
            <w:r>
              <w:t xml:space="preserve">How</w:t>
            </w:r>
            <w:r>
              <w:t xml:space="preserve"> </w:t>
            </w:r>
            <w:r>
              <w:t xml:space="preserve">to</w:t>
            </w:r>
            <w:r>
              <w:t xml:space="preserve"> </w:t>
            </w:r>
            <w:r>
              <w:t xml:space="preserve">Combat It</w:t>
            </w:r>
            <w:r>
              <w:t xml:space="preserve">.</w:t>
            </w:r>
            <w:r>
              <w:t xml:space="preserve"> </w:t>
            </w:r>
            <w:r>
              <w:rPr>
                <w:i/>
                <w:iCs/>
              </w:rPr>
              <w:t xml:space="preserve">Annual Review of Public Health</w:t>
            </w:r>
            <w:r>
              <w:t xml:space="preserve">,</w:t>
            </w:r>
            <w:r>
              <w:t xml:space="preserve"> </w:t>
            </w:r>
            <w:r>
              <w:rPr>
                <w:i/>
                <w:iCs/>
              </w:rPr>
              <w:t xml:space="preserve">42</w:t>
            </w:r>
            <w:r>
              <w:t xml:space="preserve">, 1–21.</w:t>
            </w:r>
            <w:r>
              <w:t xml:space="preserve"> </w:t>
            </w:r>
            <w:hyperlink r:id="rId41">
              <w:r>
                <w:rPr>
                  <w:rStyle w:val="Hyperlink"/>
                </w:rPr>
                <w:t xml:space="preserve">https://doi.org/10.1146/annurev-publhealth-090419-102409</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t xml:space="preserve">Dr. Leonard Creutzburg co-leads the WWF Switzerland One Planet Lab, where he is a project lead for new economic systems. He was a research assistant at ETH Zurich at the Natural Research Policy Group (NARP) and completed his PhD in Economic Geography at the University of Zurich. He will talk to us about the challenges of climate communication from the perspective of a Swiss NGO.</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From communication to behavior change</w:t>
            </w:r>
            <w:r>
              <w:t xml:space="preserve"> — Jan Pfänder</w:t>
            </w:r>
          </w:p>
          <w:p>
            <w:pPr>
              <w:pStyle w:val="BodyText"/>
            </w:pPr>
            <w:r>
              <w:t xml:space="preserve">Which behaviors are most effective when it comes to climate change? How can we overcome the intention-action gap? What role can communication play for structural change?</w:t>
            </w:r>
          </w:p>
        </w:tc>
        <w:tc>
          <w:tcPr/>
          <w:p>
            <w:pPr>
              <w:pStyle w:val="BodyText"/>
            </w:pPr>
            <w:r>
              <w:t xml:space="preserve">Fielding, K. S., &amp; Hornsey, M. J. (2026). Understanding and reducing the intention–behaviour gap in climate action.</w:t>
            </w:r>
            <w:r>
              <w:t xml:space="preserve"> </w:t>
            </w:r>
            <w:r>
              <w:rPr>
                <w:i/>
                <w:iCs/>
              </w:rPr>
              <w:t xml:space="preserve">Nature Climate Change</w:t>
            </w:r>
            <w:r>
              <w:t xml:space="preserve">,</w:t>
            </w:r>
            <w:r>
              <w:t xml:space="preserve"> </w:t>
            </w:r>
            <w:r>
              <w:rPr>
                <w:i/>
                <w:iCs/>
              </w:rPr>
              <w:t xml:space="preserve">16</w:t>
            </w:r>
            <w:r>
              <w:t xml:space="preserve">(6), 638–647.</w:t>
            </w:r>
            <w:r>
              <w:t xml:space="preserve"> </w:t>
            </w:r>
            <w:hyperlink r:id="rId42">
              <w:r>
                <w:rPr>
                  <w:rStyle w:val="Hyperlink"/>
                </w:rPr>
                <w:t xml:space="preserve">https://doi.org/10.1038/s41558-026-02630-z</w:t>
              </w:r>
            </w:hyperlink>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t xml:space="preserve">Dr. Cornelia Staub is Head of Sustainability at Migros Industrie, the food and consumer goods production arm of the Migros Group.</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t xml:space="preserve">Dr. Cornelia Eisenach is a science journalist at Republik Magazin, where she writes about health and environmental topics. She holds a PhD in Biology from the University of Glasgow and was a postdoc at the University of Zurich before moving into journalism.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Compact"/>
            </w:pPr>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2026-09-28T07:35:35Z</dcterms:created>
  <dcterms:modified xsi:type="dcterms:W3CDTF">2026-09-28T07:35:35Z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assets/apa-cv.csl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suppress-bibliography">
    <vt:lpwstr>True</vt:lpwstr>
  </property>
  <property fmtid="{D5CDD505-2E9C-101B-9397-08002B2CF9AE}" pid="12" name="toc-title">
    <vt:lpwstr>Table of contents</vt:lpwstr>
  </property>
</Properties>
</file>