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FirstParagraph"/>
      </w:pPr>
      <w:r>
        <w:drawing>
          <wp:inline>
            <wp:extent cx="1047750" cy="1204310"/>
            <wp:effectExtent b="0" l="0" r="0" t="0"/>
            <wp:docPr descr="" title="" id="21" name="Picture"/>
            <a:graphic>
              <a:graphicData uri="http://schemas.openxmlformats.org/drawingml/2006/picture">
                <pic:pic>
                  <pic:nvPicPr>
                    <pic:cNvPr descr="images/logo.png" id="22" name="Picture"/>
                    <pic:cNvPicPr>
                      <a:picLocks noChangeArrowheads="1" noChangeAspect="1"/>
                    </pic:cNvPicPr>
                  </pic:nvPicPr>
                  <pic:blipFill>
                    <a:blip r:embed="rId20"/>
                    <a:stretch>
                      <a:fillRect/>
                    </a:stretch>
                  </pic:blipFill>
                  <pic:spPr bwMode="auto">
                    <a:xfrm>
                      <a:off x="0" y="0"/>
                      <a:ext cx="1047750" cy="1204310"/>
                    </a:xfrm>
                    <a:prstGeom prst="rect">
                      <a:avLst/>
                    </a:prstGeom>
                    <a:noFill/>
                    <a:ln w="9525">
                      <a:noFill/>
                      <a:headEnd/>
                      <a:tailEnd/>
                    </a:ln>
                  </pic:spPr>
                </pic:pic>
              </a:graphicData>
            </a:graphic>
          </wp:inline>
        </w:drawing>
      </w:r>
      <w:r>
        <w:t xml:space="preserve"> </w:t>
      </w:r>
      <w:r>
        <w:drawing>
          <wp:inline>
            <wp:extent cx="1809750" cy="324916"/>
            <wp:effectExtent b="0" l="0" r="0" t="0"/>
            <wp:docPr descr="" title="" id="24" name="Picture"/>
            <a:graphic>
              <a:graphicData uri="http://schemas.openxmlformats.org/drawingml/2006/picture">
                <pic:pic>
                  <pic:nvPicPr>
                    <pic:cNvPr descr="images/eth_logo.png" id="25" name="Picture"/>
                    <pic:cNvPicPr>
                      <a:picLocks noChangeArrowheads="1" noChangeAspect="1"/>
                    </pic:cNvPicPr>
                  </pic:nvPicPr>
                  <pic:blipFill>
                    <a:blip r:embed="rId23"/>
                    <a:stretch>
                      <a:fillRect/>
                    </a:stretch>
                  </pic:blipFill>
                  <pic:spPr bwMode="auto">
                    <a:xfrm>
                      <a:off x="0" y="0"/>
                      <a:ext cx="1809750" cy="324916"/>
                    </a:xfrm>
                    <a:prstGeom prst="rect">
                      <a:avLst/>
                    </a:prstGeom>
                    <a:noFill/>
                    <a:ln w="9525">
                      <a:noFill/>
                      <a:headEnd/>
                      <a:tailEnd/>
                    </a:ln>
                  </pic:spPr>
                </pic:pic>
              </a:graphicData>
            </a:graphic>
          </wp:inline>
        </w:drawing>
      </w:r>
    </w:p>
    <w:p>
      <w:pPr>
        <w:pStyle w:val="BodyText"/>
      </w:pPr>
      <w:r>
        <w:t xml:space="preserve">Dr. Viktoria Cologna — viktoria.cologna@eawag.ch</w:t>
      </w:r>
    </w:p>
    <w:p>
      <w:pPr>
        <w:pStyle w:val="BodyText"/>
      </w:pPr>
      <w:r>
        <w:t xml:space="preserve">Dr. Jan Pfänder — janlukas.pfaender@gmail.com</w:t>
      </w:r>
    </w:p>
    <w:bookmarkStart w:id="26"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students explore research from environmental psychology and communication science to understand how people respond to climate change messages and what makes communication effective. Students work in groups to evaluate climate change communication examples and propose evidence-informed improvements, presenting their analyses orally and reflecting on the process in writing. The course is pass/fail based on a group presentation and written individual reflection.</w:t>
      </w:r>
    </w:p>
    <w:p>
      <w:pPr>
        <w:pStyle w:val="BodyText"/>
      </w:pPr>
      <w:r>
        <w:t xml:space="preserve">For organisational reasons, participation in this course requires a course-internal commitment at latest by Friday, September 25, 2026 (23:59). After this date, groups/projects will be fixed, and students are expected to remain in the course. Students who do not intend to participate must delete the course from myStudies by the commitment deadline.</w:t>
      </w:r>
    </w:p>
    <w:bookmarkEnd w:id="26"/>
    <w:bookmarkStart w:id="27" w:name="learning-objectives"/>
    <w:p>
      <w:pPr>
        <w:pStyle w:val="Heading2"/>
      </w:pPr>
      <w:r>
        <w:t xml:space="preserve">Learning Objectives</w:t>
      </w:r>
    </w:p>
    <w:p>
      <w:pPr>
        <w:pStyle w:val="FirstParagraph"/>
      </w:pPr>
      <w:r>
        <w:t xml:space="preserve">At the completion of the course, students will be able to:</w:t>
      </w:r>
    </w:p>
    <w:p>
      <w:pPr>
        <w:pStyle w:val="Compact"/>
        <w:numPr>
          <w:ilvl w:val="0"/>
          <w:numId w:val="1001"/>
        </w:numPr>
      </w:pPr>
      <w:r>
        <w:t xml:space="preserve">Independently and accurately identify challenges in climate change communication</w:t>
      </w:r>
    </w:p>
    <w:p>
      <w:pPr>
        <w:pStyle w:val="Compact"/>
        <w:numPr>
          <w:ilvl w:val="0"/>
          <w:numId w:val="1001"/>
        </w:numPr>
      </w:pPr>
      <w:r>
        <w:t xml:space="preserve">Clearly explain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Develop evidence-informed recommendations for improving climate change messages for specific audiences and communication contexts</w:t>
      </w:r>
    </w:p>
    <w:bookmarkEnd w:id="27"/>
    <w:bookmarkStart w:id="29" w:name="general-information"/>
    <w:p>
      <w:pPr>
        <w:pStyle w:val="Heading2"/>
      </w:pPr>
      <w:r>
        <w:t xml:space="preserve">General Information</w:t>
      </w:r>
    </w:p>
    <w:p>
      <w:pPr>
        <w:pStyle w:val="Compact"/>
        <w:numPr>
          <w:ilvl w:val="0"/>
          <w:numId w:val="1002"/>
        </w:numPr>
      </w:pPr>
      <w:r>
        <w:t xml:space="preserve">ETH Zurich, room CAB G 61</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8">
        <w:r>
          <w:rPr>
            <w:rStyle w:val="Hyperlink"/>
          </w:rPr>
          <w:t xml:space="preserve">course website</w:t>
        </w:r>
      </w:hyperlink>
      <w:r>
        <w:t xml:space="preserve">. This is also where slides and additional materials will be posted.</w:t>
      </w:r>
    </w:p>
    <w:p>
      <w:pPr>
        <w:pStyle w:val="Compact"/>
        <w:numPr>
          <w:ilvl w:val="0"/>
          <w:numId w:val="1002"/>
        </w:numPr>
      </w:pPr>
      <w:r>
        <w:t xml:space="preserve">Students wishing to drop the course need to do so before 29.09.2026</w:t>
      </w:r>
    </w:p>
    <w:bookmarkEnd w:id="29"/>
    <w:bookmarkStart w:id="30" w:name="participation"/>
    <w:p>
      <w:pPr>
        <w:pStyle w:val="Heading2"/>
      </w:pPr>
      <w:r>
        <w:t xml:space="preserve">Participation</w:t>
      </w:r>
    </w:p>
    <w:p>
      <w:pPr>
        <w:pStyle w:val="FirstParagraph"/>
      </w:pPr>
      <w:r>
        <w:t xml:space="preserve">Students are expected to actively participate in the course by drawing on their own reading of the materials, as well as their personal experiences and perspectives. Participating means asking deep and challenging questions, but also asking simple clarification questions like</w:t>
      </w:r>
      <w:r>
        <w:t xml:space="preserve"> </w:t>
      </w:r>
      <w:r>
        <w:t xml:space="preserve">“I’m just not getting this, please explain it in some new way”</w:t>
      </w:r>
      <w:r>
        <w:t xml:space="preserve"> </w:t>
      </w:r>
      <w:r>
        <w:t xml:space="preserve">or</w:t>
      </w:r>
      <w:r>
        <w:t xml:space="preserve"> </w:t>
      </w:r>
      <w:r>
        <w:t xml:space="preserve">“I’m lost, can you remind me why we’re talking about this?”</w:t>
      </w:r>
      <w:r>
        <w:t xml:space="preserve">. Students are expected to read the main article assigned for each lecture and prepare three questions for each guest speaker.</w:t>
      </w:r>
    </w:p>
    <w:bookmarkEnd w:id="30"/>
    <w:bookmarkStart w:id="31" w:name="materials"/>
    <w:p>
      <w:pPr>
        <w:pStyle w:val="Heading2"/>
      </w:pPr>
      <w:r>
        <w:t xml:space="preserve">Materials</w:t>
      </w:r>
    </w:p>
    <w:p>
      <w:pPr>
        <w:pStyle w:val="FirstParagraph"/>
      </w:pPr>
      <w:r>
        <w:t xml:space="preserve">Course plan, reading materials, and slides will be available on Moodle and on the</w:t>
      </w:r>
      <w:r>
        <w:t xml:space="preserve"> </w:t>
      </w:r>
      <w:hyperlink r:id="rId28">
        <w:r>
          <w:rPr>
            <w:rStyle w:val="Hyperlink"/>
          </w:rPr>
          <w:t xml:space="preserve">course website</w:t>
        </w:r>
      </w:hyperlink>
      <w:r>
        <w:t xml:space="preserve">. Please note that</w:t>
      </w:r>
      <w:r>
        <w:t xml:space="preserve"> </w:t>
      </w:r>
      <w:r>
        <w:rPr>
          <w:b/>
          <w:bCs/>
        </w:rPr>
        <w:t xml:space="preserve">no</w:t>
      </w:r>
      <w:r>
        <w:t xml:space="preserve"> </w:t>
      </w:r>
      <w:r>
        <w:t xml:space="preserve">recording will be available for this course.</w:t>
      </w:r>
    </w:p>
    <w:bookmarkEnd w:id="31"/>
    <w:bookmarkStart w:id="34" w:name="assessment"/>
    <w:p>
      <w:pPr>
        <w:pStyle w:val="Heading2"/>
      </w:pPr>
      <w:r>
        <w:t xml:space="preserve">Assessment</w:t>
      </w:r>
    </w:p>
    <w:p>
      <w:pPr>
        <w:pStyle w:val="FirstParagraph"/>
      </w:pPr>
      <w:r>
        <w:t xml:space="preserve">This class is not graded, students either pass or fail. Students are expected to prepare for class by completing assigned readings, attend lectures, and meaningfully contribute to in-class exercises and discussion. To pass the class, students need to</w:t>
      </w:r>
    </w:p>
    <w:p>
      <w:pPr>
        <w:pStyle w:val="Compact"/>
        <w:numPr>
          <w:ilvl w:val="0"/>
          <w:numId w:val="1003"/>
        </w:numPr>
      </w:pPr>
      <w:r>
        <w:t xml:space="preserve">present an example of climate change communication in an oral group presentation, and</w:t>
      </w:r>
    </w:p>
    <w:p>
      <w:pPr>
        <w:pStyle w:val="Compact"/>
        <w:numPr>
          <w:ilvl w:val="0"/>
          <w:numId w:val="1003"/>
        </w:numPr>
      </w:pPr>
      <w:r>
        <w:t xml:space="preserve">submit a one-page individual reflection on the group presentation.</w:t>
      </w:r>
    </w:p>
    <w:bookmarkStart w:id="32" w:name="oral-group-presentation"/>
    <w:p>
      <w:pPr>
        <w:pStyle w:val="Heading3"/>
      </w:pPr>
      <w:r>
        <w:t xml:space="preserve">Oral group presentation</w:t>
      </w:r>
    </w:p>
    <w:p>
      <w:pPr>
        <w:pStyle w:val="FirstParagraph"/>
      </w:pPr>
      <w:r>
        <w:t xml:space="preserve">Groups present an example of climate change communication. Presentations start in week 5.</w:t>
      </w:r>
    </w:p>
    <w:p>
      <w:pPr>
        <w:pStyle w:val="Compact"/>
        <w:numPr>
          <w:ilvl w:val="0"/>
          <w:numId w:val="1004"/>
        </w:numPr>
      </w:pPr>
      <w:r>
        <w:t xml:space="preserve">Presentations last 10 minutes, followed by 5 minutes of Q&amp;A.</w:t>
      </w:r>
    </w:p>
    <w:p>
      <w:pPr>
        <w:pStyle w:val="Compact"/>
        <w:numPr>
          <w:ilvl w:val="0"/>
          <w:numId w:val="1004"/>
        </w:numPr>
      </w:pPr>
      <w:r>
        <w:t xml:space="preserve">Slides (PowerPoint or similar) are required.</w:t>
      </w:r>
    </w:p>
    <w:p>
      <w:pPr>
        <w:pStyle w:val="Compact"/>
        <w:numPr>
          <w:ilvl w:val="0"/>
          <w:numId w:val="1004"/>
        </w:numPr>
      </w:pPr>
      <w:r>
        <w:t xml:space="preserve">All group members need to actively present, with an approximately equal time split.</w:t>
      </w:r>
    </w:p>
    <w:p>
      <w:pPr>
        <w:pStyle w:val="Compact"/>
        <w:numPr>
          <w:ilvl w:val="0"/>
          <w:numId w:val="1004"/>
        </w:numPr>
      </w:pPr>
      <w:r>
        <w:t xml:space="preserve">Any type of content or message that focuses on climate change can be presented as an example, such as an advertisement, political campaign, social media post (video or text), newspaper article, etc. You can present good or bad examples of climate change communication, including messages on climate change denial, and be as creative as you want.</w:t>
      </w:r>
    </w:p>
    <w:p>
      <w:pPr>
        <w:pStyle w:val="Compact"/>
        <w:numPr>
          <w:ilvl w:val="0"/>
          <w:numId w:val="1004"/>
        </w:numPr>
      </w:pPr>
      <w:r>
        <w:t xml:space="preserve">Presentations need to introduce the content/message, address the following questions, and explicitly draw on relevant concepts learned in the course:</w:t>
      </w:r>
    </w:p>
    <w:p>
      <w:pPr>
        <w:pStyle w:val="Compact"/>
        <w:numPr>
          <w:ilvl w:val="1"/>
          <w:numId w:val="1005"/>
        </w:numPr>
      </w:pPr>
      <w:r>
        <w:t xml:space="preserve">Introduce your example. How did you come across it and why did you pick it?</w:t>
      </w:r>
    </w:p>
    <w:p>
      <w:pPr>
        <w:pStyle w:val="Compact"/>
        <w:numPr>
          <w:ilvl w:val="1"/>
          <w:numId w:val="1005"/>
        </w:numPr>
      </w:pPr>
      <w:r>
        <w:t xml:space="preserve">Who is the communicator and what is their motivation?</w:t>
      </w:r>
    </w:p>
    <w:p>
      <w:pPr>
        <w:pStyle w:val="Compact"/>
        <w:numPr>
          <w:ilvl w:val="1"/>
          <w:numId w:val="1005"/>
        </w:numPr>
      </w:pPr>
      <w:r>
        <w:t xml:space="preserve">Who is the target audience?</w:t>
      </w:r>
    </w:p>
    <w:p>
      <w:pPr>
        <w:pStyle w:val="Compact"/>
        <w:numPr>
          <w:ilvl w:val="1"/>
          <w:numId w:val="1005"/>
        </w:numPr>
      </w:pPr>
      <w:r>
        <w:t xml:space="preserve">What makes this a good/bad example of climate change communication? Is the communicator reaching the right target audience with their message/content? Is the chosen medium appropriate to support the message, and why?</w:t>
      </w:r>
    </w:p>
    <w:p>
      <w:pPr>
        <w:pStyle w:val="Compact"/>
        <w:numPr>
          <w:ilvl w:val="1"/>
          <w:numId w:val="1005"/>
        </w:numPr>
      </w:pPr>
      <w:r>
        <w:t xml:space="preserve">How could the message/content be improved?</w:t>
      </w:r>
    </w:p>
    <w:p>
      <w:pPr>
        <w:pStyle w:val="Compact"/>
        <w:numPr>
          <w:ilvl w:val="0"/>
          <w:numId w:val="1004"/>
        </w:numPr>
      </w:pPr>
      <w:r>
        <w:t xml:space="preserve">You can use AI for the preparation of the presentation, but examples should be selected by group members.</w:t>
      </w:r>
    </w:p>
    <w:bookmarkEnd w:id="32"/>
    <w:bookmarkStart w:id="33" w:name="reflection-task"/>
    <w:p>
      <w:pPr>
        <w:pStyle w:val="Heading3"/>
      </w:pPr>
      <w:r>
        <w:t xml:space="preserve">Reflection task</w:t>
      </w:r>
    </w:p>
    <w:p>
      <w:pPr>
        <w:pStyle w:val="FirstParagraph"/>
      </w:pPr>
      <w:r>
        <w:t xml:space="preserve">Each group member writes their own, separate reflection and hands it in individually. Take some time to reflect on the group presentation following the structure below. Then write down your thoughts in 400–600 words and submit the reflection on Moodle by</w:t>
      </w:r>
      <w:r>
        <w:t xml:space="preserve"> </w:t>
      </w:r>
      <w:r>
        <w:rPr>
          <w:b/>
          <w:bCs/>
        </w:rPr>
        <w:t xml:space="preserve">December 18, 2026 (23:59)</w:t>
      </w:r>
      <w:r>
        <w:t xml:space="preserve">.</w:t>
      </w:r>
    </w:p>
    <w:p>
      <w:pPr>
        <w:pStyle w:val="BodyText"/>
      </w:pPr>
      <w:r>
        <w:t xml:space="preserve">In the reflection task, please do the following:</w:t>
      </w:r>
    </w:p>
    <w:p>
      <w:pPr>
        <w:pStyle w:val="Compact"/>
        <w:numPr>
          <w:ilvl w:val="0"/>
          <w:numId w:val="1006"/>
        </w:numPr>
      </w:pPr>
      <w:r>
        <w:t xml:space="preserve">Describe how your group selected the communication example.</w:t>
      </w:r>
    </w:p>
    <w:p>
      <w:pPr>
        <w:pStyle w:val="Compact"/>
        <w:numPr>
          <w:ilvl w:val="0"/>
          <w:numId w:val="1006"/>
        </w:numPr>
      </w:pPr>
      <w:r>
        <w:t xml:space="preserve">Clearly state your role in the project and your overall contribution to the group project.</w:t>
      </w:r>
    </w:p>
    <w:p>
      <w:pPr>
        <w:pStyle w:val="Compact"/>
        <w:numPr>
          <w:ilvl w:val="0"/>
          <w:numId w:val="1006"/>
        </w:numPr>
      </w:pPr>
      <w:r>
        <w:t xml:space="preserve">Describe the group dynamics (e.g., Were there any conflicts? How did you manage the organization, prepare for the presentation, and decide on whether to use AI?). Is there anything you would do differently in hindsight?</w:t>
      </w:r>
    </w:p>
    <w:p>
      <w:pPr>
        <w:pStyle w:val="Compact"/>
        <w:numPr>
          <w:ilvl w:val="0"/>
          <w:numId w:val="1006"/>
        </w:numPr>
      </w:pPr>
      <w:r>
        <w:t xml:space="preserve">Reflect on your own contribution. Are you happy with your contribution/performance? Would you have liked to do more/less?</w:t>
      </w:r>
    </w:p>
    <w:p>
      <w:pPr>
        <w:pStyle w:val="Compact"/>
        <w:numPr>
          <w:ilvl w:val="0"/>
          <w:numId w:val="1006"/>
        </w:numPr>
      </w:pPr>
      <w:r>
        <w:t xml:space="preserve">Declare the use of AI in your group. If yes: How did you use it? Which model did you use? In which ways do you think using AI helped you? Do you think there are any downsides to the use of AI for your project?</w:t>
      </w:r>
    </w:p>
    <w:bookmarkEnd w:id="33"/>
    <w:bookmarkEnd w:id="34"/>
    <w:bookmarkStart w:id="43" w:name="course-structure"/>
    <w:p>
      <w:pPr>
        <w:pStyle w:val="Heading2"/>
      </w:pPr>
      <w:r>
        <w:t xml:space="preserve">Course Structure</w:t>
      </w:r>
    </w:p>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key concepts in environmental psychology</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w:t>
            </w:r>
            <w:r>
              <w:t xml:space="preserve"> </w:t>
            </w:r>
            <w:r>
              <w:rPr>
                <w:i/>
                <w:iCs/>
              </w:rPr>
              <w:t xml:space="preserve">Psychology and Climate Change</w:t>
            </w:r>
            <w:r>
              <w:t xml:space="preserve">, 35–63.</w:t>
            </w:r>
            <w:r>
              <w:t xml:space="preserve"> </w:t>
            </w:r>
            <w:hyperlink r:id="rId35">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Public opinion on climate change and the deficit model</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(2015). Global warming’s five</w:t>
            </w:r>
            <w:r>
              <w:t xml:space="preserve"> </w:t>
            </w:r>
            <w:r>
              <w:t xml:space="preserve">Germanys</w:t>
            </w:r>
            <w:r>
              <w:t xml:space="preserve">:</w:t>
            </w:r>
            <w:r>
              <w:t xml:space="preserve"> </w:t>
            </w:r>
            <w:r>
              <w:t xml:space="preserve">A</w:t>
            </w:r>
            <w:r>
              <w:t xml:space="preserve"> </w:t>
            </w:r>
            <w:r>
              <w:t xml:space="preserve">typology of</w:t>
            </w:r>
            <w:r>
              <w:t xml:space="preserve"> </w:t>
            </w:r>
            <w:r>
              <w:t xml:space="preserve">Germans</w:t>
            </w:r>
            <w:r>
              <w:t xml:space="preserve">’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6">
              <w:r>
                <w:rPr>
                  <w:rStyle w:val="Hyperlink"/>
                </w:rPr>
                <w:t xml:space="preserve">https://doi.org/10.1177/0963662515592558</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A question of trust</w:t>
            </w:r>
            <w:r>
              <w:t xml:space="preserve"> — Viktoria Cologna</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w:t>
            </w:r>
            <w:r>
              <w:t xml:space="preserve"> </w:t>
            </w:r>
            <w:r>
              <w:t xml:space="preserve">A</w:t>
            </w:r>
            <w:r>
              <w:t xml:space="preserve"> </w:t>
            </w:r>
            <w:r>
              <w:t xml:space="preserve">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7">
              <w:r>
                <w:rPr>
                  <w:rStyle w:val="Hyperlink"/>
                </w:rPr>
                <w:t xml:space="preserve">https://doi.org/10.1371/journal.pclm.0000400</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t xml:space="preserve">Van Der Linden, S., Maibach, E., &amp; Leiserowitz, A. (2015). Improving</w:t>
            </w:r>
            <w:r>
              <w:t xml:space="preserve"> </w:t>
            </w:r>
            <w:r>
              <w:t xml:space="preserve">Public Engagement With Climate Change</w:t>
            </w:r>
            <w:r>
              <w:t xml:space="preserve">:</w:t>
            </w:r>
            <w:r>
              <w:t xml:space="preserve"> </w:t>
            </w:r>
            <w:r>
              <w:t xml:space="preserve">Five</w:t>
            </w:r>
            <w:r>
              <w:t xml:space="preserve"> </w:t>
            </w:r>
            <w:r>
              <w:t xml:space="preserve">“</w:t>
            </w:r>
            <w:r>
              <w:t xml:space="preserve">Best Practice</w:t>
            </w:r>
            <w:r>
              <w:t xml:space="preserve">”</w:t>
            </w:r>
            <w:r>
              <w:t xml:space="preserve"> </w:t>
            </w:r>
            <w:r>
              <w:t xml:space="preserve">Insights From Psychological Science</w:t>
            </w:r>
            <w:r>
              <w:t xml:space="preserve">.</w:t>
            </w:r>
            <w:r>
              <w:t xml:space="preserve"> </w:t>
            </w:r>
            <w:r>
              <w:rPr>
                <w:i/>
                <w:iCs/>
              </w:rPr>
              <w:t xml:space="preserve">Perspectives on Psychological Science</w:t>
            </w:r>
            <w:r>
              <w:t xml:space="preserve">,</w:t>
            </w:r>
            <w:r>
              <w:t xml:space="preserve"> </w:t>
            </w:r>
            <w:r>
              <w:rPr>
                <w:i/>
                <w:iCs/>
              </w:rPr>
              <w:t xml:space="preserve">10</w:t>
            </w:r>
            <w:r>
              <w:t xml:space="preserve">(6), 758–763.</w:t>
            </w:r>
            <w:r>
              <w:t xml:space="preserve"> </w:t>
            </w:r>
            <w:hyperlink r:id="rId38">
              <w:r>
                <w:rPr>
                  <w:rStyle w:val="Hyperlink"/>
                </w:rPr>
                <w:t xml:space="preserve">https://doi.org/10.1177/1745691615598516</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emotions</w:t>
            </w:r>
            <w:r>
              <w:t xml:space="preserve"> — Viktoria Cologna</w:t>
            </w:r>
          </w:p>
          <w:p>
            <w:pPr>
              <w:pStyle w:val="BodyText"/>
            </w:pPr>
            <w:r>
              <w:t xml:space="preserve">What is the role of emotions in climate change communication? How can we communicate about climate change in a way that increases feelings of self-efficacy? How does media usage relate to behavioral intentions? Group presentations start this week.</w:t>
            </w:r>
          </w:p>
        </w:tc>
        <w:tc>
          <w:tcPr/>
          <w:p>
            <w:pPr>
              <w:pStyle w:val="BodyText"/>
            </w:pPr>
            <w:r>
              <w:t xml:space="preserve">Stanley, S. K., Hogg, T. L., Leviston, Z., &amp; Walker, I. (2021). From anger to action:</w:t>
            </w:r>
            <w:r>
              <w:t xml:space="preserve"> </w:t>
            </w:r>
            <w:r>
              <w:t xml:space="preserve">Differential</w:t>
            </w:r>
            <w:r>
              <w:t xml:space="preserve"> </w:t>
            </w:r>
            <w:r>
              <w:t xml:space="preserve">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39">
              <w:r>
                <w:rPr>
                  <w:rStyle w:val="Hyperlink"/>
                </w:rPr>
                <w:t xml:space="preserve">https://doi.org/10.1016/j.joclim.2021.100003</w:t>
              </w:r>
            </w:hyperlink>
          </w:p>
        </w:tc>
      </w:tr>
      <w:tr>
        <w:tc>
          <w:tcPr/>
          <w:p>
            <w:pPr>
              <w:pStyle w:val="Compact"/>
            </w:pPr>
            <w:r>
              <w:t xml:space="preserve">6</w:t>
            </w:r>
          </w:p>
        </w:tc>
        <w:tc>
          <w:tcPr/>
          <w:p>
            <w:pPr>
              <w:pStyle w:val="Compact"/>
            </w:pPr>
            <w:r>
              <w:t xml:space="preserve">20.10.2026</w:t>
            </w:r>
          </w:p>
        </w:tc>
        <w:tc>
          <w:tcPr/>
          <w:p>
            <w:pPr>
              <w:pStyle w:val="BodyText"/>
            </w:pPr>
            <w:r>
              <w:rPr>
                <w:b/>
                <w:bCs/>
              </w:rPr>
              <w:t xml:space="preserve">Guest speaker: Dr. Cornelia Schwierz</w:t>
            </w:r>
            <w:r>
              <w:t xml:space="preserve"> — Invited speaker</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7</w:t>
            </w:r>
          </w:p>
        </w:tc>
        <w:tc>
          <w:tcPr/>
          <w:p>
            <w:pPr>
              <w:pStyle w:val="Compact"/>
            </w:pPr>
            <w:r>
              <w:t xml:space="preserve">27.10.2026</w:t>
            </w:r>
          </w:p>
        </w:tc>
        <w:tc>
          <w:tcPr/>
          <w:p>
            <w:pPr>
              <w:pStyle w:val="BodyText"/>
            </w:pPr>
            <w:r>
              <w:rPr>
                <w:b/>
                <w:bCs/>
              </w:rPr>
              <w:t xml:space="preserve">Guest speaker: Prof. Dr. Reto Knutti</w:t>
            </w:r>
            <w:r>
              <w:t xml:space="preserve"> — Invited speaker</w:t>
            </w:r>
          </w:p>
          <w:p>
            <w:pPr>
              <w:pStyle w:val="BodyText"/>
            </w:pPr>
            <w:r>
              <w:t xml:space="preserve">Prof. Dr. Reto Knutti is Professor of Climate Physics at the Institute for Atmospheric and Climate Science at ETH Zurich and has served as a lead author of the Intergovernmental Panel on Climate Change (IPCC) assessment reports.</w:t>
            </w:r>
          </w:p>
        </w:tc>
        <w:tc>
          <w:tcPr/>
          <w:p>
            <w:pPr>
              <w:pStyle w:val="BodyText"/>
            </w:pPr>
            <w:r>
              <w:t xml:space="preserve">Preparation: Come to class with at least 3 questions for our guest speaker.</w:t>
            </w:r>
          </w:p>
        </w:tc>
      </w:tr>
      <w:tr>
        <w:tc>
          <w:tcPr/>
          <w:p>
            <w:pPr>
              <w:pStyle w:val="Compact"/>
            </w:pPr>
            <w:r>
              <w:t xml:space="preserve">8</w:t>
            </w:r>
          </w:p>
        </w:tc>
        <w:tc>
          <w:tcPr/>
          <w:p>
            <w:pPr>
              <w:pStyle w:val="Compact"/>
            </w:pPr>
            <w:r>
              <w:t xml:space="preserve">03.11.2026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w:t>
            </w:r>
            <w:r>
              <w:t xml:space="preserve"> </w:t>
            </w:r>
            <w:r>
              <w:t xml:space="preserve">Climate Change Imagery</w:t>
            </w:r>
            <w:r>
              <w:t xml:space="preserve">:</w:t>
            </w:r>
            <w:r>
              <w:t xml:space="preserve"> </w:t>
            </w:r>
            <w:r>
              <w:t xml:space="preserve">Evoked Salience</w:t>
            </w:r>
            <w:r>
              <w:t xml:space="preserve"> </w:t>
            </w:r>
            <w:r>
              <w:t xml:space="preserve">and</w:t>
            </w:r>
            <w:r>
              <w:t xml:space="preserve"> </w:t>
            </w:r>
            <w:r>
              <w:t xml:space="preserve">Self-Efficacy</w:t>
            </w:r>
            <w:r>
              <w:t xml:space="preserve"> </w:t>
            </w:r>
            <w:r>
              <w:t xml:space="preserve">in</w:t>
            </w:r>
            <w:r>
              <w:t xml:space="preserve"> </w:t>
            </w:r>
            <w:r>
              <w:t xml:space="preserve">Germany</w:t>
            </w:r>
            <w:r>
              <w:t xml:space="preserve">,</w:t>
            </w:r>
            <w:r>
              <w:t xml:space="preserve"> </w:t>
            </w:r>
            <w:r>
              <w:t xml:space="preserve">Switzerland</w:t>
            </w:r>
            <w:r>
              <w:t xml:space="preserve">, and</w:t>
            </w:r>
            <w:r>
              <w:t xml:space="preserve"> </w:t>
            </w:r>
            <w:r>
              <w:t xml:space="preserve">Austria</w:t>
            </w:r>
            <w:r>
              <w:t xml:space="preserve">.</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0">
              <w:r>
                <w:rPr>
                  <w:rStyle w:val="Hyperlink"/>
                </w:rPr>
                <w:t xml:space="preserve">https://doi.org/10.1177/1075547016635181</w:t>
              </w:r>
            </w:hyperlink>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t xml:space="preserve">Lewandowsky, S. (2021). Climate</w:t>
            </w:r>
            <w:r>
              <w:t xml:space="preserve"> </w:t>
            </w:r>
            <w:r>
              <w:t xml:space="preserve">Change Disinformation</w:t>
            </w:r>
            <w:r>
              <w:t xml:space="preserve"> </w:t>
            </w:r>
            <w:r>
              <w:t xml:space="preserve">and</w:t>
            </w:r>
            <w:r>
              <w:t xml:space="preserve"> </w:t>
            </w:r>
            <w:r>
              <w:t xml:space="preserve">How</w:t>
            </w:r>
            <w:r>
              <w:t xml:space="preserve"> </w:t>
            </w:r>
            <w:r>
              <w:t xml:space="preserve">to</w:t>
            </w:r>
            <w:r>
              <w:t xml:space="preserve"> </w:t>
            </w:r>
            <w:r>
              <w:t xml:space="preserve">Combat It</w:t>
            </w:r>
            <w:r>
              <w:t xml:space="preserve">.</w:t>
            </w:r>
            <w:r>
              <w:t xml:space="preserve"> </w:t>
            </w:r>
            <w:r>
              <w:rPr>
                <w:i/>
                <w:iCs/>
              </w:rPr>
              <w:t xml:space="preserve">Annual Review of Public Health</w:t>
            </w:r>
            <w:r>
              <w:t xml:space="preserve">,</w:t>
            </w:r>
            <w:r>
              <w:t xml:space="preserve"> </w:t>
            </w:r>
            <w:r>
              <w:rPr>
                <w:i/>
                <w:iCs/>
              </w:rPr>
              <w:t xml:space="preserve">42</w:t>
            </w:r>
            <w:r>
              <w:t xml:space="preserve">, 1–21.</w:t>
            </w:r>
            <w:r>
              <w:t xml:space="preserve"> </w:t>
            </w:r>
            <w:hyperlink r:id="rId41">
              <w:r>
                <w:rPr>
                  <w:rStyle w:val="Hyperlink"/>
                </w:rPr>
                <w:t xml:space="preserve">https://doi.org/10.1146/annurev-publhealth-090419-102409</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Guest speaker: Dr. Leonard Creutzburg</w:t>
            </w:r>
            <w:r>
              <w:t xml:space="preserve"> — Invited speaker</w:t>
            </w:r>
          </w:p>
          <w:p>
            <w:pPr>
              <w:pStyle w:val="BodyText"/>
            </w:pPr>
            <w:r>
              <w:t xml:space="preserve">Dr. Leonard Creutzburg co-leads the WWF Switzerland One Planet Lab, where he is a project lead for new economic systems. He was a research assistant at ETH Zurich at the Natural Research Policy Group (NARP) and completed his PhD in Economic Geography at the University of Zurich. He will talk to us about the challenges of climate communication from the perspective of a Swiss NGO.</w:t>
            </w:r>
          </w:p>
        </w:tc>
        <w:tc>
          <w:tcPr/>
          <w:p>
            <w:pPr>
              <w:pStyle w:val="BodyText"/>
            </w:pPr>
            <w:r>
              <w:t xml:space="preserve">Preparation: Come to class with at least 3 questions for our guest speaker.</w:t>
            </w:r>
          </w:p>
        </w:tc>
      </w:tr>
      <w:tr>
        <w:tc>
          <w:tcPr/>
          <w:p>
            <w:pPr>
              <w:pStyle w:val="Compact"/>
            </w:pPr>
            <w:r>
              <w:t xml:space="preserve">11</w:t>
            </w:r>
          </w:p>
        </w:tc>
        <w:tc>
          <w:tcPr/>
          <w:p>
            <w:pPr>
              <w:pStyle w:val="Compact"/>
            </w:pPr>
            <w:r>
              <w:t xml:space="preserve">24.11.2026</w:t>
            </w:r>
          </w:p>
        </w:tc>
        <w:tc>
          <w:tcPr/>
          <w:p>
            <w:pPr>
              <w:pStyle w:val="BodyText"/>
            </w:pPr>
            <w:r>
              <w:rPr>
                <w:b/>
                <w:bCs/>
              </w:rPr>
              <w:t xml:space="preserve">From communication to behavior change</w:t>
            </w:r>
            <w:r>
              <w:t xml:space="preserve"> — Jan Pfänder</w:t>
            </w:r>
          </w:p>
          <w:p>
            <w:pPr>
              <w:pStyle w:val="BodyText"/>
            </w:pPr>
            <w:r>
              <w:t xml:space="preserve">Which behaviors are most effective when it comes to climate change? How can we overcome the intention-action gap? What role can communication play for structural change?</w:t>
            </w:r>
          </w:p>
        </w:tc>
        <w:tc>
          <w:tcPr/>
          <w:p>
            <w:pPr>
              <w:pStyle w:val="BodyText"/>
            </w:pPr>
            <w:r>
              <w:t xml:space="preserve">Fielding, K. S., &amp; Hornsey, M. J. (2026). Understanding and reducing the intention–behaviour gap in climate action.</w:t>
            </w:r>
            <w:r>
              <w:t xml:space="preserve"> </w:t>
            </w:r>
            <w:r>
              <w:rPr>
                <w:i/>
                <w:iCs/>
              </w:rPr>
              <w:t xml:space="preserve">Nature Climate Change</w:t>
            </w:r>
            <w:r>
              <w:t xml:space="preserve">,</w:t>
            </w:r>
            <w:r>
              <w:t xml:space="preserve"> </w:t>
            </w:r>
            <w:r>
              <w:rPr>
                <w:i/>
                <w:iCs/>
              </w:rPr>
              <w:t xml:space="preserve">16</w:t>
            </w:r>
            <w:r>
              <w:t xml:space="preserve">(6), 638–647.</w:t>
            </w:r>
            <w:r>
              <w:t xml:space="preserve"> </w:t>
            </w:r>
            <w:hyperlink r:id="rId42">
              <w:r>
                <w:rPr>
                  <w:rStyle w:val="Hyperlink"/>
                </w:rPr>
                <w:t xml:space="preserve">https://doi.org/10.1038/s41558-026-02630-z</w:t>
              </w:r>
            </w:hyperlink>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Dr. Cornelia Staub</w:t>
            </w:r>
            <w:r>
              <w:t xml:space="preserve"> — Invited speaker</w:t>
            </w:r>
          </w:p>
          <w:p>
            <w:pPr>
              <w:pStyle w:val="BodyText"/>
            </w:pPr>
            <w:r>
              <w:t xml:space="preserve">Dr. Cornelia Staub is Head of Sustainability at Migros Industrie, the food and consumer goods production arm of the Migros Group.</w:t>
            </w:r>
          </w:p>
        </w:tc>
        <w:tc>
          <w:tcPr/>
          <w:p>
            <w:pPr>
              <w:pStyle w:val="BodyText"/>
            </w:pPr>
            <w:r>
              <w:t xml:space="preserve">Preparation: Come to class with at least 3 questions for our guest speaker.</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Dr. Cornelia Eisenach</w:t>
            </w:r>
            <w:r>
              <w:t xml:space="preserve"> — Invited speaker</w:t>
            </w:r>
          </w:p>
          <w:p>
            <w:pPr>
              <w:pStyle w:val="BodyText"/>
            </w:pPr>
            <w:r>
              <w:t xml:space="preserve">Dr. Cornelia Eisenach is a science journalist at Republik Magazin, where she writes about health and environmental topics. She holds a PhD in Biology from the University of Glasgow and was a postdoc at the University of Zurich before moving into journalism.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t xml:space="preserve">Based on what we have learned in the previous weeks, we will summarize and discuss successful communication strategies, and reflect on the contributions by our guest speakers and how they relate to what we have learned in the previous sessions.</w:t>
            </w:r>
          </w:p>
        </w:tc>
        <w:tc>
          <w:tcPr/>
          <w:p>
            <w:pPr>
              <w:pStyle w:val="Compact"/>
            </w:pPr>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B978-0-12-813130-5.00003-5" TargetMode="External" /><Relationship Type="http://schemas.openxmlformats.org/officeDocument/2006/relationships/hyperlink" Id="rId39" Target="https://doi.org/10.1016/j.joclim.2021.100003" TargetMode="External" /><Relationship Type="http://schemas.openxmlformats.org/officeDocument/2006/relationships/hyperlink" Id="rId42" Target="https://doi.org/10.1038/s41558-026-02630-z" TargetMode="External" /><Relationship Type="http://schemas.openxmlformats.org/officeDocument/2006/relationships/hyperlink" Id="rId41" Target="https://doi.org/10.1146/annurev-publhealth-090419-102409" TargetMode="External" /><Relationship Type="http://schemas.openxmlformats.org/officeDocument/2006/relationships/hyperlink" Id="rId36" Target="https://doi.org/10.1177/0963662515592558" TargetMode="External" /><Relationship Type="http://schemas.openxmlformats.org/officeDocument/2006/relationships/hyperlink" Id="rId40" Target="https://doi.org/10.1177/1075547016635181" TargetMode="External" /><Relationship Type="http://schemas.openxmlformats.org/officeDocument/2006/relationships/hyperlink" Id="rId38" Target="https://doi.org/10.1177/1745691615598516" TargetMode="External" /><Relationship Type="http://schemas.openxmlformats.org/officeDocument/2006/relationships/hyperlink" Id="rId37" Target="https://doi.org/10.1371/journal.pclm.0000400" TargetMode="External" /><Relationship Type="http://schemas.openxmlformats.org/officeDocument/2006/relationships/hyperlink" Id="rId28"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
  <cp:keywords/>
  <dcterms:created xsi:type="dcterms:W3CDTF">2026-09-18T12:04:56Z</dcterms:created>
  <dcterms:modified xsi:type="dcterms:W3CDTF">2026-09-18T12:04:56Z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apa-cv.csl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Theoretical insights and practical applications — Syllabus, Autumn 2026</vt:lpwstr>
  </property>
  <property fmtid="{D5CDD505-2E9C-101B-9397-08002B2CF9AE}" pid="11" name="suppress-bibliography">
    <vt:lpwstr>True</vt:lpwstr>
  </property>
  <property fmtid="{D5CDD505-2E9C-101B-9397-08002B2CF9AE}" pid="12" name="toc-title">
    <vt:lpwstr>Table of contents</vt:lpwstr>
  </property>
</Properties>
</file>