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CAB G 61</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by Friday, September 25, 2026 (23:59)</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the</w:t>
      </w:r>
      <w:r>
        <w:t xml:space="preserve"> </w:t>
      </w:r>
      <w:hyperlink r:id="rId28">
        <w:r>
          <w:rPr>
            <w:rStyle w:val="Hyperlink"/>
          </w:rPr>
          <w:t xml:space="preserve">course website</w:t>
        </w:r>
      </w:hyperlink>
      <w:r>
        <w:t xml:space="preserve">.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All group members need to actively present, with an approximately equal time split.</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w:t>
            </w:r>
            <w:r>
              <w:t xml:space="preserve"> </w:t>
            </w:r>
            <w:r>
              <w:rPr>
                <w:i/>
                <w:iCs/>
              </w:rPr>
              <w:t xml:space="preserve">Psychology and Climate Change</w:t>
            </w:r>
            <w:r>
              <w:t xml:space="preserve">, 35–63.</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(2015). Global warming’s five</w:t>
            </w:r>
            <w:r>
              <w:t xml:space="preserve"> </w:t>
            </w:r>
            <w:r>
              <w:t xml:space="preserve">Germanys</w:t>
            </w:r>
            <w:r>
              <w:t xml:space="preserve">:</w:t>
            </w:r>
            <w:r>
              <w:t xml:space="preserve"> </w:t>
            </w:r>
            <w:r>
              <w:t xml:space="preserve">A</w:t>
            </w:r>
            <w:r>
              <w:t xml:space="preserve"> </w:t>
            </w:r>
            <w:r>
              <w:t xml:space="preserve">typology of</w:t>
            </w:r>
            <w:r>
              <w:t xml:space="preserve"> </w:t>
            </w:r>
            <w:r>
              <w:t xml:space="preserve">Germans</w:t>
            </w:r>
            <w:r>
              <w:t xml:space="preserve">’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w:t>
            </w:r>
            <w:r>
              <w:t xml:space="preserve"> </w:t>
            </w:r>
            <w:r>
              <w:t xml:space="preserve">A</w:t>
            </w:r>
            <w:r>
              <w:t xml:space="preserve"> </w:t>
            </w:r>
            <w:r>
              <w:t xml:space="preserve">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w:t>
            </w:r>
            <w:r>
              <w:t xml:space="preserve"> </w:t>
            </w:r>
            <w:r>
              <w:t xml:space="preserve">Public Engagement With Climate Change</w:t>
            </w:r>
            <w:r>
              <w:t xml:space="preserve">:</w:t>
            </w:r>
            <w:r>
              <w:t xml:space="preserve"> </w:t>
            </w:r>
            <w:r>
              <w:t xml:space="preserve">Five</w:t>
            </w:r>
            <w:r>
              <w:t xml:space="preserve"> </w:t>
            </w:r>
            <w:r>
              <w:t xml:space="preserve">“</w:t>
            </w:r>
            <w:r>
              <w:t xml:space="preserve">Best Practice</w:t>
            </w:r>
            <w:r>
              <w:t xml:space="preserve">”</w:t>
            </w:r>
            <w:r>
              <w:t xml:space="preserve"> </w:t>
            </w:r>
            <w:r>
              <w:t xml:space="preserve">Insights From Psychological Science</w:t>
            </w:r>
            <w:r>
              <w:t xml:space="preserv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w:t>
            </w:r>
            <w:r>
              <w:t xml:space="preserve"> </w:t>
            </w:r>
            <w:r>
              <w:t xml:space="preserve">Differential</w:t>
            </w:r>
            <w:r>
              <w:t xml:space="preserve"> </w:t>
            </w:r>
            <w:r>
              <w:t xml:space="preserve">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Prof. Dr. Reto Knutti</w:t>
            </w:r>
            <w:r>
              <w:t xml:space="preserve"> — Invited speaker</w:t>
            </w:r>
          </w:p>
          <w:p>
            <w:pPr>
              <w:pStyle w:val="BodyText"/>
            </w:pPr>
            <w:r>
              <w:t xml:space="preserve">Prof. Dr. Reto Knutti is Professor of Climate Physics at the Institute for Atmospheric and Climate Science at ETH Zurich and has served as a lead author of the Intergovernmental Panel on Climate Change (IPCC) assessment reports.</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w:t>
            </w:r>
            <w:r>
              <w:t xml:space="preserve"> </w:t>
            </w:r>
            <w:r>
              <w:t xml:space="preserve">Climate Change Imagery</w:t>
            </w:r>
            <w:r>
              <w:t xml:space="preserve">:</w:t>
            </w:r>
            <w:r>
              <w:t xml:space="preserve"> </w:t>
            </w:r>
            <w:r>
              <w:t xml:space="preserve">Evoked Salience</w:t>
            </w:r>
            <w:r>
              <w:t xml:space="preserve"> </w:t>
            </w:r>
            <w:r>
              <w:t xml:space="preserve">and</w:t>
            </w:r>
            <w:r>
              <w:t xml:space="preserve"> </w:t>
            </w:r>
            <w:r>
              <w:t xml:space="preserve">Self-Efficacy</w:t>
            </w:r>
            <w:r>
              <w:t xml:space="preserve"> </w:t>
            </w:r>
            <w:r>
              <w:t xml:space="preserve">in</w:t>
            </w:r>
            <w:r>
              <w:t xml:space="preserve"> </w:t>
            </w:r>
            <w:r>
              <w:t xml:space="preserve">Germany</w:t>
            </w:r>
            <w:r>
              <w:t xml:space="preserve">,</w:t>
            </w:r>
            <w:r>
              <w:t xml:space="preserve"> </w:t>
            </w:r>
            <w:r>
              <w:t xml:space="preserve">Switzerland</w:t>
            </w:r>
            <w:r>
              <w:t xml:space="preserve">, and</w:t>
            </w:r>
            <w:r>
              <w:t xml:space="preserve"> </w:t>
            </w:r>
            <w:r>
              <w:t xml:space="preserve">Austria</w:t>
            </w:r>
            <w:r>
              <w:t xml:space="preserve">.</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w:t>
            </w:r>
            <w:r>
              <w:t xml:space="preserve"> </w:t>
            </w:r>
            <w:r>
              <w:t xml:space="preserve">Change Disinformation</w:t>
            </w:r>
            <w:r>
              <w:t xml:space="preserve"> </w:t>
            </w:r>
            <w:r>
              <w:t xml:space="preserve">and</w:t>
            </w:r>
            <w:r>
              <w:t xml:space="preserve"> </w:t>
            </w:r>
            <w:r>
              <w:t xml:space="preserve">How</w:t>
            </w:r>
            <w:r>
              <w:t xml:space="preserve"> </w:t>
            </w:r>
            <w:r>
              <w:t xml:space="preserve">to</w:t>
            </w:r>
            <w:r>
              <w:t xml:space="preserve"> </w:t>
            </w:r>
            <w:r>
              <w:t xml:space="preserve">Combat It</w:t>
            </w:r>
            <w:r>
              <w:t xml:space="preserve">.</w:t>
            </w:r>
            <w:r>
              <w:t xml:space="preserve"> </w:t>
            </w:r>
            <w:r>
              <w:rPr>
                <w:i/>
                <w:iCs/>
              </w:rPr>
              <w:t xml:space="preserve">Annual Review of Public Health</w:t>
            </w:r>
            <w:r>
              <w:t xml:space="preserve">,</w:t>
            </w:r>
            <w:r>
              <w:t xml:space="preserve"> </w:t>
            </w:r>
            <w:r>
              <w:rPr>
                <w:i/>
                <w:iCs/>
              </w:rPr>
              <w:t xml:space="preserve">42</w:t>
            </w:r>
            <w:r>
              <w:t xml:space="preserve">,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t xml:space="preserve">Which behaviors are most effective when it comes to climate change? How can we overcome the intention-action gap? What role can communication play for structural change?</w:t>
            </w:r>
          </w:p>
        </w:tc>
        <w:tc>
          <w:tcPr/>
          <w:p>
            <w:pPr>
              <w:pStyle w:val="BodyText"/>
            </w:pPr>
            <w:r>
              <w:t xml:space="preserve">Fielding, K. S., &amp; Hornsey, M. 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t xml:space="preserve">Dr. Cornelia Staub is Head of Sustainability at Migros Industrie, the food and consumer goods production arm of the Migros Group.</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2026-09-28T08:26:07Z</dcterms:created>
  <dcterms:modified xsi:type="dcterms:W3CDTF">2026-09-28T08:26:07Z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assets/apa-cv.csl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suppress-bibliography">
    <vt:lpwstr>True</vt:lpwstr>
  </property>
  <property fmtid="{D5CDD505-2E9C-101B-9397-08002B2CF9AE}" pid="12" name="toc-title">
    <vt:lpwstr>Table of contents</vt:lpwstr>
  </property>
</Properties>
</file>