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0" w:name="instructor"/>
    <w:p>
      <w:pPr>
        <w:pStyle w:val="Heading2"/>
      </w:pPr>
      <w:r>
        <w:t xml:space="preserve">Instructor</w:t>
      </w:r>
    </w:p>
    <w:p>
      <w:pPr>
        <w:pStyle w:val="FirstParagraph"/>
      </w:pPr>
      <w:r>
        <w:t xml:space="preserve">Jan Pfänder | ETH Zurich | janlukas.pfaender@gmail.com | https://janpfander.github.io/</w:t>
      </w:r>
    </w:p>
    <w:bookmarkEnd w:id="20"/>
    <w:bookmarkStart w:id="21"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1"/>
    <w:bookmarkStart w:id="22"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2"/>
    <w:bookmarkStart w:id="24"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3">
        <w:r>
          <w:rPr>
            <w:rStyle w:val="Hyperlink"/>
          </w:rPr>
          <w:t xml:space="preserve">course website</w:t>
        </w:r>
      </w:hyperlink>
      <w:r>
        <w:t xml:space="preserve">. This is also where slides and additional materials will be posted.</w:t>
      </w:r>
    </w:p>
    <w:bookmarkEnd w:id="24"/>
    <w:bookmarkStart w:id="25"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25"/>
    <w:bookmarkStart w:id="26"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26"/>
    <w:bookmarkStart w:id="27"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27"/>
    <w:bookmarkStart w:id="45" w:name="lecture-plan-draft"/>
    <w:p>
      <w:pPr>
        <w:pStyle w:val="Heading2"/>
      </w:pPr>
      <w:r>
        <w:t xml:space="preserve">Lecture Plan (Draft)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Literature is cited as plain text until</w:t>
            </w:r>
            <w:r>
              <w:t xml:space="preserve"> </w:t>
            </w:r>
            <w:r>
              <w:rPr>
                <w:rStyle w:val="VerbatimChar"/>
              </w:rPr>
              <w:t xml:space="preserve">references.bib</w:t>
            </w:r>
            <w:r>
              <w:t xml:space="preserve"> </w:t>
            </w:r>
            <w:r>
              <w:t xml:space="preserve">is populated from Zotero.</w:t>
            </w:r>
          </w:p>
          <w:p/>
        </w:tc>
      </w:tr>
    </w:tbl>
    <w:bookmarkStart w:id="31" w:name="Xec5c94048152799cf581497ba56a83f387a0339"/>
    <w:p>
      <w:pPr>
        <w:pStyle w:val="Heading3"/>
      </w:pPr>
      <w:r>
        <w:t xml:space="preserve">1 — 15.09.2026 — Introduction and organizational questions</w:t>
      </w:r>
    </w:p>
    <w:p>
      <w:pPr>
        <w:pStyle w:val="FirstParagraph"/>
      </w:pPr>
      <w:r>
        <w:rPr>
          <w:b/>
          <w:bCs/>
        </w:rPr>
        <w:t xml:space="preserve">[TODO: co-teacher attribution (</w:t>
      </w:r>
      <w:r>
        <w:rPr>
          <w:b/>
          <w:bCs/>
        </w:rPr>
        <w:t xml:space="preserve">“Viktoria, Jan”</w:t>
      </w:r>
      <w:r>
        <w:rPr>
          <w:b/>
          <w:bCs/>
        </w:rPr>
        <w:t xml:space="preserve">) from old course — confirm]</w:t>
      </w:r>
    </w:p>
    <w:p>
      <w:pPr>
        <w:pStyle w:val="BodyText"/>
      </w:pPr>
      <w:r>
        <w:t xml:space="preserve">Why is climate change communication important and why is it so challenging?</w:t>
      </w:r>
    </w:p>
    <w:p>
      <w:pPr>
        <w:pStyle w:val="BodyText"/>
      </w:pPr>
      <w:r>
        <w:t xml:space="preserve">Literature:</w:t>
      </w:r>
    </w:p>
    <w:p>
      <w:pPr>
        <w:pStyle w:val="Compact"/>
        <w:numPr>
          <w:ilvl w:val="0"/>
          <w:numId w:val="1004"/>
        </w:numPr>
      </w:pPr>
      <w:r>
        <w:t xml:space="preserve">Markowitz &amp; Guckian (2018). Climate change communication: Challenges, insights, and opportunities.</w:t>
      </w:r>
    </w:p>
    <w:bookmarkEnd w:id="31"/>
    <w:bookmarkStart w:id="32" w:name="X959b7bb8eb6942e8b64bebc2533c39bccccc0a7"/>
    <w:p>
      <w:pPr>
        <w:pStyle w:val="Heading3"/>
      </w:pPr>
      <w:r>
        <w:t xml:space="preserve">2 — 22.09.2026 — Climate change, the deficit model, and public opinion</w:t>
      </w:r>
    </w:p>
    <w:p>
      <w:pPr>
        <w:pStyle w:val="FirstParagraph"/>
      </w:pPr>
      <w:r>
        <w:t xml:space="preserve">What is climate change and how does it occur? Does knowledge-focused communication about climate change lead to more concern and engagement? What is the public opinion about climate change?</w:t>
      </w:r>
    </w:p>
    <w:p>
      <w:pPr>
        <w:pStyle w:val="BodyText"/>
      </w:pPr>
      <w:r>
        <w:t xml:space="preserve">Literature:</w:t>
      </w:r>
    </w:p>
    <w:p>
      <w:pPr>
        <w:pStyle w:val="Compact"/>
        <w:numPr>
          <w:ilvl w:val="0"/>
          <w:numId w:val="1005"/>
        </w:numPr>
      </w:pPr>
      <w:r>
        <w:t xml:space="preserve">Metag et al. (2017). Global warming’s five Germanys.</w:t>
      </w:r>
    </w:p>
    <w:p>
      <w:pPr>
        <w:pStyle w:val="Compact"/>
        <w:numPr>
          <w:ilvl w:val="0"/>
          <w:numId w:val="1005"/>
        </w:numPr>
      </w:pPr>
      <w:r>
        <w:t xml:space="preserve">Leiserowitz et al. (2024). Climate Change in the American Mind: Beliefs &amp; Attitudes.</w:t>
      </w:r>
      <w:r>
        <w:t xml:space="preserve"> </w:t>
      </w:r>
      <w:r>
        <w:rPr>
          <w:b/>
          <w:bCs/>
        </w:rPr>
        <w:t xml:space="preserve">[TODO: missing from reference list in template]</w:t>
      </w:r>
    </w:p>
    <w:p>
      <w:pPr>
        <w:pStyle w:val="Compact"/>
        <w:numPr>
          <w:ilvl w:val="0"/>
          <w:numId w:val="1005"/>
        </w:numPr>
      </w:pPr>
      <w:r>
        <w:t xml:space="preserve">Shi et al. (2016). Knowledge as a driver of public perceptions about climate change reassessed.</w:t>
      </w:r>
    </w:p>
    <w:bookmarkEnd w:id="32"/>
    <w:bookmarkStart w:id="33" w:name="guest-speaker-dr.-leonard-creutzburg"/>
    <w:p>
      <w:pPr>
        <w:pStyle w:val="Heading3"/>
      </w:pPr>
      <w:r>
        <w:t xml:space="preserve">3 — 29.09.2026 — Guest speaker: Dr. Leonard Creutzburg</w:t>
      </w:r>
    </w:p>
    <w:p>
      <w:pPr>
        <w:pStyle w:val="FirstParagraph"/>
      </w:pPr>
      <w:r>
        <w:rPr>
          <w:b/>
          <w:bCs/>
        </w:rPr>
        <w:t xml:space="preserve">[TODO: blurb below describes a different person (Dr. Lydia Ebersbach, WWF) — stale from old course,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p>
      <w:pPr>
        <w:pStyle w:val="BodyText"/>
      </w:pPr>
      <w:r>
        <w:t xml:space="preserve">Literature:</w:t>
      </w:r>
      <w:r>
        <w:t xml:space="preserve"> </w:t>
      </w:r>
      <w:r>
        <w:rPr>
          <w:b/>
          <w:bCs/>
        </w:rPr>
        <w:t xml:space="preserve">[TODO: framing literature listed here in the template likely belongs to session 4]</w:t>
      </w:r>
    </w:p>
    <w:p>
      <w:pPr>
        <w:pStyle w:val="Compact"/>
        <w:numPr>
          <w:ilvl w:val="0"/>
          <w:numId w:val="1006"/>
        </w:numPr>
      </w:pPr>
      <w:r>
        <w:t xml:space="preserve">Lakoff, G. (2010). Why it Matters How We Frame the Environment.</w:t>
      </w:r>
    </w:p>
    <w:p>
      <w:pPr>
        <w:pStyle w:val="Compact"/>
        <w:numPr>
          <w:ilvl w:val="0"/>
          <w:numId w:val="1006"/>
        </w:numPr>
      </w:pPr>
      <w:r>
        <w:t xml:space="preserve">Dasandi et al. (2022). Positive, global, and health or environment framing bolsters public support for climate policies.</w:t>
      </w:r>
    </w:p>
    <w:p>
      <w:pPr>
        <w:pStyle w:val="Compact"/>
        <w:numPr>
          <w:ilvl w:val="0"/>
          <w:numId w:val="1006"/>
        </w:numPr>
      </w:pPr>
      <w:r>
        <w:t xml:space="preserve">Supran &amp; Oreskes (2021). Rhetoric and frame analysis of ExxonMobil’s climate change communications.</w:t>
      </w:r>
    </w:p>
    <w:bookmarkEnd w:id="33"/>
    <w:bookmarkStart w:id="34" w:name="mental-models-and-framing"/>
    <w:p>
      <w:pPr>
        <w:pStyle w:val="Heading3"/>
      </w:pPr>
      <w:r>
        <w:t xml:space="preserve">4 — 06.10.2026 — Mental models and framing</w:t>
      </w:r>
    </w:p>
    <w:p>
      <w:pPr>
        <w:pStyle w:val="FirstParagraph"/>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p>
      <w:pPr>
        <w:pStyle w:val="BodyText"/>
      </w:pPr>
      <w:r>
        <w:t xml:space="preserve">Literature:</w:t>
      </w:r>
      <w:r>
        <w:t xml:space="preserve"> </w:t>
      </w:r>
      <w:r>
        <w:rPr>
          <w:b/>
          <w:bCs/>
        </w:rPr>
        <w:t xml:space="preserve">[TODO: template lists the climate-delay/denial literature here, which matches session 5’s topic — check alignment]</w:t>
      </w:r>
    </w:p>
    <w:p>
      <w:pPr>
        <w:pStyle w:val="Compact"/>
        <w:numPr>
          <w:ilvl w:val="0"/>
          <w:numId w:val="1007"/>
        </w:numPr>
      </w:pPr>
      <w:r>
        <w:t xml:space="preserve">Lamb, W. F. et al. (2020). Discourses of climate delay.</w:t>
      </w:r>
    </w:p>
    <w:p>
      <w:pPr>
        <w:pStyle w:val="Compact"/>
        <w:numPr>
          <w:ilvl w:val="0"/>
          <w:numId w:val="1007"/>
        </w:numPr>
      </w:pPr>
      <w:r>
        <w:t xml:space="preserve">Cook, J. (2020). Deconstructing Climate Science Denial.</w:t>
      </w:r>
    </w:p>
    <w:bookmarkEnd w:id="34"/>
    <w:bookmarkStart w:id="35" w:name="climate-change-misinformation"/>
    <w:p>
      <w:pPr>
        <w:pStyle w:val="Heading3"/>
      </w:pPr>
      <w:r>
        <w:t xml:space="preserve">5 — 13.10.2026 — Climate change misinformation</w:t>
      </w:r>
    </w:p>
    <w:p>
      <w:pPr>
        <w:pStyle w:val="FirstParagraph"/>
      </w:pPr>
      <w:r>
        <w:t xml:space="preserve">What are discourses that delay action on climate change? How do you identify climate science denial and how do you respond to it?</w:t>
      </w:r>
    </w:p>
    <w:p>
      <w:pPr>
        <w:pStyle w:val="BodyText"/>
      </w:pPr>
      <w:r>
        <w:t xml:space="preserve">Literature:</w:t>
      </w:r>
      <w:r>
        <w:t xml:space="preserve"> </w:t>
      </w:r>
      <w:r>
        <w:rPr>
          <w:b/>
          <w:bCs/>
        </w:rPr>
        <w:t xml:space="preserve">[TODO: template’s literature cell held only a guest-prep note (</w:t>
      </w:r>
      <w:r>
        <w:rPr>
          <w:b/>
          <w:bCs/>
        </w:rPr>
        <w:t xml:space="preserve">“Come to class with at least 3 questions for our guest speaker”</w:t>
      </w:r>
      <w:r>
        <w:rPr>
          <w:b/>
          <w:bCs/>
        </w:rPr>
        <w:t xml:space="preserve">) — misaligned, assign readings]</w:t>
      </w:r>
    </w:p>
    <w:bookmarkEnd w:id="35"/>
    <w:bookmarkStart w:id="36" w:name="emotions-and-behavior"/>
    <w:p>
      <w:pPr>
        <w:pStyle w:val="Heading3"/>
      </w:pPr>
      <w:r>
        <w:t xml:space="preserve">6 — 20.10.2026 — Emotions and behavior</w:t>
      </w:r>
    </w:p>
    <w:p>
      <w:pPr>
        <w:pStyle w:val="FirstParagraph"/>
      </w:pPr>
      <w:r>
        <w:t xml:space="preserve">What is the role of emotions in climate change communication? How can we communicate about climate change in a way that increases feelings of self-efficacy? How does media usage relate to behavioral intentions?</w:t>
      </w:r>
    </w:p>
    <w:p>
      <w:pPr>
        <w:pStyle w:val="BodyText"/>
      </w:pPr>
      <w:r>
        <w:t xml:space="preserve">Literature:</w:t>
      </w:r>
    </w:p>
    <w:p>
      <w:pPr>
        <w:pStyle w:val="Compact"/>
        <w:numPr>
          <w:ilvl w:val="0"/>
          <w:numId w:val="1008"/>
        </w:numPr>
      </w:pPr>
      <w:r>
        <w:t xml:space="preserve">Myers, T. A. et al. (2023). Emotional responses to climate change information and their effects on policy support.</w:t>
      </w:r>
    </w:p>
    <w:p>
      <w:pPr>
        <w:pStyle w:val="Compact"/>
        <w:numPr>
          <w:ilvl w:val="0"/>
          <w:numId w:val="1008"/>
        </w:numPr>
      </w:pPr>
      <w:r>
        <w:t xml:space="preserve">Ogunbode et al. (2022). Climate anxiety, wellbeing and pro-environmental action.</w:t>
      </w:r>
    </w:p>
    <w:p>
      <w:pPr>
        <w:pStyle w:val="Compact"/>
        <w:numPr>
          <w:ilvl w:val="0"/>
          <w:numId w:val="1008"/>
        </w:numPr>
      </w:pPr>
      <w:r>
        <w:t xml:space="preserve">Stanley et al. (2021). From anger to action.</w:t>
      </w:r>
    </w:p>
    <w:bookmarkEnd w:id="36"/>
    <w:bookmarkStart w:id="37" w:name="a-question-of-trust"/>
    <w:p>
      <w:pPr>
        <w:pStyle w:val="Heading3"/>
      </w:pPr>
      <w:r>
        <w:t xml:space="preserve">7 — 27.10.2026 — A question of trust</w:t>
      </w:r>
    </w:p>
    <w:p>
      <w:pPr>
        <w:pStyle w:val="FirstParagraph"/>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p>
      <w:pPr>
        <w:pStyle w:val="BodyText"/>
      </w:pPr>
      <w:r>
        <w:t xml:space="preserve">Literature:</w:t>
      </w:r>
    </w:p>
    <w:p>
      <w:pPr>
        <w:pStyle w:val="Compact"/>
        <w:numPr>
          <w:ilvl w:val="0"/>
          <w:numId w:val="1009"/>
        </w:numPr>
      </w:pPr>
      <w:r>
        <w:t xml:space="preserve">Cologna, V. et al. (2024). Trust in climate science and climate scientists: a narrative review.</w:t>
      </w:r>
    </w:p>
    <w:p>
      <w:pPr>
        <w:pStyle w:val="Compact"/>
        <w:numPr>
          <w:ilvl w:val="0"/>
          <w:numId w:val="1009"/>
        </w:numPr>
      </w:pPr>
      <w:r>
        <w:t xml:space="preserve">Oreskes, N. (2020). What Is the Social Responsibility of Climate Scientists?</w:t>
      </w:r>
    </w:p>
    <w:bookmarkEnd w:id="37"/>
    <w:bookmarkStart w:id="38" w:name="guest-speaker-dr.-cornelia-schwierz"/>
    <w:p>
      <w:pPr>
        <w:pStyle w:val="Heading3"/>
      </w:pPr>
      <w:r>
        <w:t xml:space="preserve">8 — 03.11.2026 — Guest speaker: Dr. Cornelia Schwierz</w:t>
      </w:r>
    </w:p>
    <w:p>
      <w:pPr>
        <w:pStyle w:val="FirstParagraph"/>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p>
      <w:pPr>
        <w:pStyle w:val="BodyText"/>
      </w:pPr>
      <w:r>
        <w:t xml:space="preserve">Preparation: Come to class with at least 3 questions for our guest speaker.</w:t>
      </w:r>
    </w:p>
    <w:bookmarkEnd w:id="38"/>
    <w:bookmarkStart w:id="39" w:name="climate-change-in-the-media"/>
    <w:p>
      <w:pPr>
        <w:pStyle w:val="Heading3"/>
      </w:pPr>
      <w:r>
        <w:t xml:space="preserve">9 — 10.11.2026 — Climate change in the media</w:t>
      </w:r>
    </w:p>
    <w:p>
      <w:pPr>
        <w:pStyle w:val="FirstParagraph"/>
      </w:pPr>
      <w:r>
        <w:t xml:space="preserve">How has climate change communication in the media evolved over time? How is climate change depicted in the media? How does imagery affect public perceptions of climate change?</w:t>
      </w:r>
    </w:p>
    <w:p>
      <w:pPr>
        <w:pStyle w:val="BodyText"/>
      </w:pPr>
      <w:r>
        <w:t xml:space="preserve">Literature:</w:t>
      </w:r>
    </w:p>
    <w:p>
      <w:pPr>
        <w:pStyle w:val="Compact"/>
        <w:numPr>
          <w:ilvl w:val="0"/>
          <w:numId w:val="1010"/>
        </w:numPr>
      </w:pPr>
      <w:r>
        <w:t xml:space="preserve">Metag, J. et al. (2016). Perceptions of Climate Change Imagery.</w:t>
      </w:r>
    </w:p>
    <w:p>
      <w:pPr>
        <w:pStyle w:val="Compact"/>
        <w:numPr>
          <w:ilvl w:val="0"/>
          <w:numId w:val="1010"/>
        </w:numPr>
      </w:pPr>
      <w:r>
        <w:t xml:space="preserve">O’Neill, S. J. (2013). Image matters. Climate change imagery in US, UK and Australian newspapers.</w:t>
      </w:r>
    </w:p>
    <w:bookmarkEnd w:id="39"/>
    <w:bookmarkStart w:id="40" w:name="missing"/>
    <w:p>
      <w:pPr>
        <w:pStyle w:val="Heading3"/>
      </w:pPr>
      <w:r>
        <w:t xml:space="preserve">10 — 17.11.2026 — MISSING</w:t>
      </w:r>
    </w:p>
    <w:p>
      <w:pPr>
        <w:pStyle w:val="FirstParagraph"/>
      </w:pPr>
      <w:r>
        <w:rPr>
          <w:b/>
          <w:bCs/>
        </w:rPr>
        <w:t xml:space="preserve">[TODO: topic was literally</w:t>
      </w:r>
      <w:r>
        <w:rPr>
          <w:b/>
          <w:bCs/>
        </w:rPr>
        <w:t xml:space="preserve"> </w:t>
      </w:r>
      <w:r>
        <w:rPr>
          <w:b/>
          <w:bCs/>
        </w:rPr>
        <w:t xml:space="preserve">“MISSING”</w:t>
      </w:r>
      <w:r>
        <w:rPr>
          <w:b/>
          <w:bCs/>
        </w:rPr>
        <w:t xml:space="preserve"> </w:t>
      </w:r>
      <w:r>
        <w:rPr>
          <w:b/>
          <w:bCs/>
        </w:rPr>
        <w:t xml:space="preserve">in the template — define this session]</w:t>
      </w:r>
    </w:p>
    <w:p>
      <w:pPr>
        <w:pStyle w:val="BodyText"/>
      </w:pPr>
      <w:r>
        <w:t xml:space="preserve">Literature:</w:t>
      </w:r>
    </w:p>
    <w:p>
      <w:pPr>
        <w:pStyle w:val="Compact"/>
        <w:numPr>
          <w:ilvl w:val="0"/>
          <w:numId w:val="1011"/>
        </w:numPr>
      </w:pPr>
      <w:r>
        <w:t xml:space="preserve">Barkemeyer et al. (2017). Media coverage of climate change: An international comparison.</w:t>
      </w:r>
    </w:p>
    <w:p>
      <w:pPr>
        <w:pStyle w:val="Compact"/>
        <w:numPr>
          <w:ilvl w:val="0"/>
          <w:numId w:val="1011"/>
        </w:numPr>
      </w:pPr>
      <w:r>
        <w:t xml:space="preserve">Klinger, K., &amp; Metag, J. (2021). Media effects in the context of environmental issues.</w:t>
      </w:r>
    </w:p>
    <w:p>
      <w:pPr>
        <w:pStyle w:val="Compact"/>
        <w:numPr>
          <w:ilvl w:val="0"/>
          <w:numId w:val="1011"/>
        </w:numPr>
      </w:pPr>
      <w:r>
        <w:t xml:space="preserve">Schäfer and Painter (2021). Climate journalism in a changing media ecosystem.</w:t>
      </w:r>
    </w:p>
    <w:bookmarkEnd w:id="40"/>
    <w:bookmarkStart w:id="41" w:name="guest-speaker-cornelia-eisenach"/>
    <w:p>
      <w:pPr>
        <w:pStyle w:val="Heading3"/>
      </w:pPr>
      <w:r>
        <w:t xml:space="preserve">11 — 24.11.2026 — Guest speaker: Cornelia Eisenach</w:t>
      </w:r>
    </w:p>
    <w:p>
      <w:pPr>
        <w:pStyle w:val="FirstParagraph"/>
      </w:pPr>
      <w:r>
        <w:rPr>
          <w:b/>
          <w:bCs/>
        </w:rPr>
        <w:t xml:space="preserve">[TODO: blurb below describes a different person (Sabrina Weiss) — stale from old course,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p>
      <w:pPr>
        <w:pStyle w:val="BodyText"/>
      </w:pPr>
      <w:r>
        <w:t xml:space="preserve">Preparation: Come to class with at least 3 questions for our guest speaker.</w:t>
      </w:r>
    </w:p>
    <w:bookmarkEnd w:id="41"/>
    <w:bookmarkStart w:id="42" w:name="guest-speaker-reto-knutti"/>
    <w:p>
      <w:pPr>
        <w:pStyle w:val="Heading3"/>
      </w:pPr>
      <w:r>
        <w:t xml:space="preserve">12 — 01.12.2026 — Guest speaker: Reto Knutti</w:t>
      </w:r>
    </w:p>
    <w:p>
      <w:pPr>
        <w:pStyle w:val="FirstParagraph"/>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p>
      <w:pPr>
        <w:pStyle w:val="BodyText"/>
      </w:pPr>
      <w:r>
        <w:t xml:space="preserve">Literature:</w:t>
      </w:r>
    </w:p>
    <w:p>
      <w:pPr>
        <w:pStyle w:val="Compact"/>
        <w:numPr>
          <w:ilvl w:val="0"/>
          <w:numId w:val="1012"/>
        </w:numPr>
      </w:pPr>
      <w:r>
        <w:t xml:space="preserve">Maibach, E. W. et al. (2023). Harnessing the power of communication and behavior science to enhance society’s response to climate change.</w:t>
      </w:r>
    </w:p>
    <w:p>
      <w:pPr>
        <w:pStyle w:val="Compact"/>
        <w:numPr>
          <w:ilvl w:val="0"/>
          <w:numId w:val="1012"/>
        </w:numPr>
      </w:pPr>
      <w:r>
        <w:t xml:space="preserve">Corner et al. (2018). Principles for effective communication and public engagement on climate change.</w:t>
      </w:r>
      <w:r>
        <w:t xml:space="preserve"> </w:t>
      </w:r>
      <w:r>
        <w:rPr>
          <w:b/>
          <w:bCs/>
        </w:rPr>
        <w:t xml:space="preserve">[TODO: missing from reference list in template]</w:t>
      </w:r>
    </w:p>
    <w:bookmarkEnd w:id="42"/>
    <w:bookmarkStart w:id="43" w:name="guest-speaker-industrykanton"/>
    <w:p>
      <w:pPr>
        <w:pStyle w:val="Heading3"/>
      </w:pPr>
      <w:r>
        <w:t xml:space="preserve">13 — 08.12.2026 — Guest speaker: Industry/Kanton</w:t>
      </w:r>
    </w:p>
    <w:p>
      <w:pPr>
        <w:pStyle w:val="FirstParagraph"/>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bookmarkEnd w:id="43"/>
    <w:bookmarkStart w:id="44" w:name="discussion-and-lessons-learnt"/>
    <w:p>
      <w:pPr>
        <w:pStyle w:val="Heading3"/>
      </w:pPr>
      <w:r>
        <w:t xml:space="preserve">14 — 15.12.2026 — Discussion and lessons learnt</w:t>
      </w:r>
    </w:p>
    <w:p>
      <w:pPr>
        <w:pStyle w:val="FirstParagraph"/>
      </w:pPr>
      <w:r>
        <w:rPr>
          <w:b/>
          <w:bCs/>
        </w:rPr>
        <w:t xml:space="preserve">[TODO: description below contains stale 2024 exam logistics — rewrite]</w:t>
      </w:r>
    </w:p>
    <w:p>
      <w:pPr>
        <w:pStyle w:val="BodyText"/>
      </w:pPr>
      <w:r>
        <w:t xml:space="preserve">The exam will take place on-site. The format of the exam (online or pen and paper) will be communicated at a later stage.</w:t>
      </w:r>
    </w:p>
    <w:bookmarkEnd w:id="44"/>
    <w:bookmarkEnd w:id="45"/>
    <w:bookmarkStart w:id="64" w:name="X52ede20610cd5e502bfe717b838f402e97af805"/>
    <w:p>
      <w:pPr>
        <w:pStyle w:val="Heading2"/>
      </w:pPr>
      <w:r>
        <w:t xml:space="preserve">References (draft, to be replaced by references.bib)</w:t>
      </w:r>
    </w:p>
    <w:p>
      <w:pPr>
        <w:pStyle w:val="FirstParagraph"/>
      </w:pPr>
      <w:r>
        <w:rPr>
          <w:b/>
          <w:bCs/>
        </w:rPr>
        <w:t xml:space="preserve">[TODO: replace this plain-text list with a Zotero Better BibTeX export to</w:t>
      </w:r>
      <w:r>
        <w:rPr>
          <w:b/>
          <w:bCs/>
        </w:rPr>
        <w:t xml:space="preserve"> </w:t>
      </w:r>
      <w:r>
        <w:rPr>
          <w:rStyle w:val="VerbatimChar"/>
          <w:b/>
          <w:bCs/>
        </w:rPr>
        <w:t xml:space="preserve">references.bib</w:t>
      </w:r>
      <w:r>
        <w:rPr>
          <w:b/>
          <w:bCs/>
        </w:rPr>
        <w:t xml:space="preserve">, then enable</w:t>
      </w:r>
      <w:r>
        <w:rPr>
          <w:b/>
          <w:bCs/>
        </w:rPr>
        <w:t xml:space="preserve"> </w:t>
      </w:r>
      <w:r>
        <w:rPr>
          <w:rStyle w:val="VerbatimChar"/>
          <w:b/>
          <w:bCs/>
        </w:rPr>
        <w:t xml:space="preserve">nocite</w:t>
      </w:r>
      <w:r>
        <w:rPr>
          <w:b/>
          <w:bCs/>
        </w:rPr>
        <w:t xml:space="preserve">/</w:t>
      </w:r>
      <w:r>
        <w:rPr>
          <w:rStyle w:val="VerbatimChar"/>
          <w:b/>
          <w:bCs/>
        </w:rPr>
        <w:t xml:space="preserve">reference-section-title</w:t>
      </w:r>
      <w:r>
        <w:rPr>
          <w:b/>
          <w:bCs/>
        </w:rPr>
        <w:t xml:space="preserve"> </w:t>
      </w:r>
      <w:r>
        <w:rPr>
          <w:b/>
          <w:bCs/>
        </w:rPr>
        <w:t xml:space="preserve">in the front matter and cite with</w:t>
      </w:r>
      <w:r>
        <w:rPr>
          <w:b/>
          <w:bCs/>
        </w:rPr>
        <w:t xml:space="preserve"> </w:t>
      </w:r>
      <w:r>
        <w:rPr>
          <w:rStyle w:val="VerbatimChar"/>
          <w:b/>
          <w:bCs/>
        </w:rPr>
        <w:t xml:space="preserve">@keys</w:t>
      </w:r>
      <w:r>
        <w:rPr>
          <w:b/>
          <w:bCs/>
        </w:rPr>
        <w:t xml:space="preserve">. Leiserowitz et al. (2024) and Corner et al. (2018) are cited above but missing here.]</w:t>
      </w:r>
    </w:p>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7">
        <w:r>
          <w:rPr>
            <w:rStyle w:val="Hyperlink"/>
          </w:rPr>
          <w:t xml:space="preserve">https://doi.org/10.1371/journal.pclm.0000400</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48">
        <w:r>
          <w:rPr>
            <w:rStyle w:val="Hyperlink"/>
          </w:rPr>
          <w:t xml:space="preserve">https://doi.org/10.4337/9781789900408.00014</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49">
        <w:r>
          <w:rPr>
            <w:rStyle w:val="Hyperlink"/>
          </w:rPr>
          <w:t xml:space="preserve">https://doi.org/10.1038/s43247-022-00571-x</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50">
        <w:r>
          <w:rPr>
            <w:rStyle w:val="Hyperlink"/>
          </w:rPr>
          <w:t xml:space="preserve">https://doi.org/10.1080/17524030903529749</w:t>
        </w:r>
      </w:hyperlink>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51">
        <w:r>
          <w:rPr>
            <w:rStyle w:val="Hyperlink"/>
          </w:rPr>
          <w:t xml:space="preserve">https://doi.org/10.1017/sus.2020.13</w:t>
        </w:r>
      </w:hyperlink>
    </w:p>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52">
        <w:r>
          <w:rPr>
            <w:rStyle w:val="Hyperlink"/>
          </w:rPr>
          <w:t xml:space="preserve">https://doi.org/10.1146/annurev-earth-031621-114417</w:t>
        </w:r>
      </w:hyperlink>
    </w:p>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53">
        <w:r>
          <w:rPr>
            <w:rStyle w:val="Hyperlink"/>
          </w:rPr>
          <w:t xml:space="preserve">https://doi.org/10.1016/B978-0-12-813130-5.00003-5</w:t>
        </w:r>
      </w:hyperlink>
    </w:p>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54">
        <w:r>
          <w:rPr>
            <w:rStyle w:val="Hyperlink"/>
          </w:rPr>
          <w:t xml:space="preserve">https://doi.org/10.1177/0963662515592558</w:t>
        </w:r>
      </w:hyperlink>
    </w:p>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55">
        <w:r>
          <w:rPr>
            <w:rStyle w:val="Hyperlink"/>
          </w:rPr>
          <w:t xml:space="preserve">https://doi.org/10.1177/1075547016635181</w:t>
        </w:r>
      </w:hyperlink>
    </w:p>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56">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57">
        <w:r>
          <w:rPr>
            <w:rStyle w:val="Hyperlink"/>
          </w:rPr>
          <w:t xml:space="preserve">https://doi.org/10.1016/j.jenvp.2022.101887</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58">
        <w:r>
          <w:rPr>
            <w:rStyle w:val="Hyperlink"/>
          </w:rPr>
          <w:t xml:space="preserve">https://doi.org/10.1016/j.geoforum.2013.04.030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59">
        <w:r>
          <w:rPr>
            <w:rStyle w:val="Hyperlink"/>
          </w:rPr>
          <w:t xml:space="preserve">https://doi.org/10.1162/daed_a_01815</w:t>
        </w:r>
      </w:hyperlink>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60">
        <w:r>
          <w:rPr>
            <w:rStyle w:val="Hyperlink"/>
          </w:rPr>
          <w:t xml:space="preserve">https://doi.org/10.1002/wcc.675</w:t>
        </w:r>
      </w:hyperlink>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61">
        <w:r>
          <w:rPr>
            <w:rStyle w:val="Hyperlink"/>
          </w:rPr>
          <w:t xml:space="preserve">https://doi.org/10.1038/nclimate2997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62">
        <w:r>
          <w:rPr>
            <w:rStyle w:val="Hyperlink"/>
          </w:rPr>
          <w:t xml:space="preserve">https://doi.org/10.1016/j.joclim.2021.100003</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63">
        <w:r>
          <w:rPr>
            <w:rStyle w:val="Hyperlink"/>
          </w:rPr>
          <w:t xml:space="preserve">https://doi.org/10.1016/j.oneear.2021.04.014</w:t>
        </w:r>
      </w:hyperlink>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60" Target="https://doi.org/10.1002/wcc.675" TargetMode="External" /><Relationship Type="http://schemas.openxmlformats.org/officeDocument/2006/relationships/hyperlink" Id="rId53" Target="https://doi.org/10.1016/B978-0-12-813130-5.00003-5" TargetMode="External" /><Relationship Type="http://schemas.openxmlformats.org/officeDocument/2006/relationships/hyperlink" Id="rId58" Target="https://doi.org/10.1016/j.geoforum.2013.04.030" TargetMode="External" /><Relationship Type="http://schemas.openxmlformats.org/officeDocument/2006/relationships/hyperlink" Id="rId57" Target="https://doi.org/10.1016/j.jenvp.2022.101887" TargetMode="External" /><Relationship Type="http://schemas.openxmlformats.org/officeDocument/2006/relationships/hyperlink" Id="rId62" Target="https://doi.org/10.1016/j.joclim.2021.100003" TargetMode="External" /><Relationship Type="http://schemas.openxmlformats.org/officeDocument/2006/relationships/hyperlink" Id="rId63" Target="https://doi.org/10.1016/j.oneear.2021.04.014" TargetMode="External" /><Relationship Type="http://schemas.openxmlformats.org/officeDocument/2006/relationships/hyperlink" Id="rId51" Target="https://doi.org/10.1017/sus.2020.13" TargetMode="External" /><Relationship Type="http://schemas.openxmlformats.org/officeDocument/2006/relationships/hyperlink" Id="rId61" Target="https://doi.org/10.1038/nclimate2997" TargetMode="External" /><Relationship Type="http://schemas.openxmlformats.org/officeDocument/2006/relationships/hyperlink" Id="rId49" Target="https://doi.org/10.1038/s43247-022-00571-x" TargetMode="External" /><Relationship Type="http://schemas.openxmlformats.org/officeDocument/2006/relationships/hyperlink" Id="rId50" Target="https://doi.org/10.1080/17524030903529749" TargetMode="External" /><Relationship Type="http://schemas.openxmlformats.org/officeDocument/2006/relationships/hyperlink" Id="rId52" Target="https://doi.org/10.1146/annurev-earth-031621-114417" TargetMode="External" /><Relationship Type="http://schemas.openxmlformats.org/officeDocument/2006/relationships/hyperlink" Id="rId59"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54" Target="https://doi.org/10.1177/0963662515592558" TargetMode="External" /><Relationship Type="http://schemas.openxmlformats.org/officeDocument/2006/relationships/hyperlink" Id="rId55"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8" Target="https://doi.org/10.4337/9781789900408.00014" TargetMode="External" /><Relationship Type="http://schemas.openxmlformats.org/officeDocument/2006/relationships/hyperlink" Id="rId56" Target="https://www.frontiersin.org/articles/10.3389/fclim.2023.1135450" TargetMode="External" /><Relationship Type="http://schemas.openxmlformats.org/officeDocument/2006/relationships/hyperlink" Id="rId23" Target="index.qmd"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wcc.675" TargetMode="External" /><Relationship Type="http://schemas.openxmlformats.org/officeDocument/2006/relationships/hyperlink" Id="rId53" Target="https://doi.org/10.1016/B978-0-12-813130-5.00003-5" TargetMode="External" /><Relationship Type="http://schemas.openxmlformats.org/officeDocument/2006/relationships/hyperlink" Id="rId58" Target="https://doi.org/10.1016/j.geoforum.2013.04.030" TargetMode="External" /><Relationship Type="http://schemas.openxmlformats.org/officeDocument/2006/relationships/hyperlink" Id="rId57" Target="https://doi.org/10.1016/j.jenvp.2022.101887" TargetMode="External" /><Relationship Type="http://schemas.openxmlformats.org/officeDocument/2006/relationships/hyperlink" Id="rId62" Target="https://doi.org/10.1016/j.joclim.2021.100003" TargetMode="External" /><Relationship Type="http://schemas.openxmlformats.org/officeDocument/2006/relationships/hyperlink" Id="rId63" Target="https://doi.org/10.1016/j.oneear.2021.04.014" TargetMode="External" /><Relationship Type="http://schemas.openxmlformats.org/officeDocument/2006/relationships/hyperlink" Id="rId51" Target="https://doi.org/10.1017/sus.2020.13" TargetMode="External" /><Relationship Type="http://schemas.openxmlformats.org/officeDocument/2006/relationships/hyperlink" Id="rId61" Target="https://doi.org/10.1038/nclimate2997" TargetMode="External" /><Relationship Type="http://schemas.openxmlformats.org/officeDocument/2006/relationships/hyperlink" Id="rId49" Target="https://doi.org/10.1038/s43247-022-00571-x" TargetMode="External" /><Relationship Type="http://schemas.openxmlformats.org/officeDocument/2006/relationships/hyperlink" Id="rId50" Target="https://doi.org/10.1080/17524030903529749" TargetMode="External" /><Relationship Type="http://schemas.openxmlformats.org/officeDocument/2006/relationships/hyperlink" Id="rId52" Target="https://doi.org/10.1146/annurev-earth-031621-114417" TargetMode="External" /><Relationship Type="http://schemas.openxmlformats.org/officeDocument/2006/relationships/hyperlink" Id="rId59"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54" Target="https://doi.org/10.1177/0963662515592558" TargetMode="External" /><Relationship Type="http://schemas.openxmlformats.org/officeDocument/2006/relationships/hyperlink" Id="rId55"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8" Target="https://doi.org/10.4337/9781789900408.00014" TargetMode="External" /><Relationship Type="http://schemas.openxmlformats.org/officeDocument/2006/relationships/hyperlink" Id="rId56" Target="https://www.frontiersin.org/articles/10.3389/fclim.2023.1135450" TargetMode="External" /><Relationship Type="http://schemas.openxmlformats.org/officeDocument/2006/relationships/hyperlink" Id="rId23"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2026-08-03T10:22:11Z</dcterms:created>
  <dcterms:modified xsi:type="dcterms:W3CDTF">2026-08-03T10:22:11Z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