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Studying trust in science: Global evidence suggests new theoretical and methodological directions</w:t>
      </w:r>
    </w:p>
    <w:p>
      <w:pPr>
        <w:pStyle w:val="Author"/>
      </w:pPr>
      <w:r>
        <w:t xml:space="preserve"> </w:t>
      </w:r>
    </w:p>
    <w:p>
      <w:pPr>
        <w:pStyle w:val="Author"/>
      </w:pPr>
      <w:r>
        <w:t xml:space="preserve">Jan Pfänder</w:t>
      </w:r>
      <w:r>
        <w:rPr>
          <w:vertAlign w:val="superscript"/>
        </w:rPr>
        <w:t xml:space="preserve">1</w:t>
      </w:r>
      <w:r>
        <w:t xml:space="preserve">, Niels G. Mede</w:t>
      </w:r>
      <w:r>
        <w:rPr>
          <w:vertAlign w:val="superscript"/>
        </w:rPr>
        <w:t xml:space="preserve">2</w:t>
      </w:r>
      <w:r>
        <w:t xml:space="preserve">, and Viktoria Cologna</w:t>
      </w:r>
      <w:r>
        <w:rPr>
          <w:vertAlign w:val="superscript"/>
        </w:rPr>
        <w:t xml:space="preserve">1</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Strategic Communication Group, Department of Social Sciences, Wageningen University &amp; Research</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Niels G. Mede</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https://orcid.org/0000-0001-5707-7568</w:t>
        </w:r>
      </w:hyperlink>
    </w:p>
    <w:p>
      <w:pPr>
        <w:pStyle w:val="BodyText"/>
      </w:pPr>
      <w:r>
        <w:t xml:space="preserve">Viktoria Cologna</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https://orcid.org/0000-0003-3706-8669</w:t>
        </w:r>
      </w:hyperlink>
    </w:p>
    <w:p>
      <w:pPr>
        <w:pStyle w:val="BodyText"/>
      </w:pPr>
      <w:r>
        <w:t xml:space="preserve">The authors have no conflict of interest to declare.</w:t>
      </w:r>
    </w:p>
    <w:p>
      <w:pPr>
        <w:pStyle w:val="BodyText"/>
      </w:pPr>
      <w:r>
        <w:t xml:space="preserve">Correspondence concerning this article should be addressed to Jan Pfänder, Department of Environmental Social Sciences, Swiss Federal Institute of Aquatic Science and Technology (Eawag), Überlandstrasse 133, Switzerland CH-8600 Dübendorf, Email:</w:t>
      </w:r>
      <w:r>
        <w:t xml:space="preserve"> </w:t>
      </w:r>
      <w:hyperlink r:id="rId34">
        <w:r>
          <w:rPr>
            <w:rStyle w:val="Hyperlink"/>
          </w:rPr>
          <w:t xml:space="preserve">janlukas.pfaender@gmail.com</w:t>
        </w:r>
      </w:hyperlink>
    </w:p>
    <w:p>
      <w:r>
        <w:br w:type="page"/>
      </w:r>
    </w:p>
    <w:bookmarkEnd w:id="35"/>
    <w:bookmarkStart w:id="36" w:name="abstract"/>
    <w:p>
      <w:pPr>
        <w:pStyle w:val="Heading1"/>
      </w:pPr>
      <w:r>
        <w:t xml:space="preserve">Abstract</w:t>
      </w:r>
    </w:p>
    <w:p>
      <w:pPr>
        <w:pStyle w:val="AbstractFirstParagraph"/>
      </w:pPr>
      <w:r>
        <w:t xml:space="preserve">Public trust in science is vital for tackling global challenges. Recently, global surveys and Many Labs collaborations have begun to broaden the scope of research. However, these studies have also highlighted theoretical and methodological challenges. Here, we review these challenges and argue that beyond expanding geographical coverage, greater conceptual clarity and harmonized measures are essential to improve comparability across studies on trust in science. We conclude by encouraging reflection on the normative assumptions that currently guide research on trust in science.</w:t>
      </w:r>
    </w:p>
    <w:p>
      <w:pPr>
        <w:pStyle w:val="BodyText"/>
      </w:pPr>
      <w:r>
        <w:rPr>
          <w:i/>
          <w:iCs/>
        </w:rPr>
        <w:t xml:space="preserve">Keywords</w:t>
      </w:r>
      <w:r>
        <w:t xml:space="preserve">: trust, science</w:t>
      </w:r>
    </w:p>
    <w:p>
      <w:r>
        <w:br w:type="page"/>
      </w:r>
    </w:p>
    <w:bookmarkEnd w:id="36"/>
    <w:bookmarkStart w:id="37" w:name="firstheader"/>
    <w:p>
      <w:pPr>
        <w:pStyle w:val="Heading1"/>
      </w:pPr>
      <w:r>
        <w:t xml:space="preserve">Studying trust in science: Global evidence suggests new theoretical and methodological directions</w:t>
      </w:r>
    </w:p>
    <w:p>
      <w:pPr>
        <w:pStyle w:val="FirstParagraph"/>
      </w:pPr>
      <w:r>
        <w:t xml:space="preserve">We need public trust in scientists to effectively address pressing challenges of humanity: Crises such as climate change are so complex in nature that evaluating their risks and mitigation options requires extensive expertise. People with higher trust in scientists are more supportive of such expertise. For example, they are more likely to accept human made climate change</w:t>
      </w:r>
      <w:r>
        <w:t xml:space="preserve"> </w:t>
      </w:r>
      <w:r>
        <w:t xml:space="preserve">[</w:t>
      </w:r>
      <w:hyperlink w:anchor="ref-bogertEffectTrustScience2024">
        <w:r>
          <w:rPr>
            <w:rStyle w:val="Hyperlink"/>
          </w:rPr>
          <w:t xml:space="preserve">1</w:t>
        </w:r>
      </w:hyperlink>
      <w:r>
        <w:t xml:space="preserve">]</w:t>
      </w:r>
      <w:r>
        <w:t xml:space="preserve">, engage in pro-environmental behavior</w:t>
      </w:r>
      <w:r>
        <w:t xml:space="preserve"> </w:t>
      </w:r>
      <w:r>
        <w:t xml:space="preserve">[</w:t>
      </w:r>
      <w:hyperlink w:anchor="ref-colognaRoleTrustClimate2020">
        <w:r>
          <w:rPr>
            <w:rStyle w:val="Hyperlink"/>
          </w:rPr>
          <w:t xml:space="preserve">2</w:t>
        </w:r>
      </w:hyperlink>
      <w:r>
        <w:t xml:space="preserve">–</w:t>
      </w:r>
      <w:hyperlink w:anchor="X8c3d24b34f7cbf20a55d262f9fc69ae53184a08">
        <w:r>
          <w:rPr>
            <w:rStyle w:val="Hyperlink"/>
          </w:rPr>
          <w:t xml:space="preserve">4</w:t>
        </w:r>
      </w:hyperlink>
      <w:r>
        <w:t xml:space="preserve">]</w:t>
      </w:r>
      <w:r>
        <w:t xml:space="preserve">, and get vaccinated</w:t>
      </w:r>
      <w:r>
        <w:t xml:space="preserve"> </w:t>
      </w:r>
      <w:r>
        <w:t xml:space="preserve">[</w:t>
      </w:r>
      <w:hyperlink w:anchor="ref-sturgisTrustScienceSocial2021">
        <w:r>
          <w:rPr>
            <w:rStyle w:val="Hyperlink"/>
          </w:rPr>
          <w:t xml:space="preserve">5</w:t>
        </w:r>
      </w:hyperlink>
      <w:r>
        <w:t xml:space="preserve">,for Covid-19 in particular, see</w:t>
      </w:r>
      <w:r>
        <w:t xml:space="preserve"> </w:t>
      </w:r>
      <w:hyperlink w:anchor="ref-alganTrustScientistsTimes2021">
        <w:r>
          <w:rPr>
            <w:rStyle w:val="Hyperlink"/>
          </w:rPr>
          <w:t xml:space="preserve">6</w:t>
        </w:r>
      </w:hyperlink>
      <w:r>
        <w:t xml:space="preserve">,</w:t>
      </w:r>
      <w:hyperlink w:anchor="ref-lindholtPublicAcceptanceCOVID192021">
        <w:r>
          <w:rPr>
            <w:rStyle w:val="Hyperlink"/>
          </w:rPr>
          <w:t xml:space="preserve">7</w:t>
        </w:r>
      </w:hyperlink>
      <w:r>
        <w:t xml:space="preserve">]</w:t>
      </w:r>
      <w:r>
        <w:t xml:space="preserve">.</w:t>
      </w:r>
    </w:p>
    <w:p>
      <w:pPr>
        <w:pStyle w:val="BodyText"/>
      </w:pPr>
      <w:r>
        <w:t xml:space="preserve">Much research on public trust in science has focused on the United States (US) and Europe. However, tackling global issues such as climate change or pandemics requires trust in science at a global scale.</w:t>
      </w:r>
      <w:r>
        <w:t xml:space="preserve"> </w:t>
      </w:r>
      <w:r>
        <w:t xml:space="preserve">“Many Labs”</w:t>
      </w:r>
      <w:r>
        <w:t xml:space="preserve"> </w:t>
      </w:r>
      <w:r>
        <w:t xml:space="preserve">studies present a promising approach to address this gap by pooling resources and expertise from research teams worldwide, allowing for more feasible and harmonized data collection. The recent Trust in Science and Science-related Populism (TISP) Many Labs study with almost 72,000 participants from 68 countries illustrates the benefits of this approach by revealing important regional differences in trust in science</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Recent global approaches</w:t>
      </w:r>
      <w:r>
        <w:t xml:space="preserve"> </w:t>
      </w:r>
      <w:r>
        <w:t xml:space="preserve">[</w:t>
      </w:r>
      <w:hyperlink w:anchor="ref-colognaTrustScientistsTheir2025">
        <w:r>
          <w:rPr>
            <w:rStyle w:val="Hyperlink"/>
          </w:rPr>
          <w:t xml:space="preserve">8</w:t>
        </w:r>
      </w:hyperlink>
      <w:r>
        <w:t xml:space="preserve">–</w:t>
      </w:r>
      <w:hyperlink w:anchor="X1228c58a1af7bd8622fc2077f37041e3a35d250">
        <w:r>
          <w:rPr>
            <w:rStyle w:val="Hyperlink"/>
          </w:rPr>
          <w:t xml:space="preserve">10</w:t>
        </w:r>
      </w:hyperlink>
      <w:r>
        <w:t xml:space="preserve">]</w:t>
      </w:r>
      <w:r>
        <w:t xml:space="preserve"> </w:t>
      </w:r>
      <w:r>
        <w:t xml:space="preserve">have significantly advanced our understanding of trust in science and its cross-country determinants, but also raised new questions due to contrasting findings. For example, the Wellcome Global Monitor</w:t>
      </w:r>
      <w:r>
        <w:t xml:space="preserve"> </w:t>
      </w:r>
      <w:r>
        <w:t xml:space="preserve">[</w:t>
      </w:r>
      <w:hyperlink w:anchor="X02cb954775672ff7129fb691e9fce8f78cf2ad5">
        <w:r>
          <w:rPr>
            <w:rStyle w:val="Hyperlink"/>
          </w:rPr>
          <w:t xml:space="preserve">9</w:t>
        </w:r>
      </w:hyperlink>
      <w:r>
        <w:t xml:space="preserve">]</w:t>
      </w:r>
      <w:r>
        <w:t xml:space="preserve"> </w:t>
      </w:r>
      <w:r>
        <w:t xml:space="preserve">reported that greater income inequality was negatively associated with trust in scientists, while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the opposite. Numerous differences in research design–from measuring trust to country selection–make it difficult to draw meaningful conclusions from these divergent findings.</w:t>
      </w:r>
    </w:p>
    <w:p>
      <w:pPr>
        <w:pStyle w:val="BodyText"/>
      </w:pPr>
      <w:r>
        <w:t xml:space="preserve">This example illustrates that broadening the geographical scale is not enough to robustly advance knowledge on trust in science. As the study of trust in science is growing, there is a need to discuss current theoretical and methodological approaches and how they can be improved. In this review, we outline current challenges and discuss normative considerations that we hope will inform future research.</w:t>
      </w:r>
    </w:p>
    <w:bookmarkEnd w:id="37"/>
    <w:bookmarkStart w:id="40" w:name="theoretical-challenges"/>
    <w:p>
      <w:pPr>
        <w:pStyle w:val="Heading1"/>
      </w:pPr>
      <w:r>
        <w:t xml:space="preserve">Theoretical challenges</w:t>
      </w:r>
    </w:p>
    <w:p>
      <w:pPr>
        <w:pStyle w:val="FirstParagraph"/>
      </w:pPr>
      <w:r>
        <w:t xml:space="preserve">When investigating public trust in science, researchers first need to ask: How should we conceptualize trust? Clearly defining referents of trust will likely improve comparability across studies and produce more robust results.</w:t>
      </w:r>
    </w:p>
    <w:bookmarkStart w:id="38" w:name="trust-in-what"/>
    <w:p>
      <w:pPr>
        <w:pStyle w:val="Heading2"/>
      </w:pPr>
      <w:r>
        <w:t xml:space="preserve">Trust in what?</w:t>
      </w:r>
    </w:p>
    <w:p>
      <w:pPr>
        <w:pStyle w:val="FirstParagraph"/>
      </w:pPr>
      <w:r>
        <w:t xml:space="preserve">The term</w:t>
      </w:r>
      <w:r>
        <w:t xml:space="preserve"> </w:t>
      </w:r>
      <w:r>
        <w:t xml:space="preserve">‘science’</w:t>
      </w:r>
      <w:r>
        <w:t xml:space="preserve"> </w:t>
      </w:r>
      <w:r>
        <w:t xml:space="preserve">evokes different representations among different individuals or groups</w:t>
      </w:r>
      <w:r>
        <w:t xml:space="preserve"> </w:t>
      </w:r>
      <w:r>
        <w:t xml:space="preserve">[</w:t>
      </w:r>
      <w:hyperlink w:anchor="ref-gauchatCulturalAuthorityScience2011">
        <w:r>
          <w:rPr>
            <w:rStyle w:val="Hyperlink"/>
          </w:rPr>
          <w:t xml:space="preserve">11</w:t>
        </w:r>
      </w:hyperlink>
      <w:r>
        <w:t xml:space="preserve">]</w:t>
      </w:r>
      <w:r>
        <w:t xml:space="preserve">. Science may be understood as a body of literature, an institution, a method, or individual scientists. These representations matter for trust. For example, in the US, people tend to trust scientific methods more than scientific institutions—particularly among less-educated segments of the population</w:t>
      </w:r>
      <w:r>
        <w:t xml:space="preserve"> </w:t>
      </w:r>
      <w:r>
        <w:t xml:space="preserve">[</w:t>
      </w:r>
      <w:hyperlink w:anchor="ref-achterbergScienceConfidenceGap2017">
        <w:r>
          <w:rPr>
            <w:rStyle w:val="Hyperlink"/>
          </w:rPr>
          <w:t xml:space="preserve">12</w:t>
        </w:r>
      </w:hyperlink>
      <w:r>
        <w:t xml:space="preserve">]</w:t>
      </w:r>
      <w:r>
        <w:t xml:space="preserve">.</w:t>
      </w:r>
    </w:p>
    <w:p>
      <w:pPr>
        <w:pStyle w:val="BodyText"/>
      </w:pPr>
      <w:r>
        <w:t xml:space="preserve">Trust in science is also domain-specific: people do not trust all scientific disciplines equally. For instance, people around the world perceive climate scientists as less trustworthy than scientists in general</w:t>
      </w:r>
      <w:r>
        <w:t xml:space="preserve"> </w:t>
      </w:r>
      <w:r>
        <w:t xml:space="preserve">[</w:t>
      </w:r>
      <w:hyperlink w:anchor="ref-ghasemiGapsPublicTrust2025">
        <w:r>
          <w:rPr>
            <w:rStyle w:val="Hyperlink"/>
          </w:rPr>
          <w:t xml:space="preserve">13</w:t>
        </w:r>
      </w:hyperlink>
      <w:r>
        <w:t xml:space="preserve">]</w:t>
      </w:r>
      <w:r>
        <w:t xml:space="preserve">. In the US</w:t>
      </w:r>
      <w:r>
        <w:t xml:space="preserve"> </w:t>
      </w:r>
      <w:r>
        <w:t xml:space="preserve">[</w:t>
      </w:r>
      <w:hyperlink w:anchor="X00d97608ee621e43f57f3fe58fbc95f88c48acb">
        <w:r>
          <w:rPr>
            <w:rStyle w:val="Hyperlink"/>
          </w:rPr>
          <w:t xml:space="preserve">14</w:t>
        </w:r>
      </w:hyperlink>
      <w:r>
        <w:t xml:space="preserve">–</w:t>
      </w:r>
      <w:hyperlink w:anchor="ref-gligoricPoliticalIdeologyTrust2025">
        <w:r>
          <w:rPr>
            <w:rStyle w:val="Hyperlink"/>
          </w:rPr>
          <w:t xml:space="preserve">17</w:t>
        </w:r>
      </w:hyperlink>
      <w:r>
        <w:t xml:space="preserve">]</w:t>
      </w:r>
      <w:r>
        <w:t xml:space="preserve">, but also in France</w:t>
      </w:r>
      <w:r>
        <w:t xml:space="preserve"> </w:t>
      </w:r>
      <w:r>
        <w:t xml:space="preserve">[</w:t>
      </w:r>
      <w:hyperlink w:anchor="ref-pfanderFrenchTrustMore2025">
        <w:r>
          <w:rPr>
            <w:rStyle w:val="Hyperlink"/>
          </w:rPr>
          <w:t xml:space="preserve">18</w:t>
        </w:r>
      </w:hyperlink>
      <w:r>
        <w:t xml:space="preserve">]</w:t>
      </w:r>
      <w:r>
        <w:t xml:space="preserve">, disciplines such as biology or physics enjoy considerably more trust than economics or sociology. Scientific knowledge is another example of domain-specific trust. In the US, essentially everyone tends to overwhelmingly trust basic scientific knowledge</w:t>
      </w:r>
      <w:r>
        <w:t xml:space="preserve"> </w:t>
      </w:r>
      <w:r>
        <w:t xml:space="preserve">[e.g. electrons are smaller than atoms,</w:t>
      </w:r>
      <w:r>
        <w:t xml:space="preserve"> </w:t>
      </w:r>
      <w:hyperlink w:anchor="X36aee1055ec93821201faa8eee83e1bb9451ae3">
        <w:r>
          <w:rPr>
            <w:rStyle w:val="Hyperlink"/>
          </w:rPr>
          <w:t xml:space="preserve">19</w:t>
        </w:r>
      </w:hyperlink>
      <w:r>
        <w:t xml:space="preserve">]</w:t>
      </w:r>
      <w:r>
        <w:t xml:space="preserve">. Yet, on certain contentious and politicized topics, small but concerning minorities reject the scientific consensus</w:t>
      </w:r>
      <w:r>
        <w:t xml:space="preserve"> </w:t>
      </w:r>
      <w:r>
        <w:t xml:space="preserve">[</w:t>
      </w:r>
      <w:hyperlink w:anchor="ref-schroderDontTellMe2023">
        <w:r>
          <w:rPr>
            <w:rStyle w:val="Hyperlink"/>
          </w:rPr>
          <w:t xml:space="preserve">23</w:t>
        </w:r>
      </w:hyperlink>
      <w:r>
        <w:t xml:space="preserve">]</w:t>
      </w:r>
      <w:r>
        <w:t xml:space="preserve">. Domain-specific trust and can also relate to different character traits of scientists such as competence, integrity, or benevolence</w:t>
      </w:r>
      <w:r>
        <w:t xml:space="preserve"> </w:t>
      </w:r>
      <w:r>
        <w:t xml:space="preserve">[</w:t>
      </w:r>
      <w:hyperlink w:anchor="ref-hendriksMeasuringLaypeoplesTrust2015">
        <w:r>
          <w:rPr>
            <w:rStyle w:val="Hyperlink"/>
          </w:rPr>
          <w:t xml:space="preserve">24</w:t>
        </w:r>
      </w:hyperlink>
      <w:r>
        <w:t xml:space="preserve">]</w:t>
      </w:r>
      <w:r>
        <w:t xml:space="preserve">. Research from the US has shown that people tend to perceive scientists as competent, but less as warm</w:t>
      </w:r>
      <w:r>
        <w:t xml:space="preserve"> </w:t>
      </w:r>
      <w:r>
        <w:t xml:space="preserve">[</w:t>
      </w:r>
      <w:hyperlink w:anchor="ref-fiskeGainingTrustWell2014">
        <w:r>
          <w:rPr>
            <w:rStyle w:val="Hyperlink"/>
          </w:rPr>
          <w:t xml:space="preserve">25</w:t>
        </w:r>
      </w:hyperlink>
      <w:r>
        <w:t xml:space="preserve">]</w:t>
      </w:r>
      <w:r>
        <w:t xml:space="preserve">.</w:t>
      </w:r>
    </w:p>
    <w:p>
      <w:pPr>
        <w:pStyle w:val="BodyText"/>
      </w:pPr>
      <w:r>
        <w:t xml:space="preserve">Being precise about the construct under study and its domain-specific aspects can result in more meaningful insights. For example,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assessed the perceived trustworthiness of scientists with a multi-item index based on a large systematic review of trust dimensions</w:t>
      </w:r>
      <w:r>
        <w:t xml:space="preserve"> </w:t>
      </w:r>
      <w:r>
        <w:t xml:space="preserve">[</w:t>
      </w:r>
      <w:hyperlink w:anchor="ref-besleyReassessingVariablesUsed2021a">
        <w:r>
          <w:rPr>
            <w:rStyle w:val="Hyperlink"/>
          </w:rPr>
          <w:t xml:space="preserve">26</w:t>
        </w:r>
      </w:hyperlink>
      <w:r>
        <w:t xml:space="preserve">]</w:t>
      </w:r>
      <w:r>
        <w:t xml:space="preserve">. This more detailed scale allowed for fine-grained insights: While the public perceived scientists’ competence to be high, perceptions of integrity and openness were notably weaker. These findings point to a key challenge for science communication—not only demonstrating expertise but also integrity.</w:t>
      </w:r>
    </w:p>
    <w:p>
      <w:pPr>
        <w:pStyle w:val="BodyText"/>
      </w:pPr>
      <w:r>
        <w:t xml:space="preserve">To identify and validate theoretical dimensions of trust, qualitative studies play a crucial role. For example, an analysis of open-ended answers to the question</w:t>
      </w:r>
      <w:r>
        <w:t xml:space="preserve"> </w:t>
      </w:r>
      <w:r>
        <w:t xml:space="preserve">“What makes a scientist trustworthy?”</w:t>
      </w:r>
      <w:r>
        <w:t xml:space="preserve"> </w:t>
      </w:r>
      <w:r>
        <w:t xml:space="preserve">in Ireland</w:t>
      </w:r>
      <w:r>
        <w:t xml:space="preserve"> </w:t>
      </w:r>
      <w:r>
        <w:t xml:space="preserve">[</w:t>
      </w:r>
      <w:hyperlink w:anchor="ref-rocheScienceSocietyIreland2025">
        <w:r>
          <w:rPr>
            <w:rStyle w:val="Hyperlink"/>
          </w:rPr>
          <w:t xml:space="preserve">27</w:t>
        </w:r>
      </w:hyperlink>
      <w:r>
        <w:t xml:space="preserve">]</w:t>
      </w:r>
      <w:r>
        <w:t xml:space="preserve"> </w:t>
      </w:r>
      <w:r>
        <w:t xml:space="preserve">validated the dimensions of trustworthiness used in the TISP study</w:t>
      </w:r>
      <w:r>
        <w:t xml:space="preserve"> </w:t>
      </w:r>
      <w:r>
        <w:t xml:space="preserve">[</w:t>
      </w:r>
      <w:hyperlink w:anchor="ref-colognaTrustScientistsTheir2025">
        <w:r>
          <w:rPr>
            <w:rStyle w:val="Hyperlink"/>
          </w:rPr>
          <w:t xml:space="preserve">8</w:t>
        </w:r>
      </w:hyperlink>
      <w:r>
        <w:t xml:space="preserve">]</w:t>
      </w:r>
      <w:r>
        <w:t xml:space="preserve">.</w:t>
      </w:r>
    </w:p>
    <w:bookmarkEnd w:id="38"/>
    <w:bookmarkStart w:id="39" w:name="X8041b357b48b9d67a8eb56a530b892058f9907b"/>
    <w:p>
      <w:pPr>
        <w:pStyle w:val="Heading2"/>
      </w:pPr>
      <w:r>
        <w:t xml:space="preserve">Perceptions of trustworthiness vs. acts of trusting</w:t>
      </w:r>
    </w:p>
    <w:p>
      <w:pPr>
        <w:pStyle w:val="FirstParagraph"/>
      </w:pPr>
      <w:r>
        <w:t xml:space="preserve">Most research on public trust in science has investigated perceptions of trustworthiness, while much less attention has been paid to specific acts of trusting</w:t>
      </w:r>
      <w:r>
        <w:t xml:space="preserve"> </w:t>
      </w:r>
      <w:r>
        <w:t xml:space="preserve">[</w:t>
      </w:r>
      <w:hyperlink w:anchor="ref-besleyWhatAreYou2023">
        <w:r>
          <w:rPr>
            <w:rStyle w:val="Hyperlink"/>
          </w:rPr>
          <w:t xml:space="preserve">28</w:t>
        </w:r>
      </w:hyperlink>
      <w:r>
        <w:t xml:space="preserve">]</w:t>
      </w:r>
      <w:r>
        <w:t xml:space="preserve">. Perceptions of trustworthiness are often conceptualized as evaluations of scientists’ character traits</w:t>
      </w:r>
      <w:r>
        <w:t xml:space="preserve"> </w:t>
      </w:r>
      <w:r>
        <w:t xml:space="preserve">[e.g.,</w:t>
      </w:r>
      <w:r>
        <w:t xml:space="preserve"> </w:t>
      </w:r>
      <w:hyperlink w:anchor="ref-hendriksMeasuringLaypeoplesTrust2015">
        <w:r>
          <w:rPr>
            <w:rStyle w:val="Hyperlink"/>
          </w:rPr>
          <w:t xml:space="preserve">24</w:t>
        </w:r>
      </w:hyperlink>
      <w:r>
        <w:t xml:space="preserve">]</w:t>
      </w:r>
      <w:r>
        <w:t xml:space="preserve">. Behavioral trust, by contrast, reflects people’s willingness to make themselves vulnerable to the behaviors or decisions of scientists</w:t>
      </w:r>
      <w:r>
        <w:t xml:space="preserve"> </w:t>
      </w:r>
      <w:r>
        <w:t xml:space="preserve">[</w:t>
      </w:r>
      <w:hyperlink w:anchor="ref-besleyWhatAreYou2023">
        <w:r>
          <w:rPr>
            <w:rStyle w:val="Hyperlink"/>
          </w:rPr>
          <w:t xml:space="preserve">28</w:t>
        </w:r>
      </w:hyperlink>
      <w:r>
        <w:t xml:space="preserve">]</w:t>
      </w:r>
      <w:r>
        <w:t xml:space="preserve">. For instance,</w:t>
      </w:r>
      <w:r>
        <w:t xml:space="preserve"> </w:t>
      </w:r>
      <w:r>
        <w:t xml:space="preserve">[</w:t>
      </w:r>
      <w:hyperlink w:anchor="ref-besleyReassessingVariablesUsed2021a">
        <w:r>
          <w:rPr>
            <w:rStyle w:val="Hyperlink"/>
          </w:rPr>
          <w:t xml:space="preserve">26</w:t>
        </w:r>
      </w:hyperlink>
      <w:r>
        <w:t xml:space="preserve">]</w:t>
      </w:r>
      <w:r>
        <w:t xml:space="preserve"> </w:t>
      </w:r>
      <w:r>
        <w:t xml:space="preserve">developed a scale to capture how much influence people think scientists should have on public policy and their personal life.</w:t>
      </w:r>
    </w:p>
    <w:p>
      <w:pPr>
        <w:pStyle w:val="BodyText"/>
      </w:pPr>
      <w:r>
        <w:t xml:space="preserve">However, conceptualizations of behavioral trust differ across studies, and it is not always clear how they can be distinguished from beliefs. For example, does believing in human-made climate change already constitute an act of trust in climate scientists?</w:t>
      </w:r>
    </w:p>
    <w:p>
      <w:pPr>
        <w:pStyle w:val="BodyText"/>
      </w:pPr>
      <w:r>
        <w:t xml:space="preserve">Social trust has been shown to be associated with behavioral trust</w:t>
      </w:r>
      <w:r>
        <w:t xml:space="preserve"> </w:t>
      </w:r>
      <w:r>
        <w:t xml:space="preserve">[</w:t>
      </w:r>
      <w:hyperlink w:anchor="X8598fe6c37d0332477d3318d9e409885acab6c3">
        <w:r>
          <w:rPr>
            <w:rStyle w:val="Hyperlink"/>
          </w:rPr>
          <w:t xml:space="preserve">29</w:t>
        </w:r>
      </w:hyperlink>
      <w:r>
        <w:t xml:space="preserve">]</w:t>
      </w:r>
      <w:r>
        <w:t xml:space="preserve">. This also seems to be the case for trust in science: During the Covid-19 pandemic, declared trust in science was one of the most important correlates of protection intentions</w:t>
      </w:r>
      <w:r>
        <w:t xml:space="preserve"> </w:t>
      </w:r>
      <w:r>
        <w:t xml:space="preserve">[e.g., social distancing</w:t>
      </w:r>
      <w:r>
        <w:t xml:space="preserve"> </w:t>
      </w:r>
      <w:hyperlink w:anchor="X041951be87ff94c666ee9759e48b051145edaff">
        <w:r>
          <w:rPr>
            <w:rStyle w:val="Hyperlink"/>
          </w:rPr>
          <w:t xml:space="preserve">30</w:t>
        </w:r>
      </w:hyperlink>
      <w:r>
        <w:t xml:space="preserve">,</w:t>
      </w:r>
      <w:hyperlink w:anchor="ref-pagliaroTrustPredictsCOVID192021">
        <w:r>
          <w:rPr>
            <w:rStyle w:val="Hyperlink"/>
          </w:rPr>
          <w:t xml:space="preserve">31</w:t>
        </w:r>
      </w:hyperlink>
      <w:r>
        <w:t xml:space="preserve">]</w:t>
      </w:r>
      <w:r>
        <w:t xml:space="preserve"> </w:t>
      </w:r>
      <w:r>
        <w:t xml:space="preserve">and supporting protective policies</w:t>
      </w:r>
      <w:r>
        <w:t xml:space="preserve"> </w:t>
      </w:r>
      <w:r>
        <w:t xml:space="preserve">[e.g., implementing curfews</w:t>
      </w:r>
      <w:r>
        <w:t xml:space="preserve"> </w:t>
      </w:r>
      <w:hyperlink w:anchor="ref-alganTrustScientistsTimes2021">
        <w:r>
          <w:rPr>
            <w:rStyle w:val="Hyperlink"/>
          </w:rPr>
          <w:t xml:space="preserve">6</w:t>
        </w:r>
      </w:hyperlink>
      <w:r>
        <w:t xml:space="preserve">]</w:t>
      </w:r>
      <w:r>
        <w:t xml:space="preserve">. However, experimentally manipulating perceptions of trustworthiness, researchers could not demonstrate that they</w:t>
      </w:r>
      <w:r>
        <w:t xml:space="preserve"> </w:t>
      </w:r>
      <w:r>
        <w:rPr>
          <w:i/>
          <w:iCs/>
        </w:rPr>
        <w:t xml:space="preserve">caused</w:t>
      </w:r>
      <w:r>
        <w:t xml:space="preserve"> </w:t>
      </w:r>
      <w:r>
        <w:t xml:space="preserve">protection intentions against Covid-19</w:t>
      </w:r>
      <w:r>
        <w:t xml:space="preserve"> </w:t>
      </w:r>
      <w:r>
        <w:t xml:space="preserve">[</w:t>
      </w:r>
      <w:hyperlink w:anchor="ref-wingenWhenCorrelationDoes2025">
        <w:r>
          <w:rPr>
            <w:rStyle w:val="Hyperlink"/>
          </w:rPr>
          <w:t xml:space="preserve">32</w:t>
        </w:r>
      </w:hyperlink>
      <w:r>
        <w:t xml:space="preserve">]</w:t>
      </w:r>
      <w:r>
        <w:t xml:space="preserve">. As this example suggests, it is often not clear how perceptions of trustworthiness translate into specific acts of trusting.</w:t>
      </w:r>
    </w:p>
    <w:bookmarkEnd w:id="39"/>
    <w:bookmarkEnd w:id="40"/>
    <w:bookmarkStart w:id="47" w:name="methodological-challenges"/>
    <w:p>
      <w:pPr>
        <w:pStyle w:val="Heading1"/>
      </w:pPr>
      <w:r>
        <w:t xml:space="preserve">Methodological challenges</w:t>
      </w:r>
    </w:p>
    <w:p>
      <w:pPr>
        <w:pStyle w:val="FirstParagraph"/>
      </w:pPr>
      <w:r>
        <w:t xml:space="preserve">Ambiguities at the theoretical level are frequently mirrored in the varying approaches researchers use for sample selection and measurement. Such differences have led to inconsistent findings, hindering cumulative knowledge generation.</w:t>
      </w:r>
    </w:p>
    <w:bookmarkStart w:id="41" w:name="sample-selection"/>
    <w:p>
      <w:pPr>
        <w:pStyle w:val="Heading2"/>
      </w:pPr>
      <w:r>
        <w:t xml:space="preserve">Sample selection</w:t>
      </w:r>
    </w:p>
    <w:p>
      <w:pPr>
        <w:pStyle w:val="FirstParagraph"/>
      </w:pPr>
      <w:r>
        <w:t xml:space="preserve">Selecting study participants involves several methodological choices–such as whether to conduct fieldwork online or by telephone, use probability-based or quota sampling, and rely on weighting or stratification procedures–all of which can influence findings on trust in science</w:t>
      </w:r>
      <w:r>
        <w:t xml:space="preserve"> </w:t>
      </w:r>
      <w:r>
        <w:t xml:space="preserve">[</w:t>
      </w:r>
      <w:hyperlink w:anchor="ref-smithCriticalReviewUnited2016">
        <w:r>
          <w:rPr>
            <w:rStyle w:val="Hyperlink"/>
          </w:rPr>
          <w:t xml:space="preserve">33</w:t>
        </w:r>
      </w:hyperlink>
      <w:r>
        <w:t xml:space="preserve">]</w:t>
      </w:r>
      <w:r>
        <w:t xml:space="preserve">. Recent evidence suggests that one aspect of sample selection is particularly important: country selection.</w:t>
      </w:r>
    </w:p>
    <w:p>
      <w:pPr>
        <w:pStyle w:val="BodyText"/>
      </w:pPr>
      <w:r>
        <w:t xml:space="preserve">In the US, there is a strong partisan divide regarding trust in science: Democrats tend to express more trust in science than Republicans</w:t>
      </w:r>
      <w:r>
        <w:t xml:space="preserve"> </w:t>
      </w:r>
      <w:r>
        <w:t xml:space="preserve">[</w:t>
      </w:r>
      <w:hyperlink w:anchor="ref-krauseTrendsAmericansTrust2019a">
        <w:r>
          <w:rPr>
            <w:rStyle w:val="Hyperlink"/>
          </w:rPr>
          <w:t xml:space="preserve">34</w:t>
        </w:r>
      </w:hyperlink>
      <w:r>
        <w:t xml:space="preserve">–</w:t>
      </w:r>
      <w:hyperlink w:anchor="X7d0ca73ddb289ec7febc0c339285bae9bc55471">
        <w:r>
          <w:rPr>
            <w:rStyle w:val="Hyperlink"/>
          </w:rPr>
          <w:t xml:space="preserve">36</w:t>
        </w:r>
      </w:hyperlink>
      <w:r>
        <w:t xml:space="preserve">]</w:t>
      </w:r>
      <w:r>
        <w:t xml:space="preserve">. Based on this evidence, it would be reasonable to assume that liberal political orientation is an important predictor of higher trust. However, global analyses reveal a more nuanced picture: While in Europe and in the US more right (vs. left) leaning and more conservative (vs. liberal) individuals tend to trust scientists less, the opposite is true in several countries in Africa and Southeast Asia</w:t>
      </w:r>
      <w:r>
        <w:t xml:space="preserve"> </w:t>
      </w:r>
      <w:r>
        <w:t xml:space="preserve">[</w:t>
      </w:r>
      <w:hyperlink w:anchor="ref-colognaTrustScientistsTheir2025">
        <w:r>
          <w:rPr>
            <w:rStyle w:val="Hyperlink"/>
          </w:rPr>
          <w:t xml:space="preserve">8</w:t>
        </w:r>
      </w:hyperlink>
      <w:r>
        <w:t xml:space="preserve">]</w:t>
      </w:r>
      <w:r>
        <w:t xml:space="preserve">. Moreover, the role of political orientation can shift across domains of science: For instance, conservatism is associated with greater climate change skepticism in North America and Europe, but not in other countries</w:t>
      </w:r>
      <w:r>
        <w:t xml:space="preserve"> </w:t>
      </w:r>
      <w:r>
        <w:t xml:space="preserve">[</w:t>
      </w:r>
      <w:hyperlink w:anchor="ref-rutjensScienceSkepticism242022">
        <w:r>
          <w:rPr>
            <w:rStyle w:val="Hyperlink"/>
          </w:rPr>
          <w:t xml:space="preserve">37</w:t>
        </w:r>
      </w:hyperlink>
      <w:r>
        <w:t xml:space="preserve">,</w:t>
      </w:r>
      <w:hyperlink w:anchor="X33f0b4c61142dd8d445e09d67eaab68c3cc8dc8">
        <w:r>
          <w:rPr>
            <w:rStyle w:val="Hyperlink"/>
          </w:rPr>
          <w:t xml:space="preserve">38</w:t>
        </w:r>
      </w:hyperlink>
      <w:r>
        <w:t xml:space="preserve">]</w:t>
      </w:r>
      <w:r>
        <w:t xml:space="preserve">.</w:t>
      </w:r>
    </w:p>
    <w:p>
      <w:pPr>
        <w:pStyle w:val="BodyText"/>
      </w:pPr>
      <w:r>
        <w:t xml:space="preserve">A similar pattern emerges for religiosity. Studies have found that in the US</w:t>
      </w:r>
      <w:r>
        <w:t xml:space="preserve"> </w:t>
      </w:r>
      <w:r>
        <w:t xml:space="preserve">[</w:t>
      </w:r>
      <w:hyperlink w:anchor="X7d0ca73ddb289ec7febc0c339285bae9bc55471">
        <w:r>
          <w:rPr>
            <w:rStyle w:val="Hyperlink"/>
          </w:rPr>
          <w:t xml:space="preserve">36</w:t>
        </w:r>
      </w:hyperlink>
      <w:r>
        <w:t xml:space="preserve">]</w:t>
      </w:r>
      <w:r>
        <w:t xml:space="preserve"> </w:t>
      </w:r>
      <w:r>
        <w:t xml:space="preserve">or in the Netherlands</w:t>
      </w:r>
      <w:r>
        <w:t xml:space="preserve"> </w:t>
      </w:r>
      <w:r>
        <w:t xml:space="preserve">[</w:t>
      </w:r>
      <w:hyperlink w:anchor="X967e9c5307350e1a5d350ed364c0669bd816aee">
        <w:r>
          <w:rPr>
            <w:rStyle w:val="Hyperlink"/>
          </w:rPr>
          <w:t xml:space="preserve">39</w:t>
        </w:r>
      </w:hyperlink>
      <w:r>
        <w:t xml:space="preserve">]</w:t>
      </w:r>
      <w:r>
        <w:t xml:space="preserve">, more religious individuals express lower trust in scientists.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revealed important nuances: It showed that religiosity is, on average, slightly positively associated with trust in scientists, driven mostly by a positive association in several Muslim-majority countries. This aligns with global findings on religion and attitudes towards science more generally</w:t>
      </w:r>
      <w:r>
        <w:t xml:space="preserve"> </w:t>
      </w:r>
      <w:r>
        <w:t xml:space="preserve">[</w:t>
      </w:r>
      <w:hyperlink w:anchor="ref-mcphetresReligiousAmericansHave2021">
        <w:r>
          <w:rPr>
            <w:rStyle w:val="Hyperlink"/>
          </w:rPr>
          <w:t xml:space="preserve">40</w:t>
        </w:r>
      </w:hyperlink>
      <w:r>
        <w:t xml:space="preserve">]</w:t>
      </w:r>
      <w:r>
        <w:t xml:space="preserve">, and with qualitative research suggesting that Muslims tend to view teachings of their religion and science as overlapping</w:t>
      </w:r>
      <w:r>
        <w:t xml:space="preserve"> </w:t>
      </w:r>
      <w:r>
        <w:t xml:space="preserve">[</w:t>
      </w:r>
      <w:hyperlink w:anchor="Xd0b9456a428656ce179bc8876e4f26bc809e9f5">
        <w:r>
          <w:rPr>
            <w:rStyle w:val="Hyperlink"/>
          </w:rPr>
          <w:t xml:space="preserve">41</w:t>
        </w:r>
      </w:hyperlink>
      <w:r>
        <w:t xml:space="preserve">]</w:t>
      </w:r>
      <w:r>
        <w:t xml:space="preserve">.</w:t>
      </w:r>
    </w:p>
    <w:p>
      <w:pPr>
        <w:pStyle w:val="BodyText"/>
      </w:pPr>
      <w:r>
        <w:t xml:space="preserve">These examples illustrate how relying exclusively on samples from the Global North, where survey research on trust in science is institutionalized and well accessible, bears the risk of overgeneralization. Achieving more diverse samples remains a major challenge. Even in the TISP study</w:t>
      </w:r>
      <w:r>
        <w:t xml:space="preserve"> </w:t>
      </w:r>
      <w:r>
        <w:t xml:space="preserve">[</w:t>
      </w:r>
      <w:hyperlink w:anchor="ref-colognaTrustScientistsTheir2025">
        <w:r>
          <w:rPr>
            <w:rStyle w:val="Hyperlink"/>
          </w:rPr>
          <w:t xml:space="preserve">8</w:t>
        </w:r>
      </w:hyperlink>
      <w:r>
        <w:t xml:space="preserve">]</w:t>
      </w:r>
      <w:r>
        <w:t xml:space="preserve">, several regions such as Central Asia, the Middle East, and Oceania were underrepresented.</w:t>
      </w:r>
    </w:p>
    <w:bookmarkEnd w:id="41"/>
    <w:bookmarkStart w:id="46" w:name="measurement"/>
    <w:p>
      <w:pPr>
        <w:pStyle w:val="Heading2"/>
      </w:pPr>
      <w:r>
        <w:t xml:space="preserve">Measurement</w:t>
      </w:r>
    </w:p>
    <w:p>
      <w:pPr>
        <w:pStyle w:val="FirstParagraph"/>
      </w:pPr>
      <w:r>
        <w:t xml:space="preserve">Using different measures to assess the same theoretical construct can lead to inconsistent results. This concerns both trust in science and the covariates assessed in relation to trust.</w:t>
      </w:r>
    </w:p>
    <w:p>
      <w:pPr>
        <w:pStyle w:val="BodyText"/>
      </w:pPr>
      <w:r>
        <w:t xml:space="preserve">Some survey projects assess trust in science with very general questions, often relying on single items</w:t>
      </w:r>
      <w:r>
        <w:rPr>
          <w:rStyle w:val="FootnoteReference"/>
        </w:rPr>
        <w:footnoteReference w:id="42"/>
      </w:r>
      <w:r>
        <w:t xml:space="preserve">. Because people can hold different representations of science, and because trust is domain-specific, it remains unclear what exactly these questions capture</w:t>
      </w:r>
      <w:r>
        <w:t xml:space="preserve"> </w:t>
      </w:r>
      <w:r>
        <w:t xml:space="preserve">[</w:t>
      </w:r>
      <w:hyperlink w:anchor="ref-besleyReassessingVariablesUsed2021a">
        <w:r>
          <w:rPr>
            <w:rStyle w:val="Hyperlink"/>
          </w:rPr>
          <w:t xml:space="preserve">26</w:t>
        </w:r>
      </w:hyperlink>
      <w:r>
        <w:t xml:space="preserve">,</w:t>
      </w:r>
      <w:hyperlink w:anchor="ref-besleyWhatAreYou2023">
        <w:r>
          <w:rPr>
            <w:rStyle w:val="Hyperlink"/>
          </w:rPr>
          <w:t xml:space="preserve">28</w:t>
        </w:r>
      </w:hyperlink>
      <w:r>
        <w:t xml:space="preserve">]</w:t>
      </w:r>
      <w:r>
        <w:t xml:space="preserve">. As a consequence, general single-item measures of trust in science may produce inconsistent findings across populations and hinder the comparability of findings across studies.</w:t>
      </w:r>
    </w:p>
    <w:p>
      <w:pPr>
        <w:pStyle w:val="BodyText"/>
      </w:pPr>
      <w:r>
        <w:t xml:space="preserve">Recent global studies on public perceptions of science have often relied on aggregate measures of trust. For example, the Wellcome Global Monitor surveys use a five-item index to assess trust in scientists</w:t>
      </w:r>
      <w:r>
        <w:t xml:space="preserve"> </w:t>
      </w:r>
      <w:r>
        <w:t xml:space="preserve">[</w:t>
      </w:r>
      <w:hyperlink w:anchor="X02cb954775672ff7129fb691e9fce8f78cf2ad5">
        <w:r>
          <w:rPr>
            <w:rStyle w:val="Hyperlink"/>
          </w:rPr>
          <w:t xml:space="preserve">9</w:t>
        </w:r>
      </w:hyperlink>
      <w:r>
        <w:t xml:space="preserve">,</w:t>
      </w:r>
      <w:hyperlink w:anchor="X1228c58a1af7bd8622fc2077f37041e3a35d250">
        <w:r>
          <w:rPr>
            <w:rStyle w:val="Hyperlink"/>
          </w:rPr>
          <w:t xml:space="preserve">10</w:t>
        </w:r>
      </w:hyperlink>
      <w:r>
        <w:t xml:space="preserve">]</w:t>
      </w:r>
      <w:r>
        <w:rPr>
          <w:rStyle w:val="FootnoteReference"/>
        </w:rPr>
        <w:footnoteReference w:id="43"/>
      </w:r>
      <w:r>
        <w:t xml:space="preserve">. Aggregate measures help address concerns about single-item questions discussed above. What they cannot address, however, is the issue of comparability: if studies use different trust indices and arrive at different conclusions, it is difficult to reconcile the discrepancies</w:t>
      </w:r>
      <w:r>
        <w:t xml:space="preserve"> </w:t>
      </w:r>
      <w:r>
        <w:t xml:space="preserve">[</w:t>
      </w:r>
      <w:hyperlink w:anchor="ref-medePublicCommunicationScience2024">
        <w:r>
          <w:rPr>
            <w:rStyle w:val="Hyperlink"/>
          </w:rPr>
          <w:t xml:space="preserve">43</w:t>
        </w:r>
      </w:hyperlink>
      <w:r>
        <w:t xml:space="preserve">]</w:t>
      </w:r>
      <w:r>
        <w:t xml:space="preserve">.</w:t>
      </w:r>
    </w:p>
    <w:p>
      <w:pPr>
        <w:pStyle w:val="BodyText"/>
      </w:pPr>
      <w:r>
        <w:t xml:space="preserve">The issue of measurement heterogeneity also extends to common covariates of trust. On the one hand, new operationalizations can strengthen confidence in established findings. For instance, research has found that the link between scientific knowledge and attitudes toward science is weak, and largely absent for issue-specific attitudes</w:t>
      </w:r>
      <w:r>
        <w:t xml:space="preserve"> </w:t>
      </w:r>
      <w:r>
        <w:t xml:space="preserve">[</w:t>
      </w:r>
      <w:hyperlink w:anchor="ref-allumScienceKnowledgeAttitudes2008">
        <w:r>
          <w:rPr>
            <w:rStyle w:val="Hyperlink"/>
          </w:rPr>
          <w:t xml:space="preserve">44</w:t>
        </w:r>
      </w:hyperlink>
      <w:r>
        <w:t xml:space="preserve">]</w:t>
      </w:r>
      <w:r>
        <w:t xml:space="preserve">. Using different measures,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confirmed this result: Instead of measuring science knowledge with narrow factual quizzes, they used average national scores from the Program for International Student Assessment (PISA) and found no statistically significant association between countries’ average trust in scientists and their average PISA scores.</w:t>
      </w:r>
    </w:p>
    <w:p>
      <w:pPr>
        <w:pStyle w:val="BodyText"/>
      </w:pPr>
      <w:r>
        <w:t xml:space="preserve">On the other hand, measuring covariates differently can also challenge previously established findings. For example, many global studies have identified education</w:t>
      </w:r>
      <w:r>
        <w:t xml:space="preserve"> </w:t>
      </w:r>
      <w:r>
        <w:t xml:space="preserve">[</w:t>
      </w:r>
      <w:hyperlink w:anchor="ref-noyScienceGoodEffects2019">
        <w:r>
          <w:rPr>
            <w:rStyle w:val="Hyperlink"/>
          </w:rPr>
          <w:t xml:space="preserve">45</w:t>
        </w:r>
      </w:hyperlink>
      <w:r>
        <w:t xml:space="preserve">]</w:t>
      </w:r>
      <w:r>
        <w:t xml:space="preserve"> </w:t>
      </w:r>
      <w:r>
        <w:t xml:space="preserve">and science education</w:t>
      </w:r>
      <w:r>
        <w:t xml:space="preserve"> </w:t>
      </w:r>
      <w:r>
        <w:t xml:space="preserve">[</w:t>
      </w:r>
      <w:hyperlink w:anchor="X02cb954775672ff7129fb691e9fce8f78cf2ad5">
        <w:r>
          <w:rPr>
            <w:rStyle w:val="Hyperlink"/>
          </w:rPr>
          <w:t xml:space="preserve">9</w:t>
        </w:r>
      </w:hyperlink>
      <w:r>
        <w:t xml:space="preserve">]</w:t>
      </w:r>
      <w:r>
        <w:t xml:space="preserve"> </w:t>
      </w:r>
      <w:r>
        <w:t xml:space="preserve">as two of the strongest correlates of trust in science. By contrast,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tested this relationship using only a coarse distinction between tertiary versus all other forms of education (including none), finding only a weak positive association.</w:t>
      </w:r>
    </w:p>
    <w:p>
      <w:pPr>
        <w:pStyle w:val="BodyText"/>
      </w:pPr>
      <w:r>
        <w:t xml:space="preserve">Another example is religion: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correlation between religiosity and trust in science in several muslim-majority countries. By contrast, another global study</w:t>
      </w:r>
      <w:r>
        <w:t xml:space="preserve"> </w:t>
      </w:r>
      <w:r>
        <w:t xml:space="preserve">[</w:t>
      </w:r>
      <w:hyperlink w:anchor="ref-noyScienceGoodEffects2019">
        <w:r>
          <w:rPr>
            <w:rStyle w:val="Hyperlink"/>
          </w:rPr>
          <w:t xml:space="preserve">45</w:t>
        </w:r>
      </w:hyperlink>
      <w:r>
        <w:t xml:space="preserve">]</w:t>
      </w:r>
      <w:r>
        <w:t xml:space="preserve"> </w:t>
      </w:r>
      <w:r>
        <w:t xml:space="preserve">used data on religious affiliation not at the country, but at the individual level, and found that Muslims held the least favorable views of science among several religious groups</w:t>
      </w:r>
      <w:r>
        <w:rPr>
          <w:rStyle w:val="FootnoteReference"/>
        </w:rPr>
        <w:footnoteReference w:id="44"/>
      </w:r>
      <w:r>
        <w:t xml:space="preserve">. Differences in model specification and country selection, further impede comparability</w:t>
      </w:r>
      <w:r>
        <w:rPr>
          <w:rStyle w:val="FootnoteReference"/>
        </w:rPr>
        <w:footnoteReference w:id="45"/>
      </w:r>
      <w:r>
        <w:t xml:space="preserve">.</w:t>
      </w:r>
    </w:p>
    <w:p>
      <w:pPr>
        <w:pStyle w:val="BodyText"/>
      </w:pPr>
      <w:r>
        <w:t xml:space="preserve">As research on trust in science increasingly relies on more culturally diverse samples, our understanding of regional patterns of trust has improved. However, greater conceptual clarity and convergence on validated, theoretically grounded measures is needed for findings to be comparable across contexts and theory to advance. Collaborative efforts, such as Many Labs studies, provide promising pathways to achieve this.</w:t>
      </w:r>
    </w:p>
    <w:bookmarkEnd w:id="46"/>
    <w:bookmarkEnd w:id="47"/>
    <w:bookmarkStart w:id="48" w:name="normative-considerations"/>
    <w:p>
      <w:pPr>
        <w:pStyle w:val="Heading1"/>
      </w:pPr>
      <w:r>
        <w:t xml:space="preserve">Normative considerations</w:t>
      </w:r>
    </w:p>
    <w:p>
      <w:pPr>
        <w:pStyle w:val="FirstParagraph"/>
      </w:pPr>
      <w:r>
        <w:t xml:space="preserve">Approaches to studying trust in science are not value-agnostic: they are guided, implicitly or explicitly, by normative assumptions about what trust in science should look like. Moving forward, we believe the field needs to reflect more explicitly on its underlying normative assumptions.</w:t>
      </w:r>
    </w:p>
    <w:p>
      <w:pPr>
        <w:pStyle w:val="BodyText"/>
      </w:pPr>
      <w:r>
        <w:t xml:space="preserve">One important example is the long-standing influence of deficit thinking. For decades, research on public perceptions of science has emphasized public</w:t>
      </w:r>
      <w:r>
        <w:t xml:space="preserve"> </w:t>
      </w:r>
      <w:r>
        <w:t xml:space="preserve">“deficits”</w:t>
      </w:r>
      <w:r>
        <w:t xml:space="preserve">, ranging from a lack of knowledge to a lack of trust</w:t>
      </w:r>
      <w:r>
        <w:t xml:space="preserve"> </w:t>
      </w:r>
      <w:r>
        <w:t xml:space="preserve">[</w:t>
      </w:r>
      <w:hyperlink w:anchor="ref-bauerWhatCanWe2007">
        <w:r>
          <w:rPr>
            <w:rStyle w:val="Hyperlink"/>
          </w:rPr>
          <w:t xml:space="preserve">46</w:t>
        </w:r>
      </w:hyperlink>
      <w:r>
        <w:t xml:space="preserve">,</w:t>
      </w:r>
      <w:hyperlink w:anchor="ref-scheufeleThirtyYearsScience2022">
        <w:r>
          <w:rPr>
            <w:rStyle w:val="Hyperlink"/>
          </w:rPr>
          <w:t xml:space="preserve">47</w:t>
        </w:r>
      </w:hyperlink>
      <w:r>
        <w:t xml:space="preserve">]</w:t>
      </w:r>
      <w:r>
        <w:t xml:space="preserve">. This deficit thinking has three major consequences: First, it takes trust in science for granted and treats it as a rational default. Theoretical approaches in psychology</w:t>
      </w:r>
      <w:r>
        <w:t xml:space="preserve"> </w:t>
      </w:r>
      <w:r>
        <w:t xml:space="preserve">[</w:t>
      </w:r>
      <w:hyperlink w:anchor="ref-hornseyAttitudeRootsJiu2017a">
        <w:r>
          <w:rPr>
            <w:rStyle w:val="Hyperlink"/>
          </w:rPr>
          <w:t xml:space="preserve">48</w:t>
        </w:r>
      </w:hyperlink>
      <w:r>
        <w:t xml:space="preserve">–</w:t>
      </w:r>
      <w:hyperlink w:anchor="X3451f52acce70bd6874021632b5ca886fc6dda3">
        <w:r>
          <w:rPr>
            <w:rStyle w:val="Hyperlink"/>
          </w:rPr>
          <w:t xml:space="preserve">50</w:t>
        </w:r>
      </w:hyperlink>
      <w:r>
        <w:t xml:space="preserve">]</w:t>
      </w:r>
      <w:r>
        <w:t xml:space="preserve">, communication</w:t>
      </w:r>
      <w:r>
        <w:t xml:space="preserve"> </w:t>
      </w:r>
      <w:r>
        <w:t xml:space="preserve">[</w:t>
      </w:r>
      <w:hyperlink w:anchor="X3a579f7b8f7c50140ad69cec2269892b8bed906">
        <w:r>
          <w:rPr>
            <w:rStyle w:val="Hyperlink"/>
          </w:rPr>
          <w:t xml:space="preserve">51</w:t>
        </w:r>
      </w:hyperlink>
      <w:r>
        <w:t xml:space="preserve">,</w:t>
      </w:r>
      <w:hyperlink w:anchor="ref-medeWhoSupportsSciencerelated2022">
        <w:r>
          <w:rPr>
            <w:rStyle w:val="Hyperlink"/>
          </w:rPr>
          <w:t xml:space="preserve">52</w:t>
        </w:r>
      </w:hyperlink>
      <w:r>
        <w:t xml:space="preserve">]</w:t>
      </w:r>
      <w:r>
        <w:t xml:space="preserve">, political science</w:t>
      </w:r>
      <w:r>
        <w:t xml:space="preserve"> </w:t>
      </w:r>
      <w:r>
        <w:t xml:space="preserve">[</w:t>
      </w:r>
      <w:hyperlink w:anchor="Xc900ab6802c75bf5233fe72972aab9d24342892">
        <w:r>
          <w:rPr>
            <w:rStyle w:val="Hyperlink"/>
          </w:rPr>
          <w:t xml:space="preserve">53</w:t>
        </w:r>
      </w:hyperlink>
      <w:r>
        <w:t xml:space="preserve">]</w:t>
      </w:r>
      <w:r>
        <w:t xml:space="preserve">, and sociology</w:t>
      </w:r>
      <w:r>
        <w:t xml:space="preserve"> </w:t>
      </w:r>
      <w:r>
        <w:t xml:space="preserve">[</w:t>
      </w:r>
      <w:hyperlink w:anchor="ref-gauchatCulturalAuthorityScience2011">
        <w:r>
          <w:rPr>
            <w:rStyle w:val="Hyperlink"/>
          </w:rPr>
          <w:t xml:space="preserve">11</w:t>
        </w:r>
      </w:hyperlink>
      <w:r>
        <w:t xml:space="preserve">,</w:t>
      </w:r>
      <w:hyperlink w:anchor="ref-gauchatLegitimacyScience2023">
        <w:r>
          <w:rPr>
            <w:rStyle w:val="Hyperlink"/>
          </w:rPr>
          <w:t xml:space="preserve">54</w:t>
        </w:r>
      </w:hyperlink>
      <w:r>
        <w:t xml:space="preserve">]</w:t>
      </w:r>
      <w:r>
        <w:t xml:space="preserve"> </w:t>
      </w:r>
      <w:r>
        <w:t xml:space="preserve">have focused on why certain groups deviate from that default. But more research is needed on why people across the globe tend to trust science in the first place</w:t>
      </w:r>
      <w:r>
        <w:t xml:space="preserve"> </w:t>
      </w:r>
      <w:r>
        <w:t xml:space="preserve">[</w:t>
      </w:r>
      <w:hyperlink w:anchor="ref-colognaTrustScientistsTheir2025">
        <w:r>
          <w:rPr>
            <w:rStyle w:val="Hyperlink"/>
          </w:rPr>
          <w:t xml:space="preserve">8</w:t>
        </w:r>
      </w:hyperlink>
      <w:r>
        <w:t xml:space="preserve">]</w:t>
      </w:r>
      <w:r>
        <w:t xml:space="preserve">, in spite of knowing little about it</w:t>
      </w:r>
      <w:r>
        <w:t xml:space="preserve"> </w:t>
      </w:r>
      <w:r>
        <w:t xml:space="preserve">[</w:t>
      </w:r>
      <w:hyperlink w:anchor="X87ba04d7f6f955d7dab2970dc3ff653de6258ce">
        <w:r>
          <w:rPr>
            <w:rStyle w:val="Hyperlink"/>
          </w:rPr>
          <w:t xml:space="preserve">55</w:t>
        </w:r>
      </w:hyperlink>
      <w:r>
        <w:t xml:space="preserve">]</w:t>
      </w:r>
      <w:r>
        <w:t xml:space="preserve">. Addressing this gap is essential if we want to understand how trust can be fostered and sustained</w:t>
      </w:r>
      <w:r>
        <w:t xml:space="preserve"> </w:t>
      </w:r>
      <w:r>
        <w:t xml:space="preserve">[</w:t>
      </w:r>
      <w:hyperlink w:anchor="X9368a5888b4ac84ef059928a106d4a51cc998f8">
        <w:r>
          <w:rPr>
            <w:rStyle w:val="Hyperlink"/>
          </w:rPr>
          <w:t xml:space="preserve">56</w:t>
        </w:r>
      </w:hyperlink>
      <w:r>
        <w:t xml:space="preserve">]</w:t>
      </w:r>
      <w:r>
        <w:t xml:space="preserve">. Second, deficit thinking suggests that the more people trust science, the better. For topics with a well-established scientific consensus—e.g., the existence of human made climate change, or the safety of vaccines—more trust in science can indeed be expected to lead to better societal outcomes. But public trust in science should not be blind, either: for disruptive knowledge and emerging technologies to be in the best public interest, the public needs to critically evaluate them</w:t>
      </w:r>
      <w:r>
        <w:t xml:space="preserve"> </w:t>
      </w:r>
      <w:r>
        <w:t xml:space="preserve">[see e.g.,</w:t>
      </w:r>
      <w:r>
        <w:t xml:space="preserve"> </w:t>
      </w:r>
      <w:hyperlink w:anchor="ref-scheufeleWhatWeKnow2021">
        <w:r>
          <w:rPr>
            <w:rStyle w:val="Hyperlink"/>
          </w:rPr>
          <w:t xml:space="preserve">57</w:t>
        </w:r>
      </w:hyperlink>
      <w:r>
        <w:t xml:space="preserve">]</w:t>
      </w:r>
      <w:r>
        <w:t xml:space="preserve">. A research agenda on trust should therefore not only ask how to increase trust, but also when healthy skepticism is warranted. Third, deficit thinking tends to stigmatize the public as ignorant. This pathologization of trust deficits does not acknowledge that low trust in science may have legitimate reasons, such as past failures and scientific misconduct</w:t>
      </w:r>
      <w:r>
        <w:t xml:space="preserve"> </w:t>
      </w:r>
      <w:r>
        <w:t xml:space="preserve">[</w:t>
      </w:r>
      <w:hyperlink w:anchor="ref-krauseTrustFallacy2021">
        <w:r>
          <w:rPr>
            <w:rStyle w:val="Hyperlink"/>
          </w:rPr>
          <w:t xml:space="preserve">58</w:t>
        </w:r>
      </w:hyperlink>
      <w:r>
        <w:t xml:space="preserve">]</w:t>
      </w:r>
      <w:r>
        <w:t xml:space="preserve">.</w:t>
      </w:r>
    </w:p>
    <w:p>
      <w:pPr>
        <w:pStyle w:val="BodyText"/>
      </w:pPr>
      <w:r>
        <w:t xml:space="preserve">To meaningfully advance research on trust in science, three key aspects deserve greater consideration: theoretical clarity about what trust is, methodological rigor to measure it consistently across contexts, and normative deliberation of what levels and forms of trust are desirable. Elevated levels of public trust in science should not encourage complacency. As demonstrated by recent political developments, science is under attack even in countries such as the US, where most people trust science at least to some extent, but where trust is increasingly polarized along political ideologies and where narratives of a loss of public trust are instrumentalized to justify budget cuts for US universities</w:t>
      </w:r>
      <w:r>
        <w:t xml:space="preserve"> </w:t>
      </w:r>
      <w:r>
        <w:t xml:space="preserve">[</w:t>
      </w:r>
      <w:hyperlink w:anchor="ref-mervisTrumpsScienceAdviser2025">
        <w:r>
          <w:rPr>
            <w:rStyle w:val="Hyperlink"/>
          </w:rPr>
          <w:t xml:space="preserve">59</w:t>
        </w:r>
      </w:hyperlink>
      <w:r>
        <w:t xml:space="preserve">]</w:t>
      </w:r>
      <w:r>
        <w:t xml:space="preserve">. In the face of these challenges, advancing research on public trust in science is perhaps more important than ever.</w:t>
      </w:r>
    </w:p>
    <w:bookmarkEnd w:id="48"/>
    <w:bookmarkStart w:id="170" w:name="references"/>
    <w:p>
      <w:pPr>
        <w:pStyle w:val="Heading1"/>
      </w:pPr>
      <w:r>
        <w:t xml:space="preserve">References</w:t>
      </w:r>
    </w:p>
    <w:p>
      <w:pPr>
        <w:pStyle w:val="FirstParagraph"/>
      </w:pPr>
      <w:r>
        <w:t xml:space="preserve">References of particular interest have been highlighted as:</w:t>
      </w:r>
      <w:r>
        <w:t xml:space="preserve"> </w:t>
      </w:r>
      <w:r>
        <w:t xml:space="preserve">* of special interest</w:t>
      </w:r>
      <w:r>
        <w:t xml:space="preserve"> </w:t>
      </w:r>
      <w:r>
        <w:t xml:space="preserve">** of outstanding interest</w:t>
      </w:r>
    </w:p>
    <w:bookmarkStart w:id="167" w:name="refs"/>
    <w:bookmarkStart w:id="50" w:name="ref-bogertEffectTrustScience2024"/>
    <w:p>
      <w:pPr>
        <w:pStyle w:val="Bibliography"/>
      </w:pPr>
      <w:r>
        <w:t xml:space="preserve">[1]</w:t>
      </w:r>
      <w:r>
        <w:t xml:space="preserve"> </w:t>
      </w:r>
      <w:r>
        <w:t xml:space="preserve">	</w:t>
      </w:r>
      <w:r>
        <w:t xml:space="preserve">Bogert JM, Buczny, Harvey, Ellers J and. The effect of trust in science and media use on public belief in anthropogenic climate change: A meta-analysis. Environmental Communication 2024;18:484–509.</w:t>
      </w:r>
      <w:r>
        <w:t xml:space="preserve"> </w:t>
      </w:r>
      <w:hyperlink r:id="rId49">
        <w:r>
          <w:rPr>
            <w:rStyle w:val="Hyperlink"/>
          </w:rPr>
          <w:t xml:space="preserve">https://doi.org/10.1080/17524032.2023.2280749</w:t>
        </w:r>
      </w:hyperlink>
      <w:r>
        <w:t xml:space="preserve">.</w:t>
      </w:r>
    </w:p>
    <w:bookmarkEnd w:id="50"/>
    <w:bookmarkStart w:id="52" w:name="ref-colognaRoleTrustClimate2020"/>
    <w:p>
      <w:pPr>
        <w:pStyle w:val="Bibliography"/>
      </w:pPr>
      <w:r>
        <w:t xml:space="preserve">[2]</w:t>
      </w:r>
      <w:r>
        <w:t xml:space="preserve"> </w:t>
      </w:r>
      <w:r>
        <w:t xml:space="preserve">	</w:t>
      </w:r>
      <w:r>
        <w:t xml:space="preserve">Cologna V, Siegrist M. The role of trust for climate change mitigation and adaptation behaviour: A meta-analysis. Journal of Environmental Psychology 2020;69:101428.</w:t>
      </w:r>
      <w:r>
        <w:t xml:space="preserve"> </w:t>
      </w:r>
      <w:hyperlink r:id="rId51">
        <w:r>
          <w:rPr>
            <w:rStyle w:val="Hyperlink"/>
          </w:rPr>
          <w:t xml:space="preserve">https://doi.org/10.1016/j.jenvp.2020.101428</w:t>
        </w:r>
      </w:hyperlink>
      <w:r>
        <w:t xml:space="preserve">.</w:t>
      </w:r>
    </w:p>
    <w:bookmarkEnd w:id="52"/>
    <w:bookmarkStart w:id="54" w:name="X9e57b75284c1d1f383f27761307e2ae9c251b25"/>
    <w:p>
      <w:pPr>
        <w:pStyle w:val="Bibliography"/>
      </w:pPr>
      <w:r>
        <w:t xml:space="preserve">[3]</w:t>
      </w:r>
      <w:r>
        <w:t xml:space="preserve"> </w:t>
      </w:r>
      <w:r>
        <w:t xml:space="preserve">	</w:t>
      </w:r>
      <w:r>
        <w:t xml:space="preserve">Hornsey MJ, Harris EA, Bain PG, Fielding KS. Meta-analyses of the determinants and outcomes of belief in climate change. Nature Climate Change 2016;6:622–6.</w:t>
      </w:r>
      <w:r>
        <w:t xml:space="preserve"> </w:t>
      </w:r>
      <w:hyperlink r:id="rId53">
        <w:r>
          <w:rPr>
            <w:rStyle w:val="Hyperlink"/>
          </w:rPr>
          <w:t xml:space="preserve">https://doi.org/10.1038/nclimate2943</w:t>
        </w:r>
      </w:hyperlink>
      <w:r>
        <w:t xml:space="preserve">.</w:t>
      </w:r>
    </w:p>
    <w:bookmarkEnd w:id="54"/>
    <w:bookmarkStart w:id="56" w:name="X8c3d24b34f7cbf20a55d262f9fc69ae53184a08"/>
    <w:p>
      <w:pPr>
        <w:pStyle w:val="Bibliography"/>
      </w:pPr>
      <w:r>
        <w:t xml:space="preserve">[4]</w:t>
      </w:r>
      <w:r>
        <w:t xml:space="preserve"> </w:t>
      </w:r>
      <w:r>
        <w:t xml:space="preserve">	</w:t>
      </w:r>
      <w:r>
        <w:t xml:space="preserve">Todorova B, Steyrl D, Hornsey MJ, Pearson S, Brick C, Lange F, et al. Machine learning identifies key individual and nation-level factors predicting climate-relevant beliefs and behaviors. Npj Climate Action 2025;4:46.</w:t>
      </w:r>
      <w:r>
        <w:t xml:space="preserve"> </w:t>
      </w:r>
      <w:hyperlink r:id="rId55">
        <w:r>
          <w:rPr>
            <w:rStyle w:val="Hyperlink"/>
          </w:rPr>
          <w:t xml:space="preserve">https://doi.org/10.1038/s44168-025-00251-4</w:t>
        </w:r>
      </w:hyperlink>
      <w:r>
        <w:t xml:space="preserve">.</w:t>
      </w:r>
    </w:p>
    <w:bookmarkEnd w:id="56"/>
    <w:bookmarkStart w:id="58" w:name="ref-sturgisTrustScienceSocial2021"/>
    <w:p>
      <w:pPr>
        <w:pStyle w:val="Bibliography"/>
      </w:pPr>
      <w:r>
        <w:t xml:space="preserve">[5]</w:t>
      </w:r>
      <w:r>
        <w:t xml:space="preserve"> </w:t>
      </w:r>
      <w:r>
        <w:t xml:space="preserve">	</w:t>
      </w:r>
      <w:r>
        <w:t xml:space="preserve">Sturgis P, Brunton-Smith I, Jackson J. Trust in science, social consensus and vaccine confidence. Nature Human Behaviour 2021;5:1528–34.</w:t>
      </w:r>
      <w:r>
        <w:t xml:space="preserve"> </w:t>
      </w:r>
      <w:hyperlink r:id="rId57">
        <w:r>
          <w:rPr>
            <w:rStyle w:val="Hyperlink"/>
          </w:rPr>
          <w:t xml:space="preserve">https://doi.org/10.1038/s41562-021-01115-7</w:t>
        </w:r>
      </w:hyperlink>
      <w:r>
        <w:t xml:space="preserve">.</w:t>
      </w:r>
    </w:p>
    <w:bookmarkEnd w:id="58"/>
    <w:bookmarkStart w:id="60" w:name="ref-alganTrustScientistsTimes2021"/>
    <w:p>
      <w:pPr>
        <w:pStyle w:val="Bibliography"/>
      </w:pPr>
      <w:r>
        <w:t xml:space="preserve">[6]</w:t>
      </w:r>
      <w:r>
        <w:t xml:space="preserve"> </w:t>
      </w:r>
      <w:r>
        <w:t xml:space="preserve">	</w:t>
      </w:r>
      <w:r>
        <w:t xml:space="preserve">Algan Y, Cohen D, Davoine E, Foucault M, Stantcheva S. Trust in scientists in times of pandemic: Panel evidence from 12 countries. Proceedings of the National Academy of Sciences 2021;118:e2108576118.</w:t>
      </w:r>
      <w:r>
        <w:t xml:space="preserve"> </w:t>
      </w:r>
      <w:hyperlink r:id="rId59">
        <w:r>
          <w:rPr>
            <w:rStyle w:val="Hyperlink"/>
          </w:rPr>
          <w:t xml:space="preserve">https://doi.org/10.1073/pnas.2108576118</w:t>
        </w:r>
      </w:hyperlink>
      <w:r>
        <w:t xml:space="preserve">.</w:t>
      </w:r>
    </w:p>
    <w:bookmarkEnd w:id="60"/>
    <w:bookmarkStart w:id="62" w:name="ref-lindholtPublicAcceptanceCOVID192021"/>
    <w:p>
      <w:pPr>
        <w:pStyle w:val="Bibliography"/>
      </w:pPr>
      <w:r>
        <w:t xml:space="preserve">[7]</w:t>
      </w:r>
      <w:r>
        <w:t xml:space="preserve"> </w:t>
      </w:r>
      <w:r>
        <w:t xml:space="preserve">	</w:t>
      </w:r>
      <w:r>
        <w:t xml:space="preserve">Lindholt MF, Jørgensen F, Bor A, Petersen MB. Public acceptance of COVID-19 vaccines: cross-national evidence on levels and individual-level predictors using observational data. BMJ Open 2021;11:e048172.</w:t>
      </w:r>
      <w:r>
        <w:t xml:space="preserve"> </w:t>
      </w:r>
      <w:hyperlink r:id="rId61">
        <w:r>
          <w:rPr>
            <w:rStyle w:val="Hyperlink"/>
          </w:rPr>
          <w:t xml:space="preserve">https://doi.org/10.1136/bmjopen-2020-048172</w:t>
        </w:r>
      </w:hyperlink>
      <w:r>
        <w:t xml:space="preserve">.</w:t>
      </w:r>
    </w:p>
    <w:bookmarkEnd w:id="62"/>
    <w:bookmarkStart w:id="64" w:name="ref-colognaTrustScientistsTheir2025"/>
    <w:p>
      <w:pPr>
        <w:pStyle w:val="Bibliography"/>
      </w:pPr>
      <w:r>
        <w:t xml:space="preserve">[8]</w:t>
      </w:r>
      <w:r>
        <w:t xml:space="preserve"> </w:t>
      </w:r>
      <w:r>
        <w:t xml:space="preserve">	</w:t>
      </w:r>
      <w:r>
        <w:t xml:space="preserve">Cologna V, Mede NG, Berger S, Besley J, Brick C, Joubert M, et al. Trust in scientists and their role in society across 68 countries. Nature Human Behaviour 2025:1–18.</w:t>
      </w:r>
      <w:r>
        <w:t xml:space="preserve"> </w:t>
      </w:r>
      <w:hyperlink r:id="rId63">
        <w:r>
          <w:rPr>
            <w:rStyle w:val="Hyperlink"/>
          </w:rPr>
          <w:t xml:space="preserve">https://doi.org/10.1038/s41562-024-02090-5</w:t>
        </w:r>
      </w:hyperlink>
      <w:r>
        <w:t xml:space="preserve">.</w:t>
      </w:r>
    </w:p>
    <w:bookmarkEnd w:id="64"/>
    <w:bookmarkStart w:id="66" w:name="X02cb954775672ff7129fb691e9fce8f78cf2ad5"/>
    <w:p>
      <w:pPr>
        <w:pStyle w:val="Bibliography"/>
      </w:pPr>
      <w:r>
        <w:t xml:space="preserve">[9]</w:t>
      </w:r>
      <w:r>
        <w:t xml:space="preserve"> </w:t>
      </w:r>
      <w:r>
        <w:t xml:space="preserve">	</w:t>
      </w:r>
      <w:r>
        <w:t xml:space="preserve">Wellcome Global Monitor.</w:t>
      </w:r>
      <w:r>
        <w:t xml:space="preserve"> </w:t>
      </w:r>
      <w:hyperlink r:id="rId65">
        <w:r>
          <w:rPr>
            <w:rStyle w:val="Hyperlink"/>
          </w:rPr>
          <w:t xml:space="preserve">Wellcome Global Monitor 2018</w:t>
        </w:r>
      </w:hyperlink>
      <w:r>
        <w:t xml:space="preserve">. 2018.</w:t>
      </w:r>
    </w:p>
    <w:bookmarkEnd w:id="66"/>
    <w:bookmarkStart w:id="68" w:name="X1228c58a1af7bd8622fc2077f37041e3a35d250"/>
    <w:p>
      <w:pPr>
        <w:pStyle w:val="Bibliography"/>
      </w:pPr>
      <w:r>
        <w:t xml:space="preserve">[10]</w:t>
      </w:r>
      <w:r>
        <w:t xml:space="preserve"> </w:t>
      </w:r>
      <w:r>
        <w:t xml:space="preserve">	</w:t>
      </w:r>
      <w:r>
        <w:t xml:space="preserve">Wellcome Global Monitor.</w:t>
      </w:r>
      <w:r>
        <w:t xml:space="preserve"> </w:t>
      </w:r>
      <w:hyperlink r:id="rId67">
        <w:r>
          <w:rPr>
            <w:rStyle w:val="Hyperlink"/>
          </w:rPr>
          <w:t xml:space="preserve">Wellcome Global Monitor 2020: Covid-19</w:t>
        </w:r>
      </w:hyperlink>
      <w:r>
        <w:t xml:space="preserve">. 2020.</w:t>
      </w:r>
    </w:p>
    <w:bookmarkEnd w:id="68"/>
    <w:bookmarkStart w:id="70" w:name="ref-gauchatCulturalAuthorityScience2011"/>
    <w:p>
      <w:pPr>
        <w:pStyle w:val="Bibliography"/>
      </w:pPr>
      <w:r>
        <w:t xml:space="preserve">[11]</w:t>
      </w:r>
      <w:r>
        <w:t xml:space="preserve"> </w:t>
      </w:r>
      <w:r>
        <w:t xml:space="preserve">	</w:t>
      </w:r>
      <w:r>
        <w:t xml:space="preserve">Gauchat G. The cultural authority of science: Public trust and acceptance of organized science. Public Understanding of Science 2011;20:751–70.</w:t>
      </w:r>
      <w:r>
        <w:t xml:space="preserve"> </w:t>
      </w:r>
      <w:hyperlink r:id="rId69">
        <w:r>
          <w:rPr>
            <w:rStyle w:val="Hyperlink"/>
          </w:rPr>
          <w:t xml:space="preserve">https://doi.org/10.1177/0963662510365246</w:t>
        </w:r>
      </w:hyperlink>
      <w:r>
        <w:t xml:space="preserve">.</w:t>
      </w:r>
    </w:p>
    <w:bookmarkEnd w:id="70"/>
    <w:bookmarkStart w:id="72" w:name="ref-achterbergScienceConfidenceGap2017"/>
    <w:p>
      <w:pPr>
        <w:pStyle w:val="Bibliography"/>
      </w:pPr>
      <w:r>
        <w:t xml:space="preserve">[12]</w:t>
      </w:r>
      <w:r>
        <w:t xml:space="preserve"> </w:t>
      </w:r>
      <w:r>
        <w:t xml:space="preserve">	</w:t>
      </w:r>
      <w:r>
        <w:t xml:space="preserve">Achterberg P, De Koster W, Van Der Waal J. A science confidence gap: Education, trust in scientific methods, and trust in scientific institutions in the United States, 2014. Public Understanding of Science 2017;26:704–20.</w:t>
      </w:r>
      <w:r>
        <w:t xml:space="preserve"> </w:t>
      </w:r>
      <w:hyperlink r:id="rId71">
        <w:r>
          <w:rPr>
            <w:rStyle w:val="Hyperlink"/>
          </w:rPr>
          <w:t xml:space="preserve">https://doi.org/10.1177/0963662515617367</w:t>
        </w:r>
      </w:hyperlink>
      <w:r>
        <w:t xml:space="preserve">.</w:t>
      </w:r>
    </w:p>
    <w:bookmarkEnd w:id="72"/>
    <w:bookmarkStart w:id="74" w:name="ref-ghasemiGapsPublicTrust2025"/>
    <w:p>
      <w:pPr>
        <w:pStyle w:val="Bibliography"/>
      </w:pPr>
      <w:r>
        <w:t xml:space="preserve">[13]</w:t>
      </w:r>
      <w:r>
        <w:t xml:space="preserve"> </w:t>
      </w:r>
      <w:r>
        <w:t xml:space="preserve">	</w:t>
      </w:r>
      <w:r>
        <w:t xml:space="preserve">Ghasemi O, Cologna V, Mede NG, Stanley SK, Strahm N, Ross R, et al. Gaps in public trust between scientists and climate scientists: a 68 country study. Environmental Research Letters 2025;20:061002.</w:t>
      </w:r>
      <w:r>
        <w:t xml:space="preserve"> </w:t>
      </w:r>
      <w:hyperlink r:id="rId73">
        <w:r>
          <w:rPr>
            <w:rStyle w:val="Hyperlink"/>
          </w:rPr>
          <w:t xml:space="preserve">https://doi.org/10.1088/1748-9326/add1f9</w:t>
        </w:r>
      </w:hyperlink>
      <w:r>
        <w:t xml:space="preserve">.</w:t>
      </w:r>
    </w:p>
    <w:bookmarkEnd w:id="74"/>
    <w:bookmarkStart w:id="76" w:name="X00d97608ee621e43f57f3fe58fbc95f88c48acb"/>
    <w:p>
      <w:pPr>
        <w:pStyle w:val="Bibliography"/>
      </w:pPr>
      <w:r>
        <w:t xml:space="preserve">[14]</w:t>
      </w:r>
      <w:r>
        <w:t xml:space="preserve"> </w:t>
      </w:r>
      <w:r>
        <w:t xml:space="preserve">	</w:t>
      </w:r>
      <w:r>
        <w:t xml:space="preserve">Altenmüller MS, Wingen T, Schulte A. Explaining Polarized Trust in Scientists: A Political Stereotype-Approach. Science Communication 2024;46:92–115.</w:t>
      </w:r>
      <w:r>
        <w:t xml:space="preserve"> </w:t>
      </w:r>
      <w:hyperlink r:id="rId75">
        <w:r>
          <w:rPr>
            <w:rStyle w:val="Hyperlink"/>
          </w:rPr>
          <w:t xml:space="preserve">https://doi.org/10.1177/10755470231221770</w:t>
        </w:r>
      </w:hyperlink>
      <w:r>
        <w:t xml:space="preserve">.</w:t>
      </w:r>
    </w:p>
    <w:bookmarkEnd w:id="76"/>
    <w:bookmarkStart w:id="78" w:name="ref-gligoricHowSocialEvaluations2024"/>
    <w:p>
      <w:pPr>
        <w:pStyle w:val="Bibliography"/>
      </w:pPr>
      <w:r>
        <w:t xml:space="preserve">[15]</w:t>
      </w:r>
      <w:r>
        <w:t xml:space="preserve"> </w:t>
      </w:r>
      <w:r>
        <w:t xml:space="preserve">	</w:t>
      </w:r>
      <w:r>
        <w:t xml:space="preserve">Gligorić V, Kleef GA van, Rutjens BT. How social evaluations shape trust in 45 types of scientists. PLOS ONE 2024;19:e0299621.</w:t>
      </w:r>
      <w:r>
        <w:t xml:space="preserve"> </w:t>
      </w:r>
      <w:hyperlink r:id="rId77">
        <w:r>
          <w:rPr>
            <w:rStyle w:val="Hyperlink"/>
          </w:rPr>
          <w:t xml:space="preserve">https://doi.org/10.1371/journal.pone.0299621</w:t>
        </w:r>
      </w:hyperlink>
      <w:r>
        <w:t xml:space="preserve">.</w:t>
      </w:r>
    </w:p>
    <w:bookmarkEnd w:id="78"/>
    <w:bookmarkStart w:id="80" w:name="X0e47c0694117ec59a2fbb3044ab48a824fedc7d"/>
    <w:p>
      <w:pPr>
        <w:pStyle w:val="Bibliography"/>
      </w:pPr>
      <w:r>
        <w:t xml:space="preserve">[16]</w:t>
      </w:r>
      <w:r>
        <w:t xml:space="preserve"> </w:t>
      </w:r>
      <w:r>
        <w:t xml:space="preserve">	</w:t>
      </w:r>
      <w:r>
        <w:t xml:space="preserve">Gauchat G, Andrews KT. The Cultural-Cognitive Mapping of Scientific Professions. American Sociological Review 2018;83:567–95.</w:t>
      </w:r>
      <w:r>
        <w:t xml:space="preserve"> </w:t>
      </w:r>
      <w:hyperlink r:id="rId79">
        <w:r>
          <w:rPr>
            <w:rStyle w:val="Hyperlink"/>
          </w:rPr>
          <w:t xml:space="preserve">https://doi.org/10.1177/0003122418773353</w:t>
        </w:r>
      </w:hyperlink>
      <w:r>
        <w:t xml:space="preserve">.</w:t>
      </w:r>
    </w:p>
    <w:bookmarkEnd w:id="80"/>
    <w:bookmarkStart w:id="82" w:name="ref-gligoricPoliticalIdeologyTrust2025"/>
    <w:p>
      <w:pPr>
        <w:pStyle w:val="Bibliography"/>
      </w:pPr>
      <w:r>
        <w:t xml:space="preserve">[17]</w:t>
      </w:r>
      <w:r>
        <w:t xml:space="preserve"> </w:t>
      </w:r>
      <w:r>
        <w:t xml:space="preserve">	</w:t>
      </w:r>
      <w:r>
        <w:t xml:space="preserve">Gligorić V, Van Kleef GA, Rutjens BT. Political ideology and trust in scientists in the USA. Nature Human Behaviour 2025.</w:t>
      </w:r>
      <w:r>
        <w:t xml:space="preserve"> </w:t>
      </w:r>
      <w:hyperlink r:id="rId81">
        <w:r>
          <w:rPr>
            <w:rStyle w:val="Hyperlink"/>
          </w:rPr>
          <w:t xml:space="preserve">https://doi.org/10.1038/s41562-025-02147-z</w:t>
        </w:r>
      </w:hyperlink>
      <w:r>
        <w:t xml:space="preserve">.</w:t>
      </w:r>
    </w:p>
    <w:bookmarkEnd w:id="82"/>
    <w:bookmarkStart w:id="84" w:name="ref-pfanderFrenchTrustMore2025"/>
    <w:p>
      <w:pPr>
        <w:pStyle w:val="Bibliography"/>
      </w:pPr>
      <w:r>
        <w:t xml:space="preserve">[18]</w:t>
      </w:r>
      <w:r>
        <w:t xml:space="preserve"> </w:t>
      </w:r>
      <w:r>
        <w:t xml:space="preserve">	</w:t>
      </w:r>
      <w:r>
        <w:t xml:space="preserve">Pfänder J, Mercier H. The french trust more the sciences they perceive as precise and consensual 2025.</w:t>
      </w:r>
      <w:r>
        <w:t xml:space="preserve"> </w:t>
      </w:r>
      <w:hyperlink r:id="rId83">
        <w:r>
          <w:rPr>
            <w:rStyle w:val="Hyperlink"/>
          </w:rPr>
          <w:t xml:space="preserve">https://doi.org/10.31219/osf.io/k9m6e_v1</w:t>
        </w:r>
      </w:hyperlink>
      <w:r>
        <w:t xml:space="preserve">.</w:t>
      </w:r>
    </w:p>
    <w:bookmarkEnd w:id="84"/>
    <w:bookmarkStart w:id="86" w:name="X36aee1055ec93821201faa8eee83e1bb9451ae3"/>
    <w:p>
      <w:pPr>
        <w:pStyle w:val="Bibliography"/>
      </w:pPr>
      <w:r>
        <w:t xml:space="preserve">[19]</w:t>
      </w:r>
      <w:r>
        <w:t xml:space="preserve"> </w:t>
      </w:r>
      <w:r>
        <w:t xml:space="preserve">	</w:t>
      </w:r>
      <w:r>
        <w:t xml:space="preserve">Pfänder J, Kerzreho L, Mercier H. Quasi-universal acceptance of basic science in the United States. Public Understanding of Science 2025:09636625251364407.</w:t>
      </w:r>
      <w:r>
        <w:t xml:space="preserve"> </w:t>
      </w:r>
      <w:hyperlink r:id="rId85">
        <w:r>
          <w:rPr>
            <w:rStyle w:val="Hyperlink"/>
          </w:rPr>
          <w:t xml:space="preserve">https://doi.org/10.1177/09636625251364407</w:t>
        </w:r>
      </w:hyperlink>
      <w:r>
        <w:t xml:space="preserve">.</w:t>
      </w:r>
    </w:p>
    <w:bookmarkEnd w:id="86"/>
    <w:bookmarkStart w:id="88" w:name="ref-pewresearchcenterMajorGapsPublic2015"/>
    <w:p>
      <w:pPr>
        <w:pStyle w:val="Bibliography"/>
      </w:pPr>
      <w:r>
        <w:t xml:space="preserve">[20]</w:t>
      </w:r>
      <w:r>
        <w:t xml:space="preserve"> </w:t>
      </w:r>
      <w:r>
        <w:t xml:space="preserve">	</w:t>
      </w:r>
      <w:r>
        <w:t xml:space="preserve">Pew Research Center.</w:t>
      </w:r>
      <w:r>
        <w:t xml:space="preserve"> </w:t>
      </w:r>
      <w:hyperlink r:id="rId87">
        <w:r>
          <w:rPr>
            <w:rStyle w:val="Hyperlink"/>
          </w:rPr>
          <w:t xml:space="preserve">Major gaps between the public, scientists on key issues</w:t>
        </w:r>
      </w:hyperlink>
      <w:r>
        <w:t xml:space="preserve">. 2015.</w:t>
      </w:r>
    </w:p>
    <w:bookmarkEnd w:id="88"/>
    <w:bookmarkStart w:id="90" w:name="Xb1d606bed75b3d69801c077284bce341894de14"/>
    <w:p>
      <w:pPr>
        <w:pStyle w:val="Bibliography"/>
      </w:pPr>
      <w:r>
        <w:t xml:space="preserve">[21]</w:t>
      </w:r>
      <w:r>
        <w:t xml:space="preserve"> </w:t>
      </w:r>
      <w:r>
        <w:t xml:space="preserve">	</w:t>
      </w:r>
      <w:r>
        <w:t xml:space="preserve">Stockemer D, Bordeleau J-N. Understanding climate change conspiracy beliefs: A comparative outlook. Harvard Kennedy School Misinformation Review 2024;5.</w:t>
      </w:r>
      <w:r>
        <w:t xml:space="preserve"> </w:t>
      </w:r>
      <w:hyperlink r:id="rId89">
        <w:r>
          <w:rPr>
            <w:rStyle w:val="Hyperlink"/>
          </w:rPr>
          <w:t xml:space="preserve">https://doi.org/10.37016/mr-2020-162</w:t>
        </w:r>
      </w:hyperlink>
      <w:r>
        <w:t xml:space="preserve">.</w:t>
      </w:r>
    </w:p>
    <w:bookmarkEnd w:id="90"/>
    <w:bookmarkStart w:id="92" w:name="ref-uscinskiHaveBeliefsConspiracy2022"/>
    <w:p>
      <w:pPr>
        <w:pStyle w:val="Bibliography"/>
      </w:pPr>
      <w:r>
        <w:t xml:space="preserve">[22]</w:t>
      </w:r>
      <w:r>
        <w:t xml:space="preserve"> </w:t>
      </w:r>
      <w:r>
        <w:t xml:space="preserve">	</w:t>
      </w:r>
      <w:r>
        <w:t xml:space="preserve">Uscinski J, Enders A, Klofstad C, Seelig M, Drochon H, Premaratne K, et al. Have beliefs in conspiracy theories increased over time? PLoS ONE 2022;17:e0270429.</w:t>
      </w:r>
      <w:r>
        <w:t xml:space="preserve"> </w:t>
      </w:r>
      <w:hyperlink r:id="rId91">
        <w:r>
          <w:rPr>
            <w:rStyle w:val="Hyperlink"/>
          </w:rPr>
          <w:t xml:space="preserve">https://doi.org/10.1371/journal.pone.0270429</w:t>
        </w:r>
      </w:hyperlink>
      <w:r>
        <w:t xml:space="preserve">.</w:t>
      </w:r>
    </w:p>
    <w:bookmarkEnd w:id="92"/>
    <w:bookmarkStart w:id="94" w:name="ref-schroderDontTellMe2023"/>
    <w:p>
      <w:pPr>
        <w:pStyle w:val="Bibliography"/>
      </w:pPr>
      <w:r>
        <w:t xml:space="preserve">[23]</w:t>
      </w:r>
      <w:r>
        <w:t xml:space="preserve"> </w:t>
      </w:r>
      <w:r>
        <w:t xml:space="preserve">	</w:t>
      </w:r>
      <w:r>
        <w:t xml:space="preserve">Schrøder TB. Don’t Tell Me What I Don’t Want to Hear! Politicization and Ideological Conflict Explain Why Citizens Have Lower Trust in Climate Scientists and Economists Than in Other Natural Scientists. Political Psychology 2023;44:961–81.</w:t>
      </w:r>
      <w:r>
        <w:t xml:space="preserve"> </w:t>
      </w:r>
      <w:hyperlink r:id="rId93">
        <w:r>
          <w:rPr>
            <w:rStyle w:val="Hyperlink"/>
          </w:rPr>
          <w:t xml:space="preserve">https://doi.org/10.1111/pops.12866</w:t>
        </w:r>
      </w:hyperlink>
      <w:r>
        <w:t xml:space="preserve">.</w:t>
      </w:r>
    </w:p>
    <w:bookmarkEnd w:id="94"/>
    <w:bookmarkStart w:id="96" w:name="ref-hendriksMeasuringLaypeoplesTrust2015"/>
    <w:p>
      <w:pPr>
        <w:pStyle w:val="Bibliography"/>
      </w:pPr>
      <w:r>
        <w:t xml:space="preserve">[24]</w:t>
      </w:r>
      <w:r>
        <w:t xml:space="preserve"> </w:t>
      </w:r>
      <w:r>
        <w:t xml:space="preserve">	</w:t>
      </w:r>
      <w:r>
        <w:t xml:space="preserve">Hendriks F, Kienhues D, Bromme R. Measuring Laypeople</w:t>
      </w:r>
      <w:r>
        <w:t xml:space="preserve">’</w:t>
      </w:r>
      <w:r>
        <w:t xml:space="preserve">s Trust in Experts in a Digital Age: The Muenster Epistemic Trustworthiness Inventory (METI). PLOS ONE 2015;10:e0139309.</w:t>
      </w:r>
      <w:r>
        <w:t xml:space="preserve"> </w:t>
      </w:r>
      <w:hyperlink r:id="rId95">
        <w:r>
          <w:rPr>
            <w:rStyle w:val="Hyperlink"/>
          </w:rPr>
          <w:t xml:space="preserve">https://doi.org/10.1371/journal.pone.0139309</w:t>
        </w:r>
      </w:hyperlink>
      <w:r>
        <w:t xml:space="preserve">.</w:t>
      </w:r>
    </w:p>
    <w:bookmarkEnd w:id="96"/>
    <w:bookmarkStart w:id="98" w:name="ref-fiskeGainingTrustWell2014"/>
    <w:p>
      <w:pPr>
        <w:pStyle w:val="Bibliography"/>
      </w:pPr>
      <w:r>
        <w:t xml:space="preserve">[25]</w:t>
      </w:r>
      <w:r>
        <w:t xml:space="preserve"> </w:t>
      </w:r>
      <w:r>
        <w:t xml:space="preserve">	</w:t>
      </w:r>
      <w:r>
        <w:t xml:space="preserve">Fiske ST, Dupree C. Gaining trust as well as respect in communicating to motivated audiences about science topics. Proceedings of the National Academy of Sciences 2014;111:13593–7.</w:t>
      </w:r>
      <w:r>
        <w:t xml:space="preserve"> </w:t>
      </w:r>
      <w:hyperlink r:id="rId97">
        <w:r>
          <w:rPr>
            <w:rStyle w:val="Hyperlink"/>
          </w:rPr>
          <w:t xml:space="preserve">https://doi.org/10.1073/pnas.1317505111</w:t>
        </w:r>
      </w:hyperlink>
      <w:r>
        <w:t xml:space="preserve">.</w:t>
      </w:r>
    </w:p>
    <w:bookmarkEnd w:id="98"/>
    <w:bookmarkStart w:id="100" w:name="ref-besleyReassessingVariablesUsed2021a"/>
    <w:p>
      <w:pPr>
        <w:pStyle w:val="Bibliography"/>
      </w:pPr>
      <w:r>
        <w:t xml:space="preserve">[26]</w:t>
      </w:r>
      <w:r>
        <w:t xml:space="preserve"> </w:t>
      </w:r>
      <w:r>
        <w:t xml:space="preserve">	</w:t>
      </w:r>
      <w:r>
        <w:t xml:space="preserve">Besley JC, Lee NM, Pressgrove G. Reassessing the Variables Used to Measure Public Perceptions of Scientists. Science Communication 2021;43:3–32.</w:t>
      </w:r>
      <w:r>
        <w:t xml:space="preserve"> </w:t>
      </w:r>
      <w:hyperlink r:id="rId99">
        <w:r>
          <w:rPr>
            <w:rStyle w:val="Hyperlink"/>
          </w:rPr>
          <w:t xml:space="preserve">https://doi.org/10.1177/1075547020949547</w:t>
        </w:r>
      </w:hyperlink>
      <w:r>
        <w:t xml:space="preserve">.</w:t>
      </w:r>
    </w:p>
    <w:bookmarkEnd w:id="100"/>
    <w:bookmarkStart w:id="102" w:name="ref-rocheScienceSocietyIreland2025"/>
    <w:p>
      <w:pPr>
        <w:pStyle w:val="Bibliography"/>
      </w:pPr>
      <w:r>
        <w:t xml:space="preserve">[27]</w:t>
      </w:r>
      <w:r>
        <w:t xml:space="preserve"> </w:t>
      </w:r>
      <w:r>
        <w:t xml:space="preserve">	</w:t>
      </w:r>
      <w:r>
        <w:t xml:space="preserve">Roche J, Hurley M, Fowler K, McConville A, Taylor A, Mede NG, et al. Science and society in Ireland: examining public trust in scientists against a global background. Irish Educational Studies 2025:1–22.</w:t>
      </w:r>
      <w:r>
        <w:t xml:space="preserve"> </w:t>
      </w:r>
      <w:hyperlink r:id="rId101">
        <w:r>
          <w:rPr>
            <w:rStyle w:val="Hyperlink"/>
          </w:rPr>
          <w:t xml:space="preserve">https://doi.org/10.1080/03323315.2025.2488804</w:t>
        </w:r>
      </w:hyperlink>
      <w:r>
        <w:t xml:space="preserve">.</w:t>
      </w:r>
    </w:p>
    <w:bookmarkEnd w:id="102"/>
    <w:bookmarkStart w:id="104" w:name="ref-besleyWhatAreYou2023"/>
    <w:p>
      <w:pPr>
        <w:pStyle w:val="Bibliography"/>
      </w:pPr>
      <w:r>
        <w:t xml:space="preserve">[28]</w:t>
      </w:r>
      <w:r>
        <w:t xml:space="preserve"> </w:t>
      </w:r>
      <w:r>
        <w:t xml:space="preserve">	</w:t>
      </w:r>
      <w:r>
        <w:t xml:space="preserve">Besley JC, Tiffany LA. What are you assessing when you measure</w:t>
      </w:r>
      <w:r>
        <w:t xml:space="preserve"> </w:t>
      </w:r>
      <w:r>
        <w:t xml:space="preserve">“</w:t>
      </w:r>
      <w:r>
        <w:t xml:space="preserve">trust</w:t>
      </w:r>
      <w:r>
        <w:t xml:space="preserve">”</w:t>
      </w:r>
      <w:r>
        <w:t xml:space="preserve"> </w:t>
      </w:r>
      <w:r>
        <w:t xml:space="preserve">in scientists with a direct measure? Public Understanding of Science 2023;32:709–26.</w:t>
      </w:r>
      <w:r>
        <w:t xml:space="preserve"> </w:t>
      </w:r>
      <w:hyperlink r:id="rId103">
        <w:r>
          <w:rPr>
            <w:rStyle w:val="Hyperlink"/>
          </w:rPr>
          <w:t xml:space="preserve">https://doi.org/10.1177/09636625231161302</w:t>
        </w:r>
      </w:hyperlink>
      <w:r>
        <w:t xml:space="preserve">.</w:t>
      </w:r>
    </w:p>
    <w:bookmarkEnd w:id="104"/>
    <w:bookmarkStart w:id="106" w:name="X8598fe6c37d0332477d3318d9e409885acab6c3"/>
    <w:p>
      <w:pPr>
        <w:pStyle w:val="Bibliography"/>
      </w:pPr>
      <w:r>
        <w:t xml:space="preserve">[29]</w:t>
      </w:r>
      <w:r>
        <w:t xml:space="preserve"> </w:t>
      </w:r>
      <w:r>
        <w:t xml:space="preserve">	</w:t>
      </w:r>
      <w:r>
        <w:t xml:space="preserve">Ahmed AM, Salas O. The Relationship between Behavioral and Attitudinal Trust: A Cross-cultural Study. Review of Social Economy 2009;67:457–82.</w:t>
      </w:r>
      <w:r>
        <w:t xml:space="preserve"> </w:t>
      </w:r>
      <w:hyperlink r:id="rId105">
        <w:r>
          <w:rPr>
            <w:rStyle w:val="Hyperlink"/>
          </w:rPr>
          <w:t xml:space="preserve">https://doi.org/10.1080/00346760902908625</w:t>
        </w:r>
      </w:hyperlink>
      <w:r>
        <w:t xml:space="preserve">.</w:t>
      </w:r>
    </w:p>
    <w:bookmarkEnd w:id="106"/>
    <w:bookmarkStart w:id="108" w:name="X041951be87ff94c666ee9759e48b051145edaff"/>
    <w:p>
      <w:pPr>
        <w:pStyle w:val="Bibliography"/>
      </w:pPr>
      <w:r>
        <w:t xml:space="preserve">[30]</w:t>
      </w:r>
      <w:r>
        <w:t xml:space="preserve"> </w:t>
      </w:r>
      <w:r>
        <w:t xml:space="preserve">	</w:t>
      </w:r>
      <w:r>
        <w:t xml:space="preserve">Dohle S, Wingen T, Schreiber M. Acceptance and adoption of protective measures during the COVID-19 pandemic: The role of trust in politics and trust in science. Social Psychological Bulletin 2020;15:e4315.</w:t>
      </w:r>
      <w:r>
        <w:t xml:space="preserve"> </w:t>
      </w:r>
      <w:hyperlink r:id="rId107">
        <w:r>
          <w:rPr>
            <w:rStyle w:val="Hyperlink"/>
          </w:rPr>
          <w:t xml:space="preserve">https://doi.org/10.32872/spb.4315</w:t>
        </w:r>
      </w:hyperlink>
      <w:r>
        <w:t xml:space="preserve">.</w:t>
      </w:r>
    </w:p>
    <w:bookmarkEnd w:id="108"/>
    <w:bookmarkStart w:id="110" w:name="ref-pagliaroTrustPredictsCOVID192021"/>
    <w:p>
      <w:pPr>
        <w:pStyle w:val="Bibliography"/>
      </w:pPr>
      <w:r>
        <w:t xml:space="preserve">[31]</w:t>
      </w:r>
      <w:r>
        <w:t xml:space="preserve"> </w:t>
      </w:r>
      <w:r>
        <w:t xml:space="preserve">	</w:t>
      </w:r>
      <w:r>
        <w:t xml:space="preserve">Pagliaro S, Sacchi S, Pacilli MG, Brambilla M, Lionetti F, Bettache K, et al. Trust predicts COVID-19 prescribed and discretionary behavioral intentions in 23 countries. PLOS ONE 2021;16:e0248334.</w:t>
      </w:r>
      <w:r>
        <w:t xml:space="preserve"> </w:t>
      </w:r>
      <w:hyperlink r:id="rId109">
        <w:r>
          <w:rPr>
            <w:rStyle w:val="Hyperlink"/>
          </w:rPr>
          <w:t xml:space="preserve">https://doi.org/10.1371/journal.pone.0248334</w:t>
        </w:r>
      </w:hyperlink>
      <w:r>
        <w:t xml:space="preserve">.</w:t>
      </w:r>
    </w:p>
    <w:bookmarkEnd w:id="110"/>
    <w:bookmarkStart w:id="112" w:name="ref-wingenWhenCorrelationDoes2025"/>
    <w:p>
      <w:pPr>
        <w:pStyle w:val="Bibliography"/>
      </w:pPr>
      <w:r>
        <w:t xml:space="preserve">[32]</w:t>
      </w:r>
      <w:r>
        <w:t xml:space="preserve"> </w:t>
      </w:r>
      <w:r>
        <w:t xml:space="preserve">	</w:t>
      </w:r>
      <w:r>
        <w:t xml:space="preserve">Wingen T, Posten A-C, Dohle S. When Correlation Does Not Imply Causation</w:t>
      </w:r>
      <w:r>
        <w:t xml:space="preserve"> </w:t>
      </w:r>
      <w:r>
        <w:t xml:space="preserve"> </w:t>
      </w:r>
      <w:r>
        <w:t xml:space="preserve">No Evidence for Causal Effects of Trust in Science on Pandemic-Related Protection Intentions 2025.</w:t>
      </w:r>
      <w:r>
        <w:t xml:space="preserve"> </w:t>
      </w:r>
      <w:hyperlink r:id="rId111">
        <w:r>
          <w:rPr>
            <w:rStyle w:val="Hyperlink"/>
          </w:rPr>
          <w:t xml:space="preserve">https://doi.org/10.31219/osf.io/th953_v1</w:t>
        </w:r>
      </w:hyperlink>
      <w:r>
        <w:t xml:space="preserve">.</w:t>
      </w:r>
    </w:p>
    <w:bookmarkEnd w:id="112"/>
    <w:bookmarkStart w:id="114" w:name="ref-smithCriticalReviewUnited2016"/>
    <w:p>
      <w:pPr>
        <w:pStyle w:val="Bibliography"/>
      </w:pPr>
      <w:r>
        <w:t xml:space="preserve">[33]</w:t>
      </w:r>
      <w:r>
        <w:t xml:space="preserve"> </w:t>
      </w:r>
      <w:r>
        <w:t xml:space="preserve">	</w:t>
      </w:r>
      <w:r>
        <w:t xml:space="preserve">Smith BK, Jensen EA. Critical review of the United Kingdom</w:t>
      </w:r>
      <w:r>
        <w:t xml:space="preserve">’</w:t>
      </w:r>
      <w:r>
        <w:t xml:space="preserve">s</w:t>
      </w:r>
      <w:r>
        <w:t xml:space="preserve"> </w:t>
      </w:r>
      <w:r>
        <w:t xml:space="preserve">“</w:t>
      </w:r>
      <w:r>
        <w:t xml:space="preserve">gold standard</w:t>
      </w:r>
      <w:r>
        <w:t xml:space="preserve">”</w:t>
      </w:r>
      <w:r>
        <w:t xml:space="preserve"> </w:t>
      </w:r>
      <w:r>
        <w:t xml:space="preserve">survey of public attitudes to science. Public Understanding of Science 2016;25:154–70.</w:t>
      </w:r>
      <w:r>
        <w:t xml:space="preserve"> </w:t>
      </w:r>
      <w:hyperlink r:id="rId113">
        <w:r>
          <w:rPr>
            <w:rStyle w:val="Hyperlink"/>
          </w:rPr>
          <w:t xml:space="preserve">https://doi.org/10.1177/0963662515623248</w:t>
        </w:r>
      </w:hyperlink>
      <w:r>
        <w:t xml:space="preserve">.</w:t>
      </w:r>
    </w:p>
    <w:bookmarkEnd w:id="114"/>
    <w:bookmarkStart w:id="116" w:name="ref-krauseTrendsAmericansTrust2019a"/>
    <w:p>
      <w:pPr>
        <w:pStyle w:val="Bibliography"/>
      </w:pPr>
      <w:r>
        <w:t xml:space="preserve">[34]</w:t>
      </w:r>
      <w:r>
        <w:t xml:space="preserve"> </w:t>
      </w:r>
      <w:r>
        <w:t xml:space="preserve">	</w:t>
      </w:r>
      <w:r>
        <w:t xml:space="preserve">Krause NM, Brossard D, Scheufele DA, Xenos MA, Franke K. Trends</w:t>
      </w:r>
      <w:r>
        <w:t xml:space="preserve">americans</w:t>
      </w:r>
      <w:r>
        <w:t xml:space="preserve">’</w:t>
      </w:r>
      <w:r>
        <w:t xml:space="preserve"> </w:t>
      </w:r>
      <w:r>
        <w:t xml:space="preserve">trust in science and scientists. Public Opinion Quarterly 2019;83:817–36.</w:t>
      </w:r>
      <w:r>
        <w:t xml:space="preserve"> </w:t>
      </w:r>
      <w:hyperlink r:id="rId115">
        <w:r>
          <w:rPr>
            <w:rStyle w:val="Hyperlink"/>
          </w:rPr>
          <w:t xml:space="preserve">https://doi.org/10.1093/poq/nfz041</w:t>
        </w:r>
      </w:hyperlink>
      <w:r>
        <w:t xml:space="preserve">.</w:t>
      </w:r>
    </w:p>
    <w:bookmarkEnd w:id="116"/>
    <w:bookmarkStart w:id="118" w:name="ref-druckmanContinuityChangeTrust2024"/>
    <w:p>
      <w:pPr>
        <w:pStyle w:val="Bibliography"/>
      </w:pPr>
      <w:r>
        <w:t xml:space="preserve">[35]</w:t>
      </w:r>
      <w:r>
        <w:t xml:space="preserve"> </w:t>
      </w:r>
      <w:r>
        <w:t xml:space="preserve">	</w:t>
      </w:r>
      <w:r>
        <w:t xml:space="preserve">Druckman JN, Schulman J, Safarpour AC, Baum M, Ognyanova K, Kenny M, et al. Continuity and Change in Trust in Scientists in the United States: Demographic Stability and Partisan Polarization 2024.</w:t>
      </w:r>
      <w:r>
        <w:t xml:space="preserve"> </w:t>
      </w:r>
      <w:hyperlink r:id="rId117">
        <w:r>
          <w:rPr>
            <w:rStyle w:val="Hyperlink"/>
          </w:rPr>
          <w:t xml:space="preserve">https://doi.org/10.2139/ssrn.4929030</w:t>
        </w:r>
      </w:hyperlink>
      <w:r>
        <w:t xml:space="preserve">.</w:t>
      </w:r>
    </w:p>
    <w:bookmarkEnd w:id="118"/>
    <w:bookmarkStart w:id="120" w:name="X7d0ca73ddb289ec7febc0c339285bae9bc55471"/>
    <w:p>
      <w:pPr>
        <w:pStyle w:val="Bibliography"/>
      </w:pPr>
      <w:r>
        <w:t xml:space="preserve">[36]</w:t>
      </w:r>
      <w:r>
        <w:t xml:space="preserve"> </w:t>
      </w:r>
      <w:r>
        <w:t xml:space="preserve">	</w:t>
      </w:r>
      <w:r>
        <w:t xml:space="preserve">Azevedo F, Jost JT. The ideological basis of antiscientific attitudes: Effects of authoritarianism, conservatism, religiosity, social dominance, and system justification. Group Processes &amp; Intergroup Relations 2021;24:518–49.</w:t>
      </w:r>
      <w:r>
        <w:t xml:space="preserve"> </w:t>
      </w:r>
      <w:hyperlink r:id="rId119">
        <w:r>
          <w:rPr>
            <w:rStyle w:val="Hyperlink"/>
          </w:rPr>
          <w:t xml:space="preserve">https://doi.org/10.1177/1368430221990104</w:t>
        </w:r>
      </w:hyperlink>
      <w:r>
        <w:t xml:space="preserve">.</w:t>
      </w:r>
    </w:p>
    <w:bookmarkEnd w:id="120"/>
    <w:bookmarkStart w:id="122" w:name="ref-rutjensScienceSkepticism242022"/>
    <w:p>
      <w:pPr>
        <w:pStyle w:val="Bibliography"/>
      </w:pPr>
      <w:r>
        <w:t xml:space="preserve">[37]</w:t>
      </w:r>
      <w:r>
        <w:t xml:space="preserve"> </w:t>
      </w:r>
      <w:r>
        <w:t xml:space="preserve">	</w:t>
      </w:r>
      <w:r>
        <w:t xml:space="preserve">Rutjens BT, Sengupta N, Der Lee RV, Van Koningsbruggen GM, Martens JP, Rabelo A, et al. Science Skepticism Across 24 Countries. Social Psychological and Personality Science 2022;13:102–17.</w:t>
      </w:r>
      <w:r>
        <w:t xml:space="preserve"> </w:t>
      </w:r>
      <w:hyperlink r:id="rId121">
        <w:r>
          <w:rPr>
            <w:rStyle w:val="Hyperlink"/>
          </w:rPr>
          <w:t xml:space="preserve">https://doi.org/10.1177/19485506211001329</w:t>
        </w:r>
      </w:hyperlink>
      <w:r>
        <w:t xml:space="preserve">.</w:t>
      </w:r>
    </w:p>
    <w:bookmarkEnd w:id="122"/>
    <w:bookmarkStart w:id="124" w:name="X33f0b4c61142dd8d445e09d67eaab68c3cc8dc8"/>
    <w:p>
      <w:pPr>
        <w:pStyle w:val="Bibliography"/>
      </w:pPr>
      <w:r>
        <w:t xml:space="preserve">[38]</w:t>
      </w:r>
      <w:r>
        <w:t xml:space="preserve"> </w:t>
      </w:r>
      <w:r>
        <w:t xml:space="preserve">	</w:t>
      </w:r>
      <w:r>
        <w:t xml:space="preserve">Hornsey MJ, Harris EA, Fielding KS. Relationships among conspiratorial beliefs, conservatism and climate scepticism across nations. Nature Climate Change 2018;8:614–20.</w:t>
      </w:r>
      <w:r>
        <w:t xml:space="preserve"> </w:t>
      </w:r>
      <w:hyperlink r:id="rId123">
        <w:r>
          <w:rPr>
            <w:rStyle w:val="Hyperlink"/>
          </w:rPr>
          <w:t xml:space="preserve">https://doi.org/10.1038/s41558-018-0157-2</w:t>
        </w:r>
      </w:hyperlink>
      <w:r>
        <w:t xml:space="preserve">.</w:t>
      </w:r>
    </w:p>
    <w:bookmarkEnd w:id="124"/>
    <w:bookmarkStart w:id="126" w:name="X967e9c5307350e1a5d350ed364c0669bd816aee"/>
    <w:p>
      <w:pPr>
        <w:pStyle w:val="Bibliography"/>
      </w:pPr>
      <w:r>
        <w:t xml:space="preserve">[39]</w:t>
      </w:r>
      <w:r>
        <w:t xml:space="preserve"> </w:t>
      </w:r>
      <w:r>
        <w:t xml:space="preserve">	</w:t>
      </w:r>
      <w:r>
        <w:t xml:space="preserve">Rutjens BT, Van Der Lee R. Spiritual skepticism? Heterogeneous science skepticism in the Netherlands. Public Understanding of Science 2020;29:335–52.</w:t>
      </w:r>
      <w:r>
        <w:t xml:space="preserve"> </w:t>
      </w:r>
      <w:hyperlink r:id="rId125">
        <w:r>
          <w:rPr>
            <w:rStyle w:val="Hyperlink"/>
          </w:rPr>
          <w:t xml:space="preserve">https://doi.org/10.1177/0963662520908534</w:t>
        </w:r>
      </w:hyperlink>
      <w:r>
        <w:t xml:space="preserve">.</w:t>
      </w:r>
    </w:p>
    <w:bookmarkEnd w:id="126"/>
    <w:bookmarkStart w:id="128" w:name="ref-mcphetresReligiousAmericansHave2021"/>
    <w:p>
      <w:pPr>
        <w:pStyle w:val="Bibliography"/>
      </w:pPr>
      <w:r>
        <w:t xml:space="preserve">[40]</w:t>
      </w:r>
      <w:r>
        <w:t xml:space="preserve"> </w:t>
      </w:r>
      <w:r>
        <w:t xml:space="preserve">	</w:t>
      </w:r>
      <w:r>
        <w:t xml:space="preserve">McPhetres J, Jong J, Zuckerman M. Religious Americans Have Less Positive Attitudes Toward Science, but This Does Not Extend to Other Cultures. Social Psychological and Personality Science 2021;12:528–36.</w:t>
      </w:r>
      <w:r>
        <w:t xml:space="preserve"> </w:t>
      </w:r>
      <w:hyperlink r:id="rId127">
        <w:r>
          <w:rPr>
            <w:rStyle w:val="Hyperlink"/>
          </w:rPr>
          <w:t xml:space="preserve">https://doi.org/10.1177/1948550620923239</w:t>
        </w:r>
      </w:hyperlink>
      <w:r>
        <w:t xml:space="preserve">.</w:t>
      </w:r>
    </w:p>
    <w:bookmarkEnd w:id="128"/>
    <w:bookmarkStart w:id="130" w:name="Xd0b9456a428656ce179bc8876e4f26bc809e9f5"/>
    <w:p>
      <w:pPr>
        <w:pStyle w:val="Bibliography"/>
      </w:pPr>
      <w:r>
        <w:t xml:space="preserve">[41]</w:t>
      </w:r>
      <w:r>
        <w:t xml:space="preserve"> </w:t>
      </w:r>
      <w:r>
        <w:t xml:space="preserve">	</w:t>
      </w:r>
      <w:r>
        <w:t xml:space="preserve">Thigpen CL, Johnson C, Funk C.</w:t>
      </w:r>
      <w:r>
        <w:t xml:space="preserve"> </w:t>
      </w:r>
      <w:hyperlink r:id="rId129">
        <w:r>
          <w:rPr>
            <w:rStyle w:val="Hyperlink"/>
          </w:rPr>
          <w:t xml:space="preserve">On the intersection of science and religion</w:t>
        </w:r>
      </w:hyperlink>
      <w:r>
        <w:t xml:space="preserve"> </w:t>
      </w:r>
      <w:r>
        <w:t xml:space="preserve">2020.</w:t>
      </w:r>
    </w:p>
    <w:bookmarkEnd w:id="130"/>
    <w:bookmarkStart w:id="132" w:name="ref-kennedyPublicTrustScientists2024"/>
    <w:p>
      <w:pPr>
        <w:pStyle w:val="Bibliography"/>
      </w:pPr>
      <w:r>
        <w:t xml:space="preserve">[42]</w:t>
      </w:r>
      <w:r>
        <w:t xml:space="preserve"> </w:t>
      </w:r>
      <w:r>
        <w:t xml:space="preserve">	</w:t>
      </w:r>
      <w:r>
        <w:t xml:space="preserve">Kennedy AT, Brian.</w:t>
      </w:r>
      <w:r>
        <w:t xml:space="preserve"> </w:t>
      </w:r>
      <w:hyperlink r:id="rId131">
        <w:r>
          <w:rPr>
            <w:rStyle w:val="Hyperlink"/>
          </w:rPr>
          <w:t xml:space="preserve">Public trust in scientists and views on their role in policymaking</w:t>
        </w:r>
      </w:hyperlink>
      <w:r>
        <w:t xml:space="preserve">. 2024.</w:t>
      </w:r>
    </w:p>
    <w:bookmarkEnd w:id="132"/>
    <w:bookmarkStart w:id="134" w:name="ref-medePublicCommunicationScience2024"/>
    <w:p>
      <w:pPr>
        <w:pStyle w:val="Bibliography"/>
      </w:pPr>
      <w:r>
        <w:t xml:space="preserve">[43]</w:t>
      </w:r>
      <w:r>
        <w:t xml:space="preserve"> </w:t>
      </w:r>
      <w:r>
        <w:t xml:space="preserve">	</w:t>
      </w:r>
      <w:r>
        <w:t xml:space="preserve">Mede NG, Cologna V, Berger S, Besley JC, Brick C, Joubert M, et al. Public communication about science across 68 countries: Global evidence on how people get information and communicate about science-related matters n.d.</w:t>
      </w:r>
      <w:r>
        <w:t xml:space="preserve"> </w:t>
      </w:r>
      <w:hyperlink r:id="rId133">
        <w:r>
          <w:rPr>
            <w:rStyle w:val="Hyperlink"/>
          </w:rPr>
          <w:t xml:space="preserve">https://doi.org/10.31219/osf.io/xb3ha</w:t>
        </w:r>
      </w:hyperlink>
      <w:r>
        <w:t xml:space="preserve">.</w:t>
      </w:r>
    </w:p>
    <w:bookmarkEnd w:id="134"/>
    <w:bookmarkStart w:id="136" w:name="ref-allumScienceKnowledgeAttitudes2008"/>
    <w:p>
      <w:pPr>
        <w:pStyle w:val="Bibliography"/>
      </w:pPr>
      <w:r>
        <w:t xml:space="preserve">[44]</w:t>
      </w:r>
      <w:r>
        <w:t xml:space="preserve"> </w:t>
      </w:r>
      <w:r>
        <w:t xml:space="preserve">	</w:t>
      </w:r>
      <w:r>
        <w:t xml:space="preserve">Allum N, Sturgis P, Tabourazi D, Brunton-Smith I. Science knowledge and attitudes across cultures: a meta-analysis. Public Understanding of Science 2008;17:35–54.</w:t>
      </w:r>
      <w:r>
        <w:t xml:space="preserve"> </w:t>
      </w:r>
      <w:hyperlink r:id="rId135">
        <w:r>
          <w:rPr>
            <w:rStyle w:val="Hyperlink"/>
          </w:rPr>
          <w:t xml:space="preserve">https://doi.org/10.1177/0963662506070159</w:t>
        </w:r>
      </w:hyperlink>
      <w:r>
        <w:t xml:space="preserve">.</w:t>
      </w:r>
    </w:p>
    <w:bookmarkEnd w:id="136"/>
    <w:bookmarkStart w:id="138" w:name="ref-noyScienceGoodEffects2019"/>
    <w:p>
      <w:pPr>
        <w:pStyle w:val="Bibliography"/>
      </w:pPr>
      <w:r>
        <w:t xml:space="preserve">[45]</w:t>
      </w:r>
      <w:r>
        <w:t xml:space="preserve"> </w:t>
      </w:r>
      <w:r>
        <w:t xml:space="preserve">	</w:t>
      </w:r>
      <w:r>
        <w:t xml:space="preserve">Noy S, O’Brien TL. Science for good? The effects of education and national context on perceptions of science. Public Understanding of Science 2019;28:897–916.</w:t>
      </w:r>
      <w:r>
        <w:t xml:space="preserve"> </w:t>
      </w:r>
      <w:hyperlink r:id="rId137">
        <w:r>
          <w:rPr>
            <w:rStyle w:val="Hyperlink"/>
          </w:rPr>
          <w:t xml:space="preserve">https://doi.org/10.1177/0963662519863575</w:t>
        </w:r>
      </w:hyperlink>
      <w:r>
        <w:t xml:space="preserve">.</w:t>
      </w:r>
    </w:p>
    <w:bookmarkEnd w:id="138"/>
    <w:bookmarkStart w:id="140" w:name="ref-bauerWhatCanWe2007"/>
    <w:p>
      <w:pPr>
        <w:pStyle w:val="Bibliography"/>
      </w:pPr>
      <w:r>
        <w:t xml:space="preserve">[46]</w:t>
      </w:r>
      <w:r>
        <w:t xml:space="preserve"> </w:t>
      </w:r>
      <w:r>
        <w:t xml:space="preserve">	</w:t>
      </w:r>
      <w:r>
        <w:t xml:space="preserve">Bauer MW, Allum N, Miller S. What can we learn from 25 years of PUS survey research? Liberating and expanding the agenda. Public Understanding of Science 2007;16:79–95.</w:t>
      </w:r>
      <w:r>
        <w:t xml:space="preserve"> </w:t>
      </w:r>
      <w:hyperlink r:id="rId139">
        <w:r>
          <w:rPr>
            <w:rStyle w:val="Hyperlink"/>
          </w:rPr>
          <w:t xml:space="preserve">https://doi.org/10.1177/0963662506071287</w:t>
        </w:r>
      </w:hyperlink>
      <w:r>
        <w:t xml:space="preserve">.</w:t>
      </w:r>
    </w:p>
    <w:bookmarkEnd w:id="140"/>
    <w:bookmarkStart w:id="142" w:name="ref-scheufeleThirtyYearsScience2022"/>
    <w:p>
      <w:pPr>
        <w:pStyle w:val="Bibliography"/>
      </w:pPr>
      <w:r>
        <w:t xml:space="preserve">[47]</w:t>
      </w:r>
      <w:r>
        <w:t xml:space="preserve"> </w:t>
      </w:r>
      <w:r>
        <w:t xml:space="preserve">	</w:t>
      </w:r>
      <w:r>
        <w:t xml:space="preserve">Scheufele DA. Thirty years of science</w:t>
      </w:r>
      <w:r>
        <w:t xml:space="preserve">society interfaces: What</w:t>
      </w:r>
      <w:r>
        <w:t xml:space="preserve">’</w:t>
      </w:r>
      <w:r>
        <w:t xml:space="preserve">s next? Public Understanding of Science 2022;31:297–304.</w:t>
      </w:r>
      <w:r>
        <w:t xml:space="preserve"> </w:t>
      </w:r>
      <w:hyperlink r:id="rId141">
        <w:r>
          <w:rPr>
            <w:rStyle w:val="Hyperlink"/>
          </w:rPr>
          <w:t xml:space="preserve">https://doi.org/10.1177/09636625221075947</w:t>
        </w:r>
      </w:hyperlink>
      <w:r>
        <w:t xml:space="preserve">.</w:t>
      </w:r>
    </w:p>
    <w:bookmarkEnd w:id="142"/>
    <w:bookmarkStart w:id="144" w:name="ref-hornseyAttitudeRootsJiu2017a"/>
    <w:p>
      <w:pPr>
        <w:pStyle w:val="Bibliography"/>
      </w:pPr>
      <w:r>
        <w:t xml:space="preserve">[48]</w:t>
      </w:r>
      <w:r>
        <w:t xml:space="preserve"> </w:t>
      </w:r>
      <w:r>
        <w:t xml:space="preserve">	</w:t>
      </w:r>
      <w:r>
        <w:t xml:space="preserve">Hornsey MJ, Fielding KS. Attitude roots and Jiu Jitsu persuasion: Understanding and overcoming the motivated rejection of science. American Psychologist 2017;72:459–73.</w:t>
      </w:r>
      <w:r>
        <w:t xml:space="preserve"> </w:t>
      </w:r>
      <w:hyperlink r:id="rId143">
        <w:r>
          <w:rPr>
            <w:rStyle w:val="Hyperlink"/>
          </w:rPr>
          <w:t xml:space="preserve">https://doi.org/10.1037/a0040437</w:t>
        </w:r>
      </w:hyperlink>
      <w:r>
        <w:t xml:space="preserve">.</w:t>
      </w:r>
    </w:p>
    <w:bookmarkEnd w:id="144"/>
    <w:bookmarkStart w:id="146" w:name="ref-rutjensConspiracyBeliefsScience2022"/>
    <w:p>
      <w:pPr>
        <w:pStyle w:val="Bibliography"/>
      </w:pPr>
      <w:r>
        <w:t xml:space="preserve">[49]</w:t>
      </w:r>
      <w:r>
        <w:t xml:space="preserve"> </w:t>
      </w:r>
      <w:r>
        <w:t xml:space="preserve">	</w:t>
      </w:r>
      <w:r>
        <w:t xml:space="preserve">Rutjens BT, Većkalov B. Conspiracy beliefs and science rejection. Current Opinion in Psychology 2022;46:101392.</w:t>
      </w:r>
      <w:r>
        <w:t xml:space="preserve"> </w:t>
      </w:r>
      <w:hyperlink r:id="rId145">
        <w:r>
          <w:rPr>
            <w:rStyle w:val="Hyperlink"/>
          </w:rPr>
          <w:t xml:space="preserve">https://doi.org/10.1016/j.copsyc.2022.101392</w:t>
        </w:r>
      </w:hyperlink>
      <w:r>
        <w:t xml:space="preserve">.</w:t>
      </w:r>
    </w:p>
    <w:bookmarkEnd w:id="146"/>
    <w:bookmarkStart w:id="148" w:name="X3451f52acce70bd6874021632b5ca886fc6dda3"/>
    <w:p>
      <w:pPr>
        <w:pStyle w:val="Bibliography"/>
      </w:pPr>
      <w:r>
        <w:t xml:space="preserve">[50]</w:t>
      </w:r>
      <w:r>
        <w:t xml:space="preserve"> </w:t>
      </w:r>
      <w:r>
        <w:t xml:space="preserve">	</w:t>
      </w:r>
      <w:r>
        <w:t xml:space="preserve">Lewandowsky S, Oberauer K. Worldview-motivated rejection of science and the norms of science. Cognition 2021;215:104820.</w:t>
      </w:r>
      <w:r>
        <w:t xml:space="preserve"> </w:t>
      </w:r>
      <w:hyperlink r:id="rId147">
        <w:r>
          <w:rPr>
            <w:rStyle w:val="Hyperlink"/>
          </w:rPr>
          <w:t xml:space="preserve">https://doi.org/10.1016/j.cognition.2021.104820</w:t>
        </w:r>
      </w:hyperlink>
      <w:r>
        <w:t xml:space="preserve">.</w:t>
      </w:r>
    </w:p>
    <w:bookmarkEnd w:id="148"/>
    <w:bookmarkStart w:id="150" w:name="X3a579f7b8f7c50140ad69cec2269892b8bed906"/>
    <w:p>
      <w:pPr>
        <w:pStyle w:val="Bibliography"/>
      </w:pPr>
      <w:r>
        <w:t xml:space="preserve">[51]</w:t>
      </w:r>
      <w:r>
        <w:t xml:space="preserve"> </w:t>
      </w:r>
      <w:r>
        <w:t xml:space="preserve">	</w:t>
      </w:r>
      <w:r>
        <w:t xml:space="preserve">Mede NG, Schäfer MS. Science-related populism: Conceptualizing populist demands toward science. Public Understanding of Science 2020;29:473–91.</w:t>
      </w:r>
      <w:r>
        <w:t xml:space="preserve"> </w:t>
      </w:r>
      <w:hyperlink r:id="rId149">
        <w:r>
          <w:rPr>
            <w:rStyle w:val="Hyperlink"/>
          </w:rPr>
          <w:t xml:space="preserve">https://doi.org/10.1177/0963662520924259</w:t>
        </w:r>
      </w:hyperlink>
      <w:r>
        <w:t xml:space="preserve">.</w:t>
      </w:r>
    </w:p>
    <w:bookmarkEnd w:id="150"/>
    <w:bookmarkStart w:id="152" w:name="ref-medeWhoSupportsSciencerelated2022"/>
    <w:p>
      <w:pPr>
        <w:pStyle w:val="Bibliography"/>
      </w:pPr>
      <w:r>
        <w:t xml:space="preserve">[52]</w:t>
      </w:r>
      <w:r>
        <w:t xml:space="preserve"> </w:t>
      </w:r>
      <w:r>
        <w:t xml:space="preserve">	</w:t>
      </w:r>
      <w:r>
        <w:t xml:space="preserve">Mede NG, Schäfer MS, Metag J, Klinger K. Who supports science-related populism? A nationally representative survey on the prevalence and explanatory factors of populist attitudes toward science in Switzerland. PLOS ONE 2022;17:e0271204.</w:t>
      </w:r>
      <w:r>
        <w:t xml:space="preserve"> </w:t>
      </w:r>
      <w:hyperlink r:id="rId151">
        <w:r>
          <w:rPr>
            <w:rStyle w:val="Hyperlink"/>
          </w:rPr>
          <w:t xml:space="preserve">https://doi.org/10.1371/journal.pone.0271204</w:t>
        </w:r>
      </w:hyperlink>
      <w:r>
        <w:t xml:space="preserve">.</w:t>
      </w:r>
    </w:p>
    <w:bookmarkEnd w:id="152"/>
    <w:bookmarkStart w:id="154" w:name="Xc900ab6802c75bf5233fe72972aab9d24342892"/>
    <w:p>
      <w:pPr>
        <w:pStyle w:val="Bibliography"/>
      </w:pPr>
      <w:r>
        <w:t xml:space="preserve">[53]</w:t>
      </w:r>
      <w:r>
        <w:t xml:space="preserve"> </w:t>
      </w:r>
      <w:r>
        <w:t xml:space="preserve">	</w:t>
      </w:r>
      <w:r>
        <w:t xml:space="preserve">Druckman JN. Threats to Science: Politicization, Misinformation, and Inequalities. The ANNALS of the American Academy of Political and Social Science 2022;700:8–24.</w:t>
      </w:r>
      <w:r>
        <w:t xml:space="preserve"> </w:t>
      </w:r>
      <w:hyperlink r:id="rId153">
        <w:r>
          <w:rPr>
            <w:rStyle w:val="Hyperlink"/>
          </w:rPr>
          <w:t xml:space="preserve">https://doi.org/10.1177/00027162221095431</w:t>
        </w:r>
      </w:hyperlink>
      <w:r>
        <w:t xml:space="preserve">.</w:t>
      </w:r>
    </w:p>
    <w:bookmarkEnd w:id="154"/>
    <w:bookmarkStart w:id="156" w:name="ref-gauchatLegitimacyScience2023"/>
    <w:p>
      <w:pPr>
        <w:pStyle w:val="Bibliography"/>
      </w:pPr>
      <w:r>
        <w:t xml:space="preserve">[54]</w:t>
      </w:r>
      <w:r>
        <w:t xml:space="preserve"> </w:t>
      </w:r>
      <w:r>
        <w:t xml:space="preserve">	</w:t>
      </w:r>
      <w:r>
        <w:t xml:space="preserve">Gauchat G. The Legitimacy of Science. Annual Review of Sociology 2023;49:263–79.</w:t>
      </w:r>
      <w:r>
        <w:t xml:space="preserve"> </w:t>
      </w:r>
      <w:hyperlink r:id="rId155">
        <w:r>
          <w:rPr>
            <w:rStyle w:val="Hyperlink"/>
          </w:rPr>
          <w:t xml:space="preserve">https://doi.org/10.1146/annurev-soc-030320-035037</w:t>
        </w:r>
      </w:hyperlink>
      <w:r>
        <w:t xml:space="preserve">.</w:t>
      </w:r>
    </w:p>
    <w:bookmarkEnd w:id="156"/>
    <w:bookmarkStart w:id="158" w:name="X87ba04d7f6f955d7dab2970dc3ff653de6258ce"/>
    <w:p>
      <w:pPr>
        <w:pStyle w:val="Bibliography"/>
      </w:pPr>
      <w:r>
        <w:t xml:space="preserve">[55]</w:t>
      </w:r>
      <w:r>
        <w:t xml:space="preserve"> </w:t>
      </w:r>
      <w:r>
        <w:t xml:space="preserve">	</w:t>
      </w:r>
      <w:r>
        <w:t xml:space="preserve">National Academies of Sciences, Engineering, and Medicine. Science Literacy: Concepts, Contexts, and Consequences. Washington, D.C.: National Academies Press; 2016.</w:t>
      </w:r>
      <w:r>
        <w:t xml:space="preserve"> </w:t>
      </w:r>
      <w:hyperlink r:id="rId157">
        <w:r>
          <w:rPr>
            <w:rStyle w:val="Hyperlink"/>
          </w:rPr>
          <w:t xml:space="preserve">https://doi.org/10.17226/23595</w:t>
        </w:r>
      </w:hyperlink>
      <w:r>
        <w:t xml:space="preserve">.</w:t>
      </w:r>
    </w:p>
    <w:bookmarkEnd w:id="158"/>
    <w:bookmarkStart w:id="160" w:name="X9368a5888b4ac84ef059928a106d4a51cc998f8"/>
    <w:p>
      <w:pPr>
        <w:pStyle w:val="Bibliography"/>
      </w:pPr>
      <w:r>
        <w:t xml:space="preserve">[56]</w:t>
      </w:r>
      <w:r>
        <w:t xml:space="preserve"> </w:t>
      </w:r>
      <w:r>
        <w:t xml:space="preserve">	</w:t>
      </w:r>
      <w:r>
        <w:t xml:space="preserve">Pfänder J.</w:t>
      </w:r>
      <w:r>
        <w:t xml:space="preserve"> </w:t>
      </w:r>
      <w:hyperlink r:id="rId159">
        <w:r>
          <w:rPr>
            <w:rStyle w:val="Hyperlink"/>
          </w:rPr>
          <w:t xml:space="preserve">A cognitive perspective on trust in science</w:t>
        </w:r>
      </w:hyperlink>
      <w:r>
        <w:t xml:space="preserve">. PhD thesis. 2025.</w:t>
      </w:r>
    </w:p>
    <w:bookmarkEnd w:id="160"/>
    <w:bookmarkStart w:id="162" w:name="ref-scheufeleWhatWeKnow2021"/>
    <w:p>
      <w:pPr>
        <w:pStyle w:val="Bibliography"/>
      </w:pPr>
      <w:r>
        <w:t xml:space="preserve">[57]</w:t>
      </w:r>
      <w:r>
        <w:t xml:space="preserve"> </w:t>
      </w:r>
      <w:r>
        <w:t xml:space="preserve">	</w:t>
      </w:r>
      <w:r>
        <w:t xml:space="preserve">Scheufele DA, Krause NM, Freiling I, Brossard D. What we know about effective public engagement on CRISPR and beyond. Proceedings of the National Academy of Sciences 2021;118:e2004835117.</w:t>
      </w:r>
      <w:r>
        <w:t xml:space="preserve"> </w:t>
      </w:r>
      <w:hyperlink r:id="rId161">
        <w:r>
          <w:rPr>
            <w:rStyle w:val="Hyperlink"/>
          </w:rPr>
          <w:t xml:space="preserve">https://doi.org/10.1073/pnas.2004835117</w:t>
        </w:r>
      </w:hyperlink>
      <w:r>
        <w:t xml:space="preserve">.</w:t>
      </w:r>
    </w:p>
    <w:bookmarkEnd w:id="162"/>
    <w:bookmarkStart w:id="164" w:name="ref-krauseTrustFallacy2021"/>
    <w:p>
      <w:pPr>
        <w:pStyle w:val="Bibliography"/>
      </w:pPr>
      <w:r>
        <w:t xml:space="preserve">[58]</w:t>
      </w:r>
      <w:r>
        <w:t xml:space="preserve"> </w:t>
      </w:r>
      <w:r>
        <w:t xml:space="preserve">	</w:t>
      </w:r>
      <w:r>
        <w:t xml:space="preserve">Krause N, Scheufele D, Freiling I, Brossard D. The trust fallacy. American Scientist 2021;109:226.</w:t>
      </w:r>
      <w:r>
        <w:t xml:space="preserve"> </w:t>
      </w:r>
      <w:hyperlink r:id="rId163">
        <w:r>
          <w:rPr>
            <w:rStyle w:val="Hyperlink"/>
          </w:rPr>
          <w:t xml:space="preserve">https://doi.org/10.1511/2021.109.4.226</w:t>
        </w:r>
      </w:hyperlink>
      <w:r>
        <w:t xml:space="preserve">.</w:t>
      </w:r>
    </w:p>
    <w:bookmarkEnd w:id="164"/>
    <w:bookmarkStart w:id="166" w:name="ref-mervisTrumpsScienceAdviser2025"/>
    <w:p>
      <w:pPr>
        <w:pStyle w:val="Bibliography"/>
      </w:pPr>
      <w:r>
        <w:t xml:space="preserve">[59]</w:t>
      </w:r>
      <w:r>
        <w:t xml:space="preserve"> </w:t>
      </w:r>
      <w:r>
        <w:t xml:space="preserve">	</w:t>
      </w:r>
      <w:r>
        <w:t xml:space="preserve">Mervis J.</w:t>
      </w:r>
      <w:r>
        <w:t xml:space="preserve"> </w:t>
      </w:r>
      <w:hyperlink r:id="rId165">
        <w:r>
          <w:rPr>
            <w:rStyle w:val="Hyperlink"/>
          </w:rPr>
          <w:t xml:space="preserve">Trump</w:t>
        </w:r>
        <w:r>
          <w:rPr>
            <w:rStyle w:val="Hyperlink"/>
          </w:rPr>
          <w:t xml:space="preserve">’</w:t>
        </w:r>
        <w:r>
          <w:rPr>
            <w:rStyle w:val="Hyperlink"/>
          </w:rPr>
          <w:t xml:space="preserve">s science adviser defends funding cuts as a chance to</w:t>
        </w:r>
        <w:r>
          <w:rPr>
            <w:rStyle w:val="Hyperlink"/>
          </w:rPr>
          <w:t xml:space="preserve"> </w:t>
        </w:r>
        <w:r>
          <w:rPr>
            <w:rStyle w:val="Hyperlink"/>
          </w:rPr>
          <w:t xml:space="preserve">‘</w:t>
        </w:r>
        <w:r>
          <w:rPr>
            <w:rStyle w:val="Hyperlink"/>
          </w:rPr>
          <w:t xml:space="preserve">revitalize</w:t>
        </w:r>
        <w:r>
          <w:rPr>
            <w:rStyle w:val="Hyperlink"/>
          </w:rPr>
          <w:t xml:space="preserve">’</w:t>
        </w:r>
        <w:r>
          <w:rPr>
            <w:rStyle w:val="Hyperlink"/>
          </w:rPr>
          <w:t xml:space="preserve"> </w:t>
        </w:r>
        <w:r>
          <w:rPr>
            <w:rStyle w:val="Hyperlink"/>
          </w:rPr>
          <w:t xml:space="preserve">u.s. Science | science | AAAS</w:t>
        </w:r>
      </w:hyperlink>
      <w:r>
        <w:t xml:space="preserve">. Science 2025.</w:t>
      </w:r>
    </w:p>
    <w:bookmarkEnd w:id="166"/>
    <w:bookmarkEnd w:id="167"/>
    <w:bookmarkStart w:id="169" w:name="Xa695b45445a465149bbc04ec4922aa974d35312"/>
    <w:p>
      <w:pPr>
        <w:pStyle w:val="Heading2"/>
      </w:pPr>
      <w:r>
        <w:t xml:space="preserve">Further information on references of particular interest</w:t>
      </w:r>
    </w:p>
    <w:p>
      <w:pPr>
        <w:numPr>
          <w:ilvl w:val="0"/>
          <w:numId w:val="1001"/>
        </w:numPr>
      </w:pPr>
      <w:r>
        <w:t xml:space="preserve">**</w:t>
      </w:r>
      <w:r>
        <w:t xml:space="preserve">[</w:t>
      </w:r>
      <w:hyperlink w:anchor="X8c3d24b34f7cbf20a55d262f9fc69ae53184a08">
        <w:r>
          <w:rPr>
            <w:rStyle w:val="Hyperlink"/>
          </w:rPr>
          <w:t xml:space="preserve">4</w:t>
        </w:r>
      </w:hyperlink>
      <w:r>
        <w:t xml:space="preserve">]</w:t>
      </w:r>
      <w:r>
        <w:t xml:space="preserve"> </w:t>
      </w:r>
      <w:r>
        <w:t xml:space="preserve">Among 19 candidate variables, trust in climate science was the most important predictor of climate change belief and policy support.</w:t>
      </w:r>
    </w:p>
    <w:p>
      <w:pPr>
        <w:numPr>
          <w:ilvl w:val="0"/>
          <w:numId w:val="1001"/>
        </w:numPr>
      </w:pPr>
      <w:r>
        <w:t xml:space="preserve">**</w:t>
      </w:r>
      <w:r>
        <w:t xml:space="preserve">[</w:t>
      </w:r>
      <w:hyperlink w:anchor="ref-colognaTrustScientistsTheir2025">
        <w:r>
          <w:rPr>
            <w:rStyle w:val="Hyperlink"/>
          </w:rPr>
          <w:t xml:space="preserve">8</w:t>
        </w:r>
      </w:hyperlink>
      <w:r>
        <w:t xml:space="preserve">]</w:t>
      </w:r>
      <w:r>
        <w:t xml:space="preserve"> </w:t>
      </w:r>
      <w:r>
        <w:t xml:space="preserve">The TISP Many Labs assessed perceived trustworthiness of climate scientists with a 12-item scale, covering the dimensions of competence, benevolence, integrity and openness. They found moderately high levels of trust in scientists across the globe.</w:t>
      </w:r>
    </w:p>
    <w:p>
      <w:pPr>
        <w:numPr>
          <w:ilvl w:val="0"/>
          <w:numId w:val="1001"/>
        </w:numPr>
      </w:pPr>
      <w:r>
        <w:t xml:space="preserve">**</w:t>
      </w:r>
      <w:r>
        <w:t xml:space="preserve">[</w:t>
      </w:r>
      <w:hyperlink w:anchor="X00d97608ee621e43f57f3fe58fbc95f88c48acb">
        <w:r>
          <w:rPr>
            <w:rStyle w:val="Hyperlink"/>
          </w:rPr>
          <w:t xml:space="preserve">14</w:t>
        </w:r>
      </w:hyperlink>
      <w:r>
        <w:t xml:space="preserve">]</w:t>
      </w:r>
      <w:r>
        <w:t xml:space="preserve"> </w:t>
      </w:r>
      <w:r>
        <w:t xml:space="preserve">People across the political spectrum hold stereotypes about scientists’ political orientation (e.g.,</w:t>
      </w:r>
      <w:r>
        <w:t xml:space="preserve"> </w:t>
      </w:r>
      <w:r>
        <w:t xml:space="preserve">“scientists are liberal”</w:t>
      </w:r>
      <w:r>
        <w:t xml:space="preserve">). These stereotypes matter for trust in science: Both in the US and in Germany, conservatives tend to distrust scientists more when they believe that scientists are liberal.</w:t>
      </w:r>
    </w:p>
    <w:p>
      <w:pPr>
        <w:numPr>
          <w:ilvl w:val="0"/>
          <w:numId w:val="1001"/>
        </w:numPr>
      </w:pPr>
      <w:r>
        <w:t xml:space="preserve">*</w:t>
      </w:r>
      <w:r>
        <w:t xml:space="preserve">[</w:t>
      </w:r>
      <w:hyperlink w:anchor="ref-gligoricHowSocialEvaluations2024">
        <w:r>
          <w:rPr>
            <w:rStyle w:val="Hyperlink"/>
          </w:rPr>
          <w:t xml:space="preserve">15</w:t>
        </w:r>
      </w:hyperlink>
      <w:r>
        <w:t xml:space="preserve">]</w:t>
      </w:r>
      <w:r>
        <w:t xml:space="preserve"> </w:t>
      </w:r>
      <w:r>
        <w:t xml:space="preserve">Trust in most scientists is relatively high but varied substantially with the discipline. For example, among the most trusted were meteorologists and physiologists, among the least trusted pharmacologists and political scientists.</w:t>
      </w:r>
    </w:p>
    <w:p>
      <w:pPr>
        <w:numPr>
          <w:ilvl w:val="0"/>
          <w:numId w:val="1001"/>
        </w:numPr>
      </w:pPr>
      <w:r>
        <w:t xml:space="preserve">*</w:t>
      </w:r>
      <w:r>
        <w:t xml:space="preserve">[</w:t>
      </w:r>
      <w:hyperlink w:anchor="X36aee1055ec93821201faa8eee83e1bb9451ae3">
        <w:r>
          <w:rPr>
            <w:rStyle w:val="Hyperlink"/>
          </w:rPr>
          <w:t xml:space="preserve">19</w:t>
        </w:r>
      </w:hyperlink>
      <w:r>
        <w:t xml:space="preserve">]</w:t>
      </w:r>
      <w:r>
        <w:t xml:space="preserve"> </w:t>
      </w:r>
      <w:r>
        <w:t xml:space="preserve">In four studies, they asked U.S. Americans—including flat Earthers, climate change deniers and vaccine skeptics—whether they accepted basic scientific facts. Acceptance of the scientific consensus was very high in the sample as a whole (95.1%), but also in every sub-sample (e.g. no trust in science: 87.3%; complete endorsement of flat Earth theory: 87.2%)</w:t>
      </w:r>
    </w:p>
    <w:p>
      <w:pPr>
        <w:numPr>
          <w:ilvl w:val="0"/>
          <w:numId w:val="1001"/>
        </w:numPr>
      </w:pPr>
      <w:r>
        <w:t xml:space="preserve">*</w:t>
      </w:r>
      <w:r>
        <w:t xml:space="preserve">[</w:t>
      </w:r>
      <w:hyperlink w:anchor="ref-wingenWhenCorrelationDoes2025">
        <w:r>
          <w:rPr>
            <w:rStyle w:val="Hyperlink"/>
          </w:rPr>
          <w:t xml:space="preserve">32</w:t>
        </w:r>
      </w:hyperlink>
      <w:r>
        <w:t xml:space="preserve">]</w:t>
      </w:r>
      <w:r>
        <w:t xml:space="preserve"> </w:t>
      </w:r>
      <w:r>
        <w:t xml:space="preserve">Four studies amid the COVID-19 pandemic (March 2021 – February 2022). They experimentally manipulated trust in science by presenting participants with real-world statements from the same scientists during the COVID-19 pandemic, some of which later turned out to be primarily correct (high trust condition), some of which incorrect (low trust condition). They did not find that this manipulation increased protection intentions (e.g. physical distancing, mask wearing).</w:t>
      </w:r>
    </w:p>
    <w:p>
      <w:pPr>
        <w:numPr>
          <w:ilvl w:val="0"/>
          <w:numId w:val="1001"/>
        </w:numPr>
      </w:pPr>
      <w:r>
        <w:t xml:space="preserve">**</w:t>
      </w:r>
      <w:r>
        <w:t xml:space="preserve">[</w:t>
      </w:r>
      <w:hyperlink w:anchor="ref-druckmanContinuityChangeTrust2024">
        <w:r>
          <w:rPr>
            <w:rStyle w:val="Hyperlink"/>
          </w:rPr>
          <w:t xml:space="preserve">35</w:t>
        </w:r>
      </w:hyperlink>
      <w:r>
        <w:t xml:space="preserve">]</w:t>
      </w:r>
      <w:r>
        <w:t xml:space="preserve"> </w:t>
      </w:r>
      <w:r>
        <w:t xml:space="preserve">Trust in science in the U.S. is remarkably stable, and so are its demographic correlates: women, Black, rural, religious, non-college educated, and lower/working class individuals exhibit less trust. They argue that the current partisan gap (Democrats trusting more, Republicans less) can be explained by low-trust demographic strata shifting partisan allegiances. This suggests that political ideology might be a less important factor of polarization than demographic inequities.</w:t>
      </w:r>
    </w:p>
    <w:p>
      <w:pPr>
        <w:numPr>
          <w:ilvl w:val="0"/>
          <w:numId w:val="1001"/>
        </w:numPr>
      </w:pPr>
      <w:r>
        <w:t xml:space="preserve">**</w:t>
      </w:r>
      <w:r>
        <w:t xml:space="preserve">[</w:t>
      </w:r>
      <w:hyperlink w:anchor="ref-gauchatLegitimacyScience2023">
        <w:r>
          <w:rPr>
            <w:rStyle w:val="Hyperlink"/>
          </w:rPr>
          <w:t xml:space="preserve">54</w:t>
        </w:r>
      </w:hyperlink>
      <w:r>
        <w:t xml:space="preserve">]</w:t>
      </w:r>
      <w:r>
        <w:t xml:space="preserve"> </w:t>
      </w:r>
      <w:r>
        <w:t xml:space="preserve">Argues that politicization of science in the US needs to be seen in its broader cultural context. Science has played a crucial role in legitimizing the modern regulatory state. Consequently, conservative distrust of science reflects deeper structural tensions with the rational–legal authority of modern governance.</w:t>
      </w:r>
    </w:p>
    <w:bookmarkStart w:id="168" w:name="tbl-summary"/>
    <w:p>
      <w:pPr>
        <w:pStyle w:val="FigureTitle"/>
      </w:pPr>
      <w:r>
        <w:t xml:space="preserve">Table 1</w:t>
      </w:r>
    </w:p>
    <w:p>
      <w:pPr>
        <w:pStyle w:val="Caption"/>
      </w:pPr>
      <w:r>
        <w:t xml:space="preserve">Summary table.</w:t>
      </w:r>
    </w:p>
    <w:tbl>
      <w:tblPr>
        <w:tblStyle w:val="Table"/>
        <w:tblW w:type="pct" w:w="4984"/>
        <w:tblLayout w:type="fixed"/>
        <w:tblLook w:firstRow="1" w:lastRow="0" w:firstColumn="0" w:lastColumn="0" w:noHBand="0" w:noVBand="0" w:val="0020"/>
      </w:tblPr>
      <w:tblGrid>
        <w:gridCol w:w="430"/>
        <w:gridCol w:w="3466"/>
        <w:gridCol w:w="3997"/>
      </w:tblGrid>
      <w:tr>
        <w:trPr>
          <w:tblHeader w:val="on"/>
        </w:trPr>
        <w:tc>
          <w:tcPr/>
          <w:p>
            <w:pPr>
              <w:pStyle w:val="Compact"/>
            </w:pPr>
            <w:r>
              <w:rPr>
                <w:b/>
                <w:bCs/>
              </w:rPr>
              <w:t xml:space="preserve">Dimension</w:t>
            </w:r>
          </w:p>
        </w:tc>
        <w:tc>
          <w:tcPr/>
          <w:p>
            <w:pPr>
              <w:pStyle w:val="Compact"/>
            </w:pPr>
            <w:r>
              <w:rPr>
                <w:b/>
                <w:bCs/>
              </w:rPr>
              <w:t xml:space="preserve">Challenges</w:t>
            </w:r>
          </w:p>
        </w:tc>
        <w:tc>
          <w:tcPr/>
          <w:p>
            <w:pPr>
              <w:pStyle w:val="Compact"/>
            </w:pPr>
            <w:r>
              <w:rPr>
                <w:b/>
                <w:bCs/>
              </w:rPr>
              <w:t xml:space="preserve">Future Directions</w:t>
            </w:r>
          </w:p>
        </w:tc>
      </w:tr>
      <w:tr>
        <w:tc>
          <w:tcPr/>
          <w:p>
            <w:pPr>
              <w:pStyle w:val="Compact"/>
            </w:pPr>
            <w:r>
              <w:t xml:space="preserve">Theoretical</w:t>
            </w:r>
          </w:p>
        </w:tc>
        <w:tc>
          <w:tcPr/>
          <w:p>
            <w:pPr>
              <w:pStyle w:val="Compact"/>
            </w:pPr>
            <w:r>
              <w:t xml:space="preserve">Ambiguity in referents of</w:t>
            </w:r>
            <w:r>
              <w:t xml:space="preserve"> </w:t>
            </w:r>
            <w:r>
              <w:t xml:space="preserve">“science”</w:t>
            </w:r>
            <w:r>
              <w:t xml:space="preserve"> </w:t>
            </w:r>
            <w:r>
              <w:t xml:space="preserve">(methods, institutions, individuals); domain-specific trust; trustworthiness vs. behavioral trust</w:t>
            </w:r>
          </w:p>
        </w:tc>
        <w:tc>
          <w:tcPr/>
          <w:p>
            <w:pPr>
              <w:pStyle w:val="Compact"/>
            </w:pPr>
            <w:r>
              <w:t xml:space="preserve">Use more specific concepts and domain-specific measures</w:t>
            </w:r>
          </w:p>
        </w:tc>
      </w:tr>
      <w:tr>
        <w:tc>
          <w:tcPr/>
          <w:p>
            <w:pPr>
              <w:pStyle w:val="Compact"/>
            </w:pPr>
            <w:r>
              <w:t xml:space="preserve">Methodological</w:t>
            </w:r>
          </w:p>
        </w:tc>
        <w:tc>
          <w:tcPr/>
          <w:p>
            <w:pPr>
              <w:pStyle w:val="Compact"/>
            </w:pPr>
            <w:r>
              <w:t xml:space="preserve">Country-dependent findings; heterogeneous measures of trust and covariates</w:t>
            </w:r>
          </w:p>
        </w:tc>
        <w:tc>
          <w:tcPr/>
          <w:p>
            <w:pPr>
              <w:pStyle w:val="Compact"/>
            </w:pPr>
            <w:r>
              <w:t xml:space="preserve">Expand regional coverage; converge on validated measures</w:t>
            </w:r>
          </w:p>
        </w:tc>
      </w:tr>
      <w:tr>
        <w:tc>
          <w:tcPr/>
          <w:p>
            <w:pPr>
              <w:pStyle w:val="Compact"/>
            </w:pPr>
            <w:r>
              <w:t xml:space="preserve">Normative</w:t>
            </w:r>
          </w:p>
        </w:tc>
        <w:tc>
          <w:tcPr/>
          <w:p>
            <w:pPr>
              <w:pStyle w:val="Compact"/>
            </w:pPr>
            <w:r>
              <w:t xml:space="preserve">Deficit thinking: trust is taken for granted, more trust is assumed to always be better, legitimate reasons for distrust are neglected</w:t>
            </w:r>
          </w:p>
        </w:tc>
        <w:tc>
          <w:tcPr/>
          <w:p>
            <w:pPr>
              <w:pStyle w:val="Compact"/>
            </w:pPr>
            <w:r>
              <w:t xml:space="preserve">Explain why people tend to trust science in the first place; reflect on what levels of trust are desirable; balance fostering trust with healthy skepticism</w:t>
            </w:r>
          </w:p>
        </w:tc>
      </w:tr>
    </w:tbl>
    <w:bookmarkEnd w:id="168"/>
    <w:p>
      <w:r>
        <w:br w:type="page"/>
      </w:r>
    </w:p>
    <w:bookmarkEnd w:id="169"/>
    <w:bookmarkEnd w:id="1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For example, the US General Social Survey has tracked trust in science for 50 years, but relies on a single item:</w:t>
      </w:r>
      <w:r>
        <w:t xml:space="preserve"> </w:t>
      </w:r>
      <w:r>
        <w:t xml:space="preserve">“Would you say you have a great deal of confidence, only some confidence, or hardly any confidence at all in the scientific community?”</w:t>
      </w:r>
      <w:r>
        <w:t xml:space="preserve">. Similarly, the Pew research center relies on a single-item question, asking people about how much confidence they have that</w:t>
      </w:r>
      <w:r>
        <w:t xml:space="preserve"> </w:t>
      </w:r>
      <w:r>
        <w:t xml:space="preserve">“scientists act in the best interests of the public”</w:t>
      </w:r>
      <w:r>
        <w:t xml:space="preserve"> </w:t>
      </w:r>
      <w:r>
        <w:t xml:space="preserve">[</w:t>
      </w:r>
      <w:hyperlink w:anchor="ref-kennedyPublicTrustScientists2024">
        <w:r>
          <w:rPr>
            <w:rStyle w:val="Hyperlink"/>
          </w:rPr>
          <w:t xml:space="preserve">42</w:t>
        </w:r>
      </w:hyperlink>
      <w:r>
        <w:t xml:space="preserve">]</w:t>
      </w:r>
      <w:r>
        <w:t xml:space="preserve">.</w:t>
      </w:r>
    </w:p>
  </w:footnote>
  <w:footnote w:id="43">
    <w:p>
      <w:pPr>
        <w:pStyle w:val="FootnoteText"/>
      </w:pPr>
      <w:r>
        <w:rPr>
          <w:rStyle w:val="FootnoteReference"/>
        </w:rPr>
        <w:footnoteRef/>
      </w:r>
      <w:r>
        <w:t xml:space="preserve"> </w:t>
      </w:r>
      <w:r>
        <w:t xml:space="preserve">These items are:</w:t>
      </w:r>
      <w:r>
        <w:t xml:space="preserve"> </w:t>
      </w:r>
      <w:r>
        <w:t xml:space="preserve">“How much do you trust scientists in this country? A lot, some, not much or none at all?”</w:t>
      </w:r>
      <w:r>
        <w:t xml:space="preserve">;</w:t>
      </w:r>
      <w:r>
        <w:t xml:space="preserve"> </w:t>
      </w:r>
      <w:r>
        <w:t xml:space="preserve">“In general, how much do you trust scientists to find out accurate information about the world? A lot, some, not much or none at all?”</w:t>
      </w:r>
      <w:r>
        <w:t xml:space="preserve">;</w:t>
      </w:r>
      <w:r>
        <w:t xml:space="preserve"> </w:t>
      </w:r>
      <w:r>
        <w:t xml:space="preserve">“How much do you trust scientists working in colleges/universities in this country to do their work with the intention of benefiting the public? A lot, some, not much or none at all?”</w:t>
      </w:r>
      <w:r>
        <w:t xml:space="preserve">;</w:t>
      </w:r>
      <w:r>
        <w:t xml:space="preserve"> </w:t>
      </w:r>
      <w:r>
        <w:t xml:space="preserve">“How much do you trust scientists working in colleges/universities in this country to be open and honest about who is paying for their work? A lot, some, not much or none at all?”</w:t>
      </w:r>
      <w:r>
        <w:t xml:space="preserve">;</w:t>
      </w:r>
      <w:r>
        <w:t xml:space="preserve"> </w:t>
      </w:r>
      <w:r>
        <w:t xml:space="preserve">“How much do you trust scientists working for companies in this country to do their work with the intention of benefiting the public? A lot, some, not much or none at all?”</w:t>
      </w:r>
    </w:p>
  </w:footnote>
  <w:footnote w:id="44">
    <w:p>
      <w:pPr>
        <w:pStyle w:val="FootnoteText"/>
      </w:pPr>
      <w:r>
        <w:rPr>
          <w:rStyle w:val="FootnoteReference"/>
        </w:rPr>
        <w:footnoteRef/>
      </w:r>
      <w:r>
        <w:t xml:space="preserve"> </w:t>
      </w:r>
      <w:r>
        <w:t xml:space="preserve">The other religious groups were Catholic, Protestant, Orthodox, Jewish, Buddhist and Hindu</w:t>
      </w:r>
    </w:p>
  </w:footnote>
  <w:footnote w:id="45">
    <w:p>
      <w:pPr>
        <w:pStyle w:val="FootnoteText"/>
      </w:pPr>
      <w:r>
        <w:rPr>
          <w:rStyle w:val="FootnoteReference"/>
        </w:rPr>
        <w:footnoteRef/>
      </w:r>
      <w:r>
        <w:t xml:space="preserve"> </w:t>
      </w:r>
      <w:r>
        <w:t xml:space="preserve">[</w:t>
      </w:r>
      <w:hyperlink w:anchor="ref-noyScienceGoodEffects2019">
        <w:r>
          <w:rPr>
            <w:rStyle w:val="Hyperlink"/>
          </w:rPr>
          <w:t xml:space="preserve">45</w:t>
        </w:r>
      </w:hyperlink>
      <w:r>
        <w:t xml:space="preserve">]</w:t>
      </w:r>
      <w:r>
        <w:t xml:space="preserve"> </w:t>
      </w:r>
      <w:r>
        <w:t xml:space="preserve">use several additional covariates in their model, and do not include countries in which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effect of religiosity and which are majority Muslim, such as Malaysia, Egypt, Morocco, Bangladesh.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47" Target="https://doi.org/10.1016/j.cognition.2021.104820" TargetMode="External" /><Relationship Type="http://schemas.openxmlformats.org/officeDocument/2006/relationships/hyperlink" Id="rId14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4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23"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81" Target="https://doi.org/10.1038/s41562-025-02147-z" TargetMode="External" /><Relationship Type="http://schemas.openxmlformats.org/officeDocument/2006/relationships/hyperlink" Id="rId55" Target="https://doi.org/10.1038/s44168-025-00251-4" TargetMode="External" /><Relationship Type="http://schemas.openxmlformats.org/officeDocument/2006/relationships/hyperlink" Id="rId97" Target="https://doi.org/10.1073/pnas.1317505111" TargetMode="External" /><Relationship Type="http://schemas.openxmlformats.org/officeDocument/2006/relationships/hyperlink" Id="rId161"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105" Target="https://doi.org/10.1080/00346760902908625" TargetMode="External" /><Relationship Type="http://schemas.openxmlformats.org/officeDocument/2006/relationships/hyperlink" Id="rId101"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15" Target="https://doi.org/10.1093/poq/nfz041" TargetMode="External" /><Relationship Type="http://schemas.openxmlformats.org/officeDocument/2006/relationships/hyperlink" Id="rId93" Target="https://doi.org/10.1111/pops.12866" TargetMode="External" /><Relationship Type="http://schemas.openxmlformats.org/officeDocument/2006/relationships/hyperlink" Id="rId61" Target="https://doi.org/10.1136/bmjopen-2020-048172" TargetMode="External" /><Relationship Type="http://schemas.openxmlformats.org/officeDocument/2006/relationships/hyperlink" Id="rId155" Target="https://doi.org/10.1146/annurev-soc-030320-035037" TargetMode="External" /><Relationship Type="http://schemas.openxmlformats.org/officeDocument/2006/relationships/hyperlink" Id="rId15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35" Target="https://doi.org/10.1177/0963662506070159" TargetMode="External" /><Relationship Type="http://schemas.openxmlformats.org/officeDocument/2006/relationships/hyperlink" Id="rId13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13" Target="https://doi.org/10.1177/0963662515623248" TargetMode="External" /><Relationship Type="http://schemas.openxmlformats.org/officeDocument/2006/relationships/hyperlink" Id="rId137" Target="https://doi.org/10.1177/0963662519863575" TargetMode="External" /><Relationship Type="http://schemas.openxmlformats.org/officeDocument/2006/relationships/hyperlink" Id="rId125" Target="https://doi.org/10.1177/0963662520908534" TargetMode="External" /><Relationship Type="http://schemas.openxmlformats.org/officeDocument/2006/relationships/hyperlink" Id="rId149" Target="https://doi.org/10.1177/0963662520924259" TargetMode="External" /><Relationship Type="http://schemas.openxmlformats.org/officeDocument/2006/relationships/hyperlink" Id="rId141" Target="https://doi.org/10.1177/09636625221075947" TargetMode="External" /><Relationship Type="http://schemas.openxmlformats.org/officeDocument/2006/relationships/hyperlink" Id="rId103" Target="https://doi.org/10.1177/09636625231161302" TargetMode="External" /><Relationship Type="http://schemas.openxmlformats.org/officeDocument/2006/relationships/hyperlink" Id="rId85" Target="https://doi.org/10.1177/09636625251364407" TargetMode="External" /><Relationship Type="http://schemas.openxmlformats.org/officeDocument/2006/relationships/hyperlink" Id="rId99"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7" Target="https://doi.org/10.1177/1948550620923239" TargetMode="External" /><Relationship Type="http://schemas.openxmlformats.org/officeDocument/2006/relationships/hyperlink" Id="rId121" Target="https://doi.org/10.1177/19485506211001329" TargetMode="External" /><Relationship Type="http://schemas.openxmlformats.org/officeDocument/2006/relationships/hyperlink" Id="rId95" Target="https://doi.org/10.1371/journal.pone.0139309" TargetMode="External" /><Relationship Type="http://schemas.openxmlformats.org/officeDocument/2006/relationships/hyperlink" Id="rId109" Target="https://doi.org/10.1371/journal.pone.0248334" TargetMode="External" /><Relationship Type="http://schemas.openxmlformats.org/officeDocument/2006/relationships/hyperlink" Id="rId91" Target="https://doi.org/10.1371/journal.pone.0270429" TargetMode="External" /><Relationship Type="http://schemas.openxmlformats.org/officeDocument/2006/relationships/hyperlink" Id="rId15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63" Target="https://doi.org/10.1511/2021.109.4.226" TargetMode="External" /><Relationship Type="http://schemas.openxmlformats.org/officeDocument/2006/relationships/hyperlink" Id="rId157" Target="https://doi.org/10.17226/23595" TargetMode="External" /><Relationship Type="http://schemas.openxmlformats.org/officeDocument/2006/relationships/hyperlink" Id="rId117" Target="https://doi.org/10.2139/ssrn.4929030" TargetMode="External" /><Relationship Type="http://schemas.openxmlformats.org/officeDocument/2006/relationships/hyperlink" Id="rId83" Target="https://doi.org/10.31219/osf.io/k9m6e_v1" TargetMode="External" /><Relationship Type="http://schemas.openxmlformats.org/officeDocument/2006/relationships/hyperlink" Id="rId111" Target="https://doi.org/10.31219/osf.io/th953_v1" TargetMode="External" /><Relationship Type="http://schemas.openxmlformats.org/officeDocument/2006/relationships/hyperlink" Id="rId133" Target="https://doi.org/10.31219/osf.io/xb3ha" TargetMode="External" /><Relationship Type="http://schemas.openxmlformats.org/officeDocument/2006/relationships/hyperlink" Id="rId107" Target="https://doi.org/10.32872/spb.4315" TargetMode="External" /><Relationship Type="http://schemas.openxmlformats.org/officeDocument/2006/relationships/hyperlink" Id="rId89"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159" Target="https://theses.hal.science/tel-05281342"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9" Target="https://www.pewresearch.org/science/2020/08/26/on-the-intersection-of-science-and-religion/" TargetMode="External" /><Relationship Type="http://schemas.openxmlformats.org/officeDocument/2006/relationships/hyperlink" Id="rId131" Target="https://www.pewresearch.org/science/2024/11/14/public-trust-in-scientists-and-views-on-their-role-in-policymaking/" TargetMode="External" /><Relationship Type="http://schemas.openxmlformats.org/officeDocument/2006/relationships/hyperlink" Id="rId87" Target="https://www.pewresearch.org/science/feature/public-scientists-opinion-gap/" TargetMode="External" /><Relationship Type="http://schemas.openxmlformats.org/officeDocument/2006/relationships/hyperlink" Id="rId165"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16/j.cognition.2021.104820" TargetMode="External" /><Relationship Type="http://schemas.openxmlformats.org/officeDocument/2006/relationships/hyperlink" Id="rId14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4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23"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81" Target="https://doi.org/10.1038/s41562-025-02147-z" TargetMode="External" /><Relationship Type="http://schemas.openxmlformats.org/officeDocument/2006/relationships/hyperlink" Id="rId55" Target="https://doi.org/10.1038/s44168-025-00251-4" TargetMode="External" /><Relationship Type="http://schemas.openxmlformats.org/officeDocument/2006/relationships/hyperlink" Id="rId97" Target="https://doi.org/10.1073/pnas.1317505111" TargetMode="External" /><Relationship Type="http://schemas.openxmlformats.org/officeDocument/2006/relationships/hyperlink" Id="rId161"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105" Target="https://doi.org/10.1080/00346760902908625" TargetMode="External" /><Relationship Type="http://schemas.openxmlformats.org/officeDocument/2006/relationships/hyperlink" Id="rId101"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15" Target="https://doi.org/10.1093/poq/nfz041" TargetMode="External" /><Relationship Type="http://schemas.openxmlformats.org/officeDocument/2006/relationships/hyperlink" Id="rId93" Target="https://doi.org/10.1111/pops.12866" TargetMode="External" /><Relationship Type="http://schemas.openxmlformats.org/officeDocument/2006/relationships/hyperlink" Id="rId61" Target="https://doi.org/10.1136/bmjopen-2020-048172" TargetMode="External" /><Relationship Type="http://schemas.openxmlformats.org/officeDocument/2006/relationships/hyperlink" Id="rId155" Target="https://doi.org/10.1146/annurev-soc-030320-035037" TargetMode="External" /><Relationship Type="http://schemas.openxmlformats.org/officeDocument/2006/relationships/hyperlink" Id="rId15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35" Target="https://doi.org/10.1177/0963662506070159" TargetMode="External" /><Relationship Type="http://schemas.openxmlformats.org/officeDocument/2006/relationships/hyperlink" Id="rId13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13" Target="https://doi.org/10.1177/0963662515623248" TargetMode="External" /><Relationship Type="http://schemas.openxmlformats.org/officeDocument/2006/relationships/hyperlink" Id="rId137" Target="https://doi.org/10.1177/0963662519863575" TargetMode="External" /><Relationship Type="http://schemas.openxmlformats.org/officeDocument/2006/relationships/hyperlink" Id="rId125" Target="https://doi.org/10.1177/0963662520908534" TargetMode="External" /><Relationship Type="http://schemas.openxmlformats.org/officeDocument/2006/relationships/hyperlink" Id="rId149" Target="https://doi.org/10.1177/0963662520924259" TargetMode="External" /><Relationship Type="http://schemas.openxmlformats.org/officeDocument/2006/relationships/hyperlink" Id="rId141" Target="https://doi.org/10.1177/09636625221075947" TargetMode="External" /><Relationship Type="http://schemas.openxmlformats.org/officeDocument/2006/relationships/hyperlink" Id="rId103" Target="https://doi.org/10.1177/09636625231161302" TargetMode="External" /><Relationship Type="http://schemas.openxmlformats.org/officeDocument/2006/relationships/hyperlink" Id="rId85" Target="https://doi.org/10.1177/09636625251364407" TargetMode="External" /><Relationship Type="http://schemas.openxmlformats.org/officeDocument/2006/relationships/hyperlink" Id="rId99"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7" Target="https://doi.org/10.1177/1948550620923239" TargetMode="External" /><Relationship Type="http://schemas.openxmlformats.org/officeDocument/2006/relationships/hyperlink" Id="rId121" Target="https://doi.org/10.1177/19485506211001329" TargetMode="External" /><Relationship Type="http://schemas.openxmlformats.org/officeDocument/2006/relationships/hyperlink" Id="rId95" Target="https://doi.org/10.1371/journal.pone.0139309" TargetMode="External" /><Relationship Type="http://schemas.openxmlformats.org/officeDocument/2006/relationships/hyperlink" Id="rId109" Target="https://doi.org/10.1371/journal.pone.0248334" TargetMode="External" /><Relationship Type="http://schemas.openxmlformats.org/officeDocument/2006/relationships/hyperlink" Id="rId91" Target="https://doi.org/10.1371/journal.pone.0270429" TargetMode="External" /><Relationship Type="http://schemas.openxmlformats.org/officeDocument/2006/relationships/hyperlink" Id="rId15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63" Target="https://doi.org/10.1511/2021.109.4.226" TargetMode="External" /><Relationship Type="http://schemas.openxmlformats.org/officeDocument/2006/relationships/hyperlink" Id="rId157" Target="https://doi.org/10.17226/23595" TargetMode="External" /><Relationship Type="http://schemas.openxmlformats.org/officeDocument/2006/relationships/hyperlink" Id="rId117" Target="https://doi.org/10.2139/ssrn.4929030" TargetMode="External" /><Relationship Type="http://schemas.openxmlformats.org/officeDocument/2006/relationships/hyperlink" Id="rId83" Target="https://doi.org/10.31219/osf.io/k9m6e_v1" TargetMode="External" /><Relationship Type="http://schemas.openxmlformats.org/officeDocument/2006/relationships/hyperlink" Id="rId111" Target="https://doi.org/10.31219/osf.io/th953_v1" TargetMode="External" /><Relationship Type="http://schemas.openxmlformats.org/officeDocument/2006/relationships/hyperlink" Id="rId133" Target="https://doi.org/10.31219/osf.io/xb3ha" TargetMode="External" /><Relationship Type="http://schemas.openxmlformats.org/officeDocument/2006/relationships/hyperlink" Id="rId107" Target="https://doi.org/10.32872/spb.4315" TargetMode="External" /><Relationship Type="http://schemas.openxmlformats.org/officeDocument/2006/relationships/hyperlink" Id="rId89"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159" Target="https://theses.hal.science/tel-05281342"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9" Target="https://www.pewresearch.org/science/2020/08/26/on-the-intersection-of-science-and-religion/" TargetMode="External" /><Relationship Type="http://schemas.openxmlformats.org/officeDocument/2006/relationships/hyperlink" Id="rId131" Target="https://www.pewresearch.org/science/2024/11/14/public-trust-in-scientists-and-views-on-their-role-in-policymaking/" TargetMode="External" /><Relationship Type="http://schemas.openxmlformats.org/officeDocument/2006/relationships/hyperlink" Id="rId87" Target="https://www.pewresearch.org/science/feature/public-scientists-opinion-gap/" TargetMode="External" /><Relationship Type="http://schemas.openxmlformats.org/officeDocument/2006/relationships/hyperlink" Id="rId165"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GLOBAL EVIDENCE NEW DIRECTIONS</dc:description>
  <cp:keywords>trust, science</cp:keywords>
  <dcterms:created xsi:type="dcterms:W3CDTF">2025-09-29T14:42:59Z</dcterms:created>
  <dcterms:modified xsi:type="dcterms:W3CDTF">2025-09-29T14:42:59Z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Public trust in science is vital for tackling global challenges. Recently, global surveys and Many Labs collaborations have begun to broaden the scope of research. However, these studies have also highlighted theoretical and methodological challenges. Here, we review these challenges and argue that beyond expanding geographical coverage, greater conceptual clarity and harmonized measures are essential to improve comparability across studies on trust in science. We conclude by encouraging reflection on the normative assumptions that currently guide research on trust in science.</vt:lpwstr>
  </property>
  <property fmtid="{D5CDD505-2E9C-101B-9397-08002B2CF9AE}" pid="5" name="apaauthor">
    <vt:lpwstr/>
  </property>
  <property fmtid="{D5CDD505-2E9C-101B-9397-08002B2CF9AE}" pid="6" name="apatitle">
    <vt:lpwstr>Studying trust in science: Global evidence suggests new theoretical and methodological directions</vt:lpwstr>
  </property>
  <property fmtid="{D5CDD505-2E9C-101B-9397-08002B2CF9AE}" pid="7" name="apatitledisplay">
    <vt:lpwstr>Studying trust in science: Global evidence suggests new theoretical and methodological directions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elsevier-vancouver.csl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umber-depth">
    <vt:lpwstr>3</vt:lpwstr>
  </property>
  <property fmtid="{D5CDD505-2E9C-101B-9397-08002B2CF9AE}" pid="27" name="numbersection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GLOBAL EVIDENCE NEW DIRECTIONS</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n">
    <vt:lpwstr>2738</vt:lpwstr>
  </property>
  <property fmtid="{D5CDD505-2E9C-101B-9397-08002B2CF9AE}" pid="60" name="zerocitations">
    <vt:lpwstr>False</vt:lpwstr>
  </property>
</Properties>
</file>