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The rational impression account of trust in science</w:t>
      </w:r>
    </w:p>
    <w:p>
      <w:pPr>
        <w:pStyle w:val="Author"/>
      </w:pPr>
      <w:r>
        <w:t xml:space="preserve"> </w:t>
      </w:r>
    </w:p>
    <w:p>
      <w:pPr>
        <w:pStyle w:val="Author"/>
      </w:pPr>
      <w:r>
        <w:t xml:space="preserve">Jan Pfänder and Hugo Mercier</w:t>
      </w:r>
    </w:p>
    <w:p>
      <w:pPr>
        <w:pStyle w:val="Author"/>
      </w:pPr>
      <w:r>
        <w:t xml:space="preserve">Institut Jean Nicod, Département d’études cognitives, ENS, EHESS, PSL University, CNRS, France</w:t>
      </w:r>
    </w:p>
    <w:p>
      <w:pPr>
        <w:pStyle w:val="Author"/>
      </w:pPr>
      <w:r>
        <w:t xml:space="preserve">August 22, 2025</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Jan Pfänder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https://orcid.org/0009-0009-4389-2807</w:t>
        </w:r>
      </w:hyperlink>
    </w:p>
    <w:p>
      <w:pPr>
        <w:pStyle w:val="BodyText"/>
      </w:pPr>
      <w:r>
        <w:t xml:space="preserve">Hugo Mercier</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https://orcid.org/0000-0002-0575-7913</w:t>
        </w:r>
      </w:hyperlink>
    </w:p>
    <w:p>
      <w:pPr>
        <w:pStyle w:val="BodyText"/>
      </w:pPr>
      <w:r>
        <w:t xml:space="preserve">The authors have no conflicts of interest to disclose.</w:t>
      </w:r>
    </w:p>
    <w:p>
      <w:pPr>
        <w:pStyle w:val="BodyText"/>
      </w:pPr>
      <w:r>
        <w:t xml:space="preserve">Correspondence concerning this article should be addressed to Hugo Mercier, Institut Jean Nicod, Département d’études cognitives, ENS, EHESS, PSL University, CNRS, France, Email:</w:t>
      </w:r>
      <w:r>
        <w:t xml:space="preserve"> </w:t>
      </w:r>
      <w:hyperlink r:id="rId30">
        <w:r>
          <w:rPr>
            <w:rStyle w:val="Hyperlink"/>
          </w:rPr>
          <w:t xml:space="preserve">hugo.mercier@gmail.com</w:t>
        </w:r>
      </w:hyperlink>
    </w:p>
    <w:p>
      <w:r>
        <w:br w:type="page"/>
      </w:r>
    </w:p>
    <w:bookmarkEnd w:id="31"/>
    <w:bookmarkStart w:id="32" w:name="abstract"/>
    <w:p>
      <w:pPr>
        <w:pStyle w:val="Heading1"/>
      </w:pPr>
      <w:r>
        <w:t xml:space="preserve">Abstract</w:t>
      </w:r>
    </w:p>
    <w:p>
      <w:pPr>
        <w:pStyle w:val="FirstParagraph"/>
      </w:pPr>
      <w:r>
        <w:rPr>
          <w:i/>
          <w:iCs/>
        </w:rPr>
        <w:t xml:space="preserve">Keywords</w:t>
      </w:r>
      <w:r>
        <w:t xml:space="preserve">: trust in science, science literacy, deficit model</w:t>
      </w:r>
    </w:p>
    <w:p>
      <w:pPr>
        <w:pStyle w:val="BodyText"/>
      </w:pPr>
      <w:r>
        <w:rPr>
          <w:i/>
          <w:iCs/>
        </w:rPr>
        <w:t xml:space="preserve">Word Count</w:t>
      </w:r>
      <w:r>
        <w:t xml:space="preserve">: 6499</w:t>
      </w:r>
    </w:p>
    <w:p>
      <w:r>
        <w:br w:type="page"/>
      </w:r>
    </w:p>
    <w:bookmarkEnd w:id="32"/>
    <w:bookmarkStart w:id="33" w:name="firstheader"/>
    <w:p>
      <w:pPr>
        <w:pStyle w:val="Heading1"/>
      </w:pPr>
      <w:r>
        <w:t xml:space="preserve">The rational impression account of trust in science</w:t>
      </w:r>
    </w:p>
    <w:bookmarkEnd w:id="33"/>
    <w:bookmarkStart w:id="34" w:name="introduction"/>
    <w:p>
      <w:pPr>
        <w:pStyle w:val="Heading1"/>
      </w:pPr>
      <w:r>
        <w:t xml:space="preserve">Introduction</w:t>
      </w:r>
    </w:p>
    <w:p>
      <w:pPr>
        <w:pStyle w:val="FirstParagraph"/>
      </w:pPr>
      <w:r>
        <w:t xml:space="preserve">Addressing important societal challenges, from fighting climate change to managing pandemics, is greatly facilitated by trust in science. Studies have demonstrated that individuals with higher levels of trust in science are more likely to accept the scientific consensus on global warming</w:t>
      </w:r>
      <w:r>
        <w:t xml:space="preserve"> </w:t>
      </w:r>
      <w:r>
        <w:t xml:space="preserve">(</w:t>
      </w:r>
      <w:hyperlink w:anchor="ref-bogertEffectTrustScience2024">
        <w:r>
          <w:rPr>
            <w:rStyle w:val="Hyperlink"/>
          </w:rPr>
          <w:t xml:space="preserve">Bogert et al., 2024</w:t>
        </w:r>
      </w:hyperlink>
      <w:r>
        <w:t xml:space="preserve">)</w:t>
      </w:r>
      <w:r>
        <w:t xml:space="preserve">, to engage in pro-environmental behavior, and to support climate policies</w:t>
      </w:r>
      <w:r>
        <w:t xml:space="preserve"> </w:t>
      </w:r>
      <w:r>
        <w:t xml:space="preserve">(</w:t>
      </w:r>
      <w:hyperlink w:anchor="ref-colognaRoleTrustClimate2020">
        <w:r>
          <w:rPr>
            <w:rStyle w:val="Hyperlink"/>
          </w:rPr>
          <w:t xml:space="preserve">Cologna &amp; Siegrist, 2020</w:t>
        </w:r>
      </w:hyperlink>
      <w:r>
        <w:t xml:space="preserve">;</w:t>
      </w:r>
      <w:r>
        <w:t xml:space="preserve"> </w:t>
      </w:r>
      <w:hyperlink w:anchor="X9e57b75284c1d1f383f27761307e2ae9c251b25">
        <w:r>
          <w:rPr>
            <w:rStyle w:val="Hyperlink"/>
          </w:rPr>
          <w:t xml:space="preserve">Hornsey et al., 2016</w:t>
        </w:r>
      </w:hyperlink>
      <w:r>
        <w:t xml:space="preserve">)</w:t>
      </w:r>
      <w:r>
        <w:t xml:space="preserve">. Trust in science has also been shown to be positively associated with willingness to get vaccinated</w:t>
      </w:r>
      <w:r>
        <w:t xml:space="preserve"> </w:t>
      </w:r>
      <w:r>
        <w:t xml:space="preserve">(</w:t>
      </w:r>
      <w:hyperlink w:anchor="ref-sturgisTrustScienceSocial2021">
        <w:r>
          <w:rPr>
            <w:rStyle w:val="Hyperlink"/>
          </w:rPr>
          <w:t xml:space="preserve">Sturgis et al., 2021</w:t>
        </w:r>
      </w:hyperlink>
      <w:r>
        <w:t xml:space="preserve">; for Covid-19 in particular,</w:t>
      </w:r>
      <w:r>
        <w:t xml:space="preserve"> </w:t>
      </w:r>
      <w:hyperlink w:anchor="ref-lindholtPublicAcceptanceCOVID192021">
        <w:r>
          <w:rPr>
            <w:rStyle w:val="Hyperlink"/>
          </w:rPr>
          <w:t xml:space="preserve">Lindholt et al., 2021</w:t>
        </w:r>
      </w:hyperlink>
      <w:r>
        <w:t xml:space="preserve">)</w:t>
      </w:r>
      <w:r>
        <w:t xml:space="preserve">. During the Covid-19 pandemic, a panel study in 12 countries found that trust in scientists was the strongest predictor of whether people followed public health guidelines, such as mask-wearing or social distancing</w:t>
      </w:r>
      <w:r>
        <w:t xml:space="preserve"> </w:t>
      </w:r>
      <w:r>
        <w:t xml:space="preserve">(</w:t>
      </w:r>
      <w:hyperlink w:anchor="ref-alganTrustScientistsTimes2021">
        <w:r>
          <w:rPr>
            <w:rStyle w:val="Hyperlink"/>
          </w:rPr>
          <w:t xml:space="preserve">Algan et al., 2021</w:t>
        </w:r>
      </w:hyperlink>
      <w:r>
        <w:t xml:space="preserve">)</w:t>
      </w:r>
      <w:r>
        <w:t xml:space="preserve">. Similar results have been found by other studies</w:t>
      </w:r>
      <w:r>
        <w:t xml:space="preserve"> </w:t>
      </w:r>
      <w:r>
        <w:t xml:space="preserve">(e.g., positive effects of trust in science on acceptance of social distancing in the US,</w:t>
      </w:r>
      <w:r>
        <w:t xml:space="preserve"> </w:t>
      </w:r>
      <w:hyperlink w:anchor="ref-koetkeTrustScienceIncreases2021">
        <w:r>
          <w:rPr>
            <w:rStyle w:val="Hyperlink"/>
          </w:rPr>
          <w:t xml:space="preserve">Koetke et al., 2021</w:t>
        </w:r>
      </w:hyperlink>
      <w:r>
        <w:t xml:space="preserve">)</w:t>
      </w:r>
      <w:r>
        <w:t xml:space="preserve">.</w:t>
      </w:r>
    </w:p>
    <w:p>
      <w:pPr>
        <w:pStyle w:val="BodyText"/>
      </w:pPr>
      <w:r>
        <w:t xml:space="preserve">Given the individual and social cost of a lack of trust in science, most studies have focused on understanding why some people do not trust science. However, it also important to understand why most people</w:t>
      </w:r>
      <w:r>
        <w:t xml:space="preserve"> </w:t>
      </w:r>
      <w:r>
        <w:rPr>
          <w:i/>
          <w:iCs/>
        </w:rPr>
        <w:t xml:space="preserve">do</w:t>
      </w:r>
      <w:r>
        <w:t xml:space="preserve"> </w:t>
      </w:r>
      <w:r>
        <w:t xml:space="preserve">trust science: it is important theoretically, as this trust could stem from very different processes–from blind deference to a rational assessment of scientific evidence; it is important practically, as, depending on why people trust science, different interventions aimed at increasing trust in science could be conceived. Here, we argue that, even though people do not know much about science, their trust in science can still be rational.</w:t>
      </w:r>
    </w:p>
    <w:p>
      <w:pPr>
        <w:pStyle w:val="BodyText"/>
      </w:pPr>
      <w:r>
        <w:t xml:space="preserve">We start by reviewing work on explanations for variations in trust in science, arguing that this work has not fully solved a basic puzzle: why do most people tend to trust science, in spite of knowing so little about it?</w:t>
      </w:r>
    </w:p>
    <w:p>
      <w:pPr>
        <w:pStyle w:val="BodyText"/>
      </w:pPr>
      <w:r>
        <w:t xml:space="preserve">To solve this puzzle, we then develop a</w:t>
      </w:r>
      <w:r>
        <w:t xml:space="preserve"> </w:t>
      </w:r>
      <w:r>
        <w:rPr>
          <w:i/>
          <w:iCs/>
        </w:rPr>
        <w:t xml:space="preserve">rational impression account</w:t>
      </w:r>
      <w:r>
        <w:t xml:space="preserve"> </w:t>
      </w:r>
      <w:r>
        <w:t xml:space="preserve">of trust in science. According to this account, people do not need a profound understanding or detailed knowledge of science to rationally perceive it as trustworthy. Instead, by appealing to basic cognitive mechanisms of information evaluation, science impresses people, who then mostly forget what had impressed them.</w:t>
      </w:r>
    </w:p>
    <w:bookmarkEnd w:id="34"/>
    <w:bookmarkStart w:id="39" w:name="the-puzzle-of-why-people-trust-science"/>
    <w:p>
      <w:pPr>
        <w:pStyle w:val="Heading1"/>
      </w:pPr>
      <w:r>
        <w:t xml:space="preserve">The puzzle of why people trust science</w:t>
      </w:r>
    </w:p>
    <w:p>
      <w:pPr>
        <w:pStyle w:val="FirstParagraph"/>
      </w:pPr>
      <w:r>
        <w:t xml:space="preserve">A widely agreed-upon definition of trust is the willingness to be vulnerable to another party–whether an individual, a group, or an institution</w:t>
      </w:r>
      <w:r>
        <w:t xml:space="preserve"> </w:t>
      </w:r>
      <w:r>
        <w:t xml:space="preserve">(</w:t>
      </w:r>
      <w:hyperlink w:anchor="Xf60adf044fc07610415de85807200773c160844">
        <w:r>
          <w:rPr>
            <w:rStyle w:val="Hyperlink"/>
          </w:rPr>
          <w:t xml:space="preserve">Mayer et al., 1995</w:t>
        </w:r>
      </w:hyperlink>
      <w:r>
        <w:t xml:space="preserve">;</w:t>
      </w:r>
      <w:r>
        <w:t xml:space="preserve"> </w:t>
      </w:r>
      <w:hyperlink w:anchor="ref-rousseauIntroductionSpecialTopic1998">
        <w:r>
          <w:rPr>
            <w:rStyle w:val="Hyperlink"/>
          </w:rPr>
          <w:t xml:space="preserve">Rousseau et al., 1998</w:t>
        </w:r>
      </w:hyperlink>
      <w:r>
        <w:t xml:space="preserve">)</w:t>
      </w:r>
      <w:r>
        <w:t xml:space="preserve">. Building on this idea, trust in science has been defined as</w:t>
      </w:r>
      <w:r>
        <w:t xml:space="preserve"> </w:t>
      </w:r>
      <w:r>
        <w:t xml:space="preserve">“one’s willingness to rely on science and scientists (as representatives of the system) despite having a bounded understanding of science”</w:t>
      </w:r>
      <w:r>
        <w:t xml:space="preserve"> </w:t>
      </w:r>
      <w:r>
        <w:t xml:space="preserve">(</w:t>
      </w:r>
      <w:hyperlink w:anchor="ref-wintterlinPredictingPublicTrust2022">
        <w:r>
          <w:rPr>
            <w:rStyle w:val="Hyperlink"/>
          </w:rPr>
          <w:t xml:space="preserve">Wintterlin et al., 2022, p. 2</w:t>
        </w:r>
      </w:hyperlink>
      <w:r>
        <w:t xml:space="preserve">)</w:t>
      </w:r>
      <w:r>
        <w:t xml:space="preserve">. This definition implies that trust in science goes beyond knowledge of science. Yet, the idea that knowledge of science is the primary cause of trust in–and more generally positive attitudes towards–science has long dominated research on public understanding of science</w:t>
      </w:r>
      <w:r>
        <w:t xml:space="preserve"> </w:t>
      </w:r>
      <w:r>
        <w:t xml:space="preserve">(</w:t>
      </w:r>
      <w:hyperlink w:anchor="ref-bauerWhatCanWe2007">
        <w:r>
          <w:rPr>
            <w:rStyle w:val="Hyperlink"/>
          </w:rPr>
          <w:t xml:space="preserve">Bauer et al., 2007</w:t>
        </w:r>
      </w:hyperlink>
      <w:r>
        <w:t xml:space="preserve">)</w:t>
      </w:r>
      <w:r>
        <w:t xml:space="preserve">. This idea is widely known under the term</w:t>
      </w:r>
      <w:r>
        <w:t xml:space="preserve"> </w:t>
      </w:r>
      <w:r>
        <w:t xml:space="preserve">“deficit model”</w:t>
      </w:r>
      <w:r>
        <w:t xml:space="preserve">, because much of the literature attested to the public</w:t>
      </w:r>
      <w:r>
        <w:t xml:space="preserve"> </w:t>
      </w:r>
      <w:r>
        <w:t xml:space="preserve">“depressingly low levels of scientific knowledge”</w:t>
      </w:r>
      <w:r>
        <w:t xml:space="preserve"> </w:t>
      </w:r>
      <w:r>
        <w:t xml:space="preserve">that were assumed to be the principal cause of negative attitudes towards science</w:t>
      </w:r>
      <w:r>
        <w:t xml:space="preserve"> </w:t>
      </w:r>
      <w:r>
        <w:t xml:space="preserve">(</w:t>
      </w:r>
      <w:hyperlink w:anchor="Xe774f493601ec5fa2b1ca29c52adfcb7eeef42c">
        <w:r>
          <w:rPr>
            <w:rStyle w:val="Hyperlink"/>
          </w:rPr>
          <w:t xml:space="preserve">Sturgis &amp; Allum, 2004, p. 56</w:t>
        </w:r>
      </w:hyperlink>
      <w:r>
        <w:t xml:space="preserve">)</w:t>
      </w:r>
      <w:r>
        <w:t xml:space="preserve">.</w:t>
      </w:r>
    </w:p>
    <w:p>
      <w:pPr>
        <w:pStyle w:val="BodyText"/>
      </w:pPr>
      <w:r>
        <w:t xml:space="preserve">The deficit model has been criticized for idealizing science and viewing the public as deficient and irrational</w:t>
      </w:r>
      <w:r>
        <w:t xml:space="preserve"> </w:t>
      </w:r>
      <w:r>
        <w:t xml:space="preserve">(</w:t>
      </w:r>
      <w:hyperlink w:anchor="ref-bauerWhatCanWe2007">
        <w:r>
          <w:rPr>
            <w:rStyle w:val="Hyperlink"/>
          </w:rPr>
          <w:t xml:space="preserve">Bauer et al., 2007</w:t>
        </w:r>
      </w:hyperlink>
      <w:r>
        <w:t xml:space="preserve">;</w:t>
      </w:r>
      <w:r>
        <w:t xml:space="preserve"> </w:t>
      </w:r>
      <w:hyperlink w:anchor="ref-gauchatCulturalAuthorityScience2011">
        <w:r>
          <w:rPr>
            <w:rStyle w:val="Hyperlink"/>
          </w:rPr>
          <w:t xml:space="preserve">Gauchat, 2011</w:t>
        </w:r>
      </w:hyperlink>
      <w:r>
        <w:t xml:space="preserve">)</w:t>
      </w:r>
      <w:r>
        <w:t xml:space="preserve">. Moreover, as reviewed below, the relationship between science knowledge and trust in science is rather tenuous. As a result, the literature has mostly moved beyond the idea of science knowledge as the principle driver of trust in science. However, the focus on explaining a lack of trust, rather than trust, persists.</w:t>
      </w:r>
    </w:p>
    <w:p>
      <w:pPr>
        <w:pStyle w:val="BodyText"/>
      </w:pPr>
      <w:r>
        <w:t xml:space="preserve">Researchers have increasingly turned to how people’s values, world views, and identities shape their attitudes towards science</w:t>
      </w:r>
      <w:r>
        <w:t xml:space="preserve"> </w:t>
      </w:r>
      <w:r>
        <w:t xml:space="preserve">(</w:t>
      </w:r>
      <w:hyperlink w:anchor="ref-hornseyAttitudeRootsJiu2017a">
        <w:r>
          <w:rPr>
            <w:rStyle w:val="Hyperlink"/>
          </w:rPr>
          <w:t xml:space="preserve">Hornsey &amp; Fielding, 2017</w:t>
        </w:r>
      </w:hyperlink>
      <w:r>
        <w:t xml:space="preserve">;</w:t>
      </w:r>
      <w:r>
        <w:t xml:space="preserve"> </w:t>
      </w:r>
      <w:hyperlink w:anchor="X3451f52acce70bd6874021632b5ca886fc6dda3">
        <w:r>
          <w:rPr>
            <w:rStyle w:val="Hyperlink"/>
          </w:rPr>
          <w:t xml:space="preserve">Lewandowsky &amp; Oberauer, 2021</w:t>
        </w:r>
      </w:hyperlink>
      <w:r>
        <w:t xml:space="preserve">)</w:t>
      </w:r>
      <w:r>
        <w:t xml:space="preserve">. The psychological literature has focused on explaining negative attitudes towards science with motivated reasoning–selecting and interpreting information to match one’s existing beliefs or behaviors</w:t>
      </w:r>
      <w:r>
        <w:t xml:space="preserve"> </w:t>
      </w:r>
      <w:r>
        <w:t xml:space="preserve">(</w:t>
      </w:r>
      <w:hyperlink w:anchor="ref-hornseyWhyFactsAre2020">
        <w:r>
          <w:rPr>
            <w:rStyle w:val="Hyperlink"/>
          </w:rPr>
          <w:t xml:space="preserve">Hornsey, 2020</w:t>
        </w:r>
      </w:hyperlink>
      <w:r>
        <w:t xml:space="preserve">;</w:t>
      </w:r>
      <w:r>
        <w:t xml:space="preserve"> </w:t>
      </w:r>
      <w:hyperlink w:anchor="X8cce04bf7726b5fe351c7c2fbe37425a471a11c">
        <w:r>
          <w:rPr>
            <w:rStyle w:val="Hyperlink"/>
          </w:rPr>
          <w:t xml:space="preserve">Lewandowsky et al., 2013</w:t>
        </w:r>
      </w:hyperlink>
      <w:r>
        <w:t xml:space="preserve">;</w:t>
      </w:r>
      <w:r>
        <w:t xml:space="preserve"> </w:t>
      </w:r>
      <w:hyperlink w:anchor="X5c8108ed84245ea079ad53e9a4cd4476fe94b1b">
        <w:r>
          <w:rPr>
            <w:rStyle w:val="Hyperlink"/>
          </w:rPr>
          <w:t xml:space="preserve">Lewandowsky &amp; Oberauer, 2016</w:t>
        </w:r>
      </w:hyperlink>
      <w:r>
        <w:t xml:space="preserve">)</w:t>
      </w:r>
      <w:r>
        <w:t xml:space="preserve">. This research mostly suggests that certain psychological traits, such as a social dominance orientation, or a tendency to engage in conspiracy thinking, lead people to reject science. Arguments on a general conspiratory thinking style as one of the root causes of science rejection shift the debate, to some extent, from a knowledge deficit to a broader reasoning deficit</w:t>
      </w:r>
      <w:r>
        <w:t xml:space="preserve"> </w:t>
      </w:r>
      <w:r>
        <w:t xml:space="preserve">(</w:t>
      </w:r>
      <w:hyperlink w:anchor="ref-hornseyAttitudeRootsJiu2017a">
        <w:r>
          <w:rPr>
            <w:rStyle w:val="Hyperlink"/>
          </w:rPr>
          <w:t xml:space="preserve">Hornsey &amp; Fielding, 2017</w:t>
        </w:r>
      </w:hyperlink>
      <w:r>
        <w:t xml:space="preserve">;</w:t>
      </w:r>
      <w:r>
        <w:t xml:space="preserve"> </w:t>
      </w:r>
      <w:hyperlink w:anchor="ref-rutjensConspiracyBeliefsScience2022">
        <w:r>
          <w:rPr>
            <w:rStyle w:val="Hyperlink"/>
          </w:rPr>
          <w:t xml:space="preserve">Rutjens &amp; Većkalov, 2022</w:t>
        </w:r>
      </w:hyperlink>
      <w:r>
        <w:t xml:space="preserve">)</w:t>
      </w:r>
      <w:r>
        <w:t xml:space="preserve">.</w:t>
      </w:r>
    </w:p>
    <w:p>
      <w:pPr>
        <w:pStyle w:val="BodyText"/>
      </w:pPr>
      <w:r>
        <w:t xml:space="preserve">Since the Covid-19 pandemic, the role of misinformation in fostering distrust in science has received more attention</w:t>
      </w:r>
      <w:r>
        <w:t xml:space="preserve"> </w:t>
      </w:r>
      <w:r>
        <w:t xml:space="preserve">(</w:t>
      </w:r>
      <w:hyperlink w:anchor="Xc900ab6802c75bf5233fe72972aab9d24342892">
        <w:r>
          <w:rPr>
            <w:rStyle w:val="Hyperlink"/>
          </w:rPr>
          <w:t xml:space="preserve">Druckman, 2022</w:t>
        </w:r>
      </w:hyperlink>
      <w:r>
        <w:t xml:space="preserve">;</w:t>
      </w:r>
      <w:r>
        <w:t xml:space="preserve"> </w:t>
      </w:r>
      <w:hyperlink w:anchor="X0333fa0217f4e6b211b693cae3be5570d8405be">
        <w:r>
          <w:rPr>
            <w:rStyle w:val="Hyperlink"/>
          </w:rPr>
          <w:t xml:space="preserve">National Academies of Sciences, 2024</w:t>
        </w:r>
      </w:hyperlink>
      <w:r>
        <w:t xml:space="preserve">;</w:t>
      </w:r>
      <w:r>
        <w:t xml:space="preserve"> </w:t>
      </w:r>
      <w:hyperlink w:anchor="Xce4e5bd21842652d9d0efddb020e78438aef38c">
        <w:r>
          <w:rPr>
            <w:rStyle w:val="Hyperlink"/>
          </w:rPr>
          <w:t xml:space="preserve">Scheufele &amp; Krause, 2019</w:t>
        </w:r>
      </w:hyperlink>
      <w:r>
        <w:t xml:space="preserve">)</w:t>
      </w:r>
      <w:r>
        <w:t xml:space="preserve">. For this literature, by contrast with the deficit model, the problem of trust in science is less a lack of information, and more the abundance of harmful information.</w:t>
      </w:r>
    </w:p>
    <w:p>
      <w:pPr>
        <w:pStyle w:val="BodyText"/>
      </w:pPr>
      <w:r>
        <w:t xml:space="preserve">By contrast with the deficit model and its stress on content, more recent literature in science communication has shifted the focus on source-based explanations of trust: from science knowledge to perceptions of scientists. This work has established that people evaluate scientists along different dimensions</w:t>
      </w:r>
      <w:r>
        <w:t xml:space="preserve"> </w:t>
      </w:r>
      <w:r>
        <w:t xml:space="preserve">(</w:t>
      </w:r>
      <w:hyperlink w:anchor="Xa84c5cd4017c126ccfc0f070bb3b60eaf6def12">
        <w:r>
          <w:rPr>
            <w:rStyle w:val="Hyperlink"/>
          </w:rPr>
          <w:t xml:space="preserve">Intemann, 2023</w:t>
        </w:r>
      </w:hyperlink>
      <w:r>
        <w:t xml:space="preserve">)</w:t>
      </w:r>
      <w:r>
        <w:t xml:space="preserve">, including competence, but also also integrity, benevolence, or openness</w:t>
      </w:r>
      <w:r>
        <w:t xml:space="preserve"> </w:t>
      </w:r>
      <w:r>
        <w:t xml:space="preserve">(</w:t>
      </w:r>
      <w:hyperlink w:anchor="ref-besleyReassessingVariablesUsed2021a">
        <w:r>
          <w:rPr>
            <w:rStyle w:val="Hyperlink"/>
          </w:rPr>
          <w:t xml:space="preserve">Besley et al., 2021</w:t>
        </w:r>
      </w:hyperlink>
      <w:r>
        <w:t xml:space="preserve">;</w:t>
      </w:r>
      <w:r>
        <w:t xml:space="preserve"> </w:t>
      </w:r>
      <w:hyperlink w:anchor="ref-hendriksMeasuringLaypeoplesTrust2015">
        <w:r>
          <w:rPr>
            <w:rStyle w:val="Hyperlink"/>
          </w:rPr>
          <w:t xml:space="preserve">Hendriks et al., 2015</w:t>
        </w:r>
      </w:hyperlink>
      <w:r>
        <w:t xml:space="preserve">)</w:t>
      </w:r>
      <w:r>
        <w:t xml:space="preserve">. This literature suggests that, for enhancing trust in science, the latter, warmth-related dimensions could be particularly relevant</w:t>
      </w:r>
      <w:r>
        <w:t xml:space="preserve"> </w:t>
      </w:r>
      <w:r>
        <w:t xml:space="preserve">(</w:t>
      </w:r>
      <w:hyperlink w:anchor="ref-fiskeGainingTrustWell2014">
        <w:r>
          <w:rPr>
            <w:rStyle w:val="Hyperlink"/>
          </w:rPr>
          <w:t xml:space="preserve">Fiske &amp; Dupree, 2014</w:t>
        </w:r>
      </w:hyperlink>
      <w:r>
        <w:t xml:space="preserve">)</w:t>
      </w:r>
      <w:r>
        <w:t xml:space="preserve">: people would already perceive scientists as very competent, but not as very warm, thus offering a greater margin for improvement.</w:t>
      </w:r>
    </w:p>
    <w:p>
      <w:pPr>
        <w:pStyle w:val="BodyText"/>
      </w:pPr>
      <w:r>
        <w:t xml:space="preserve">Another explanation for distrust towards science is the alienation model</w:t>
      </w:r>
      <w:r>
        <w:t xml:space="preserve"> </w:t>
      </w:r>
      <w:r>
        <w:t xml:space="preserve">(</w:t>
      </w:r>
      <w:hyperlink w:anchor="ref-gauchatCulturalAuthorityScience2011">
        <w:r>
          <w:rPr>
            <w:rStyle w:val="Hyperlink"/>
          </w:rPr>
          <w:t xml:space="preserve">Gauchat, 2011</w:t>
        </w:r>
      </w:hyperlink>
      <w:r>
        <w:t xml:space="preserve">)</w:t>
      </w:r>
      <w:r>
        <w:t xml:space="preserve">. According to this model, the</w:t>
      </w:r>
      <w:r>
        <w:t xml:space="preserve"> </w:t>
      </w:r>
      <w:r>
        <w:t xml:space="preserve">“public disassociation with science is a symptom of a general disenchantment with late modernity, mainly, the limitations associated with codified expertise, rational bureaucracy, and institutional authority”</w:t>
      </w:r>
      <w:r>
        <w:t xml:space="preserve"> </w:t>
      </w:r>
      <w:r>
        <w:t xml:space="preserve">(</w:t>
      </w:r>
      <w:hyperlink w:anchor="ref-gauchatCulturalAuthorityScience2011">
        <w:r>
          <w:rPr>
            <w:rStyle w:val="Hyperlink"/>
          </w:rPr>
          <w:t xml:space="preserve">Gauchat, 2011, p. 2</w:t>
        </w:r>
      </w:hyperlink>
      <w:r>
        <w:t xml:space="preserve">)</w:t>
      </w:r>
      <w:r>
        <w:t xml:space="preserve">. This explanation builds on the work of social theorists</w:t>
      </w:r>
      <w:r>
        <w:t xml:space="preserve"> </w:t>
      </w:r>
      <w:r>
        <w:t xml:space="preserve">(</w:t>
      </w:r>
      <w:hyperlink w:anchor="ref-beckRiskSocietyNew1992">
        <w:r>
          <w:rPr>
            <w:rStyle w:val="Hyperlink"/>
          </w:rPr>
          <w:t xml:space="preserve">Beck, 1992</w:t>
        </w:r>
      </w:hyperlink>
      <w:r>
        <w:t xml:space="preserve">;</w:t>
      </w:r>
      <w:r>
        <w:t xml:space="preserve"> </w:t>
      </w:r>
      <w:hyperlink w:anchor="ref-giddensModernitySelfidentitySelf1991">
        <w:r>
          <w:rPr>
            <w:rStyle w:val="Hyperlink"/>
          </w:rPr>
          <w:t xml:space="preserve">Giddens, 1991</w:t>
        </w:r>
      </w:hyperlink>
      <w:r>
        <w:t xml:space="preserve">;</w:t>
      </w:r>
      <w:r>
        <w:t xml:space="preserve"> </w:t>
      </w:r>
      <w:hyperlink w:anchor="ref-habermasJurgenHabermasSociety1989">
        <w:r>
          <w:rPr>
            <w:rStyle w:val="Hyperlink"/>
          </w:rPr>
          <w:t xml:space="preserve">Habermas, 1989</w:t>
        </w:r>
      </w:hyperlink>
      <w:r>
        <w:t xml:space="preserve">; see</w:t>
      </w:r>
      <w:r>
        <w:t xml:space="preserve"> </w:t>
      </w:r>
      <w:hyperlink w:anchor="ref-gauchatCulturalAuthorityScience2011">
        <w:r>
          <w:rPr>
            <w:rStyle w:val="Hyperlink"/>
          </w:rPr>
          <w:t xml:space="preserve">Gauchat, 2011</w:t>
        </w:r>
      </w:hyperlink>
      <w:r>
        <w:t xml:space="preserve"> </w:t>
      </w:r>
      <w:r>
        <w:t xml:space="preserve">for an overview)</w:t>
      </w:r>
      <w:r>
        <w:t xml:space="preserve"> </w:t>
      </w:r>
      <w:r>
        <w:t xml:space="preserve">who suggested that a modern, complex world increasingly requires expertise, and thus shapes institutions of knowledge elites. People who are not part of these institutions experience a lack of agency, resulting in a feeling of alienation.</w:t>
      </w:r>
    </w:p>
    <w:p>
      <w:pPr>
        <w:pStyle w:val="BodyText"/>
      </w:pPr>
      <w:r>
        <w:t xml:space="preserve">Overall, as reviews of science-society research have noted, the literature continues to operate in</w:t>
      </w:r>
      <w:r>
        <w:t xml:space="preserve"> </w:t>
      </w:r>
      <w:r>
        <w:t xml:space="preserve">“deficit”</w:t>
      </w:r>
      <w:r>
        <w:t xml:space="preserve"> </w:t>
      </w:r>
      <w:r>
        <w:t xml:space="preserve">paradigms</w:t>
      </w:r>
      <w:r>
        <w:t xml:space="preserve"> </w:t>
      </w:r>
      <w:r>
        <w:t xml:space="preserve">(</w:t>
      </w:r>
      <w:hyperlink w:anchor="ref-bauerWhatCanWe2007">
        <w:r>
          <w:rPr>
            <w:rStyle w:val="Hyperlink"/>
          </w:rPr>
          <w:t xml:space="preserve">Bauer et al., 2007</w:t>
        </w:r>
      </w:hyperlink>
      <w:r>
        <w:t xml:space="preserve">;</w:t>
      </w:r>
      <w:r>
        <w:t xml:space="preserve"> </w:t>
      </w:r>
      <w:hyperlink w:anchor="ref-scheufeleThirtyYearsScience2022">
        <w:r>
          <w:rPr>
            <w:rStyle w:val="Hyperlink"/>
          </w:rPr>
          <w:t xml:space="preserve">Scheufele, 2022</w:t>
        </w:r>
      </w:hyperlink>
      <w:r>
        <w:t xml:space="preserve">)</w:t>
      </w:r>
      <w:r>
        <w:t xml:space="preserve"> </w:t>
      </w:r>
      <w:r>
        <w:t xml:space="preserve">which focus on why some people do not trust science, and do not attempt to explain the elevated levels of trust in science observed in most places in the world, as reviewed presently.</w:t>
      </w:r>
    </w:p>
    <w:bookmarkStart w:id="36" w:name="people-tend-to-trust-science"/>
    <w:p>
      <w:pPr>
        <w:pStyle w:val="Heading2"/>
      </w:pPr>
      <w:r>
        <w:t xml:space="preserve">People tend to trust science</w:t>
      </w:r>
    </w:p>
    <w:p>
      <w:pPr>
        <w:pStyle w:val="FirstParagraph"/>
      </w:pPr>
      <w:r>
        <w:t xml:space="preserve">Across the globe, most people do trust science, at least to some extent. A recent study in 68 countries found that, across the globe, trust in scientists was</w:t>
      </w:r>
      <w:r>
        <w:t xml:space="preserve"> </w:t>
      </w:r>
      <w:r>
        <w:t xml:space="preserve">“moderately high”</w:t>
      </w:r>
      <w:r>
        <w:t xml:space="preserve"> </w:t>
      </w:r>
      <w:r>
        <w:t xml:space="preserve">(mean = 3.62; sd= 0.70; Scale: 1 = very low, 2 = somewhat low, 3 = neither high nor low, 4 = somewhat high, 5 = very high), with not a single country below midpoint trust</w:t>
      </w:r>
      <w:r>
        <w:t xml:space="preserve"> </w:t>
      </w:r>
      <w:r>
        <w:t xml:space="preserve">(</w:t>
      </w:r>
      <w:hyperlink w:anchor="ref-colognaTrustScientistsTheir2025">
        <w:r>
          <w:rPr>
            <w:rStyle w:val="Hyperlink"/>
          </w:rPr>
          <w:t xml:space="preserve">Cologna et al., 2025</w:t>
        </w:r>
      </w:hyperlink>
      <w:r>
        <w:t xml:space="preserve">)</w:t>
      </w:r>
      <w:r>
        <w:t xml:space="preserve">. Long-term global data on trust in science across time is sparse, yet the available data suggests, if anything, a recent increase of trust in science: In 2018, the Wellcome Global Monitor (WGM) surveyed of over 140000 people in over 140 countries on trust in science</w:t>
      </w:r>
      <w:r>
        <w:t xml:space="preserve"> </w:t>
      </w:r>
      <w:r>
        <w:t xml:space="preserve">(</w:t>
      </w:r>
      <w:hyperlink w:anchor="X02cb954775672ff7129fb691e9fce8f78cf2ad5">
        <w:r>
          <w:rPr>
            <w:rStyle w:val="Hyperlink"/>
          </w:rPr>
          <w:t xml:space="preserve">Wellcome Global Monitor, 2018</w:t>
        </w:r>
      </w:hyperlink>
      <w:r>
        <w:t xml:space="preserve">)</w:t>
      </w:r>
      <w:r>
        <w:t xml:space="preserve">. In 2020, during the first year of the Covid pandemic and before vaccines were widely available, a follow-up survey was conducted in 113 countries, involving 119000 participants</w:t>
      </w:r>
      <w:r>
        <w:t xml:space="preserve"> </w:t>
      </w:r>
      <w:r>
        <w:t xml:space="preserve">(</w:t>
      </w:r>
      <w:hyperlink w:anchor="X1228c58a1af7bd8622fc2077f37041e3a35d250">
        <w:r>
          <w:rPr>
            <w:rStyle w:val="Hyperlink"/>
          </w:rPr>
          <w:t xml:space="preserve">Wellcome Global Monitor, 2020</w:t>
        </w:r>
      </w:hyperlink>
      <w:r>
        <w:t xml:space="preserve">)</w:t>
      </w:r>
      <w:r>
        <w:t xml:space="preserve">. Between these two surveys, on average, trust in science had risen</w:t>
      </w:r>
      <w:r>
        <w:t xml:space="preserve"> </w:t>
      </w:r>
      <w:r>
        <w:t xml:space="preserve">(</w:t>
      </w:r>
      <w:hyperlink w:anchor="X2a7f34c2b2647fd3274b4981cb581c254c5c6ac">
        <w:r>
          <w:rPr>
            <w:rStyle w:val="Hyperlink"/>
          </w:rPr>
          <w:t xml:space="preserve">Wellcome Global Monitor, 2021</w:t>
        </w:r>
      </w:hyperlink>
      <w:r>
        <w:t xml:space="preserve">)</w:t>
      </w:r>
      <w:r>
        <w:t xml:space="preserve">: In 2020, 41% (32% in 2018) of respondents said they trust science a lot, 39% (45% in 2018) said they trust science to some extent, 13% (also 13% in 2018) said they trust science</w:t>
      </w:r>
      <w:r>
        <w:t xml:space="preserve"> </w:t>
      </w:r>
      <w:r>
        <w:t xml:space="preserve">“not much or not at all”</w:t>
      </w:r>
      <w:r>
        <w:t xml:space="preserve"> </w:t>
      </w:r>
      <w:r>
        <w:t xml:space="preserve">(with the rest answering“don’t know”).</w:t>
      </w:r>
    </w:p>
    <w:p>
      <w:pPr>
        <w:pStyle w:val="BodyText"/>
      </w:pPr>
      <w:r>
        <w:t xml:space="preserve">In the US, where long term data is available from the US General Social Survey (GSS), this public trust appears to be both remarkably stable and elevated relative to other institutions</w:t>
      </w:r>
      <w:r>
        <w:t xml:space="preserve"> </w:t>
      </w:r>
      <w:r>
        <w:t xml:space="preserve">(</w:t>
      </w:r>
      <w:hyperlink w:anchor="ref-funkScienceScientistsHeld2020">
        <w:r>
          <w:rPr>
            <w:rStyle w:val="Hyperlink"/>
          </w:rPr>
          <w:t xml:space="preserve">Funk et al., 2020</w:t>
        </w:r>
      </w:hyperlink>
      <w:r>
        <w:t xml:space="preserve">;</w:t>
      </w:r>
      <w:r>
        <w:t xml:space="preserve"> </w:t>
      </w:r>
      <w:hyperlink w:anchor="ref-funkPublicConfidenceScientists2020">
        <w:r>
          <w:rPr>
            <w:rStyle w:val="Hyperlink"/>
          </w:rPr>
          <w:t xml:space="preserve">Funk &amp; Kennedy, 2020</w:t>
        </w:r>
      </w:hyperlink>
      <w:r>
        <w:t xml:space="preserve">;</w:t>
      </w:r>
      <w:r>
        <w:t xml:space="preserve"> </w:t>
      </w:r>
      <w:hyperlink w:anchor="ref-smithTrendsPublicAttitudes2013">
        <w:r>
          <w:rPr>
            <w:rStyle w:val="Hyperlink"/>
          </w:rPr>
          <w:t xml:space="preserve">Smith &amp; Son, 2013</w:t>
        </w:r>
      </w:hyperlink>
      <w:r>
        <w:t xml:space="preserve">)</w:t>
      </w:r>
      <w:r>
        <w:t xml:space="preserve">: From the early 1970s to 2022, the currently the largest available time span, on average 43% of Americans say they have a great deal of confidence in the scientific community. This is the second highest score (just behind medicine, 45%) among 13 institutions listed in the GSS, surpassing e.g., the Supreme Court, organized religion, or the military</w:t>
      </w:r>
      <w:r>
        <w:rPr>
          <w:rStyle w:val="FootnoteReference"/>
        </w:rPr>
        <w:footnoteReference w:id="35"/>
      </w:r>
      <w:r>
        <w:t xml:space="preserve">. Note, however, that the most recent polls suggest a small drop in trust in science in the US</w:t>
      </w:r>
      <w:r>
        <w:t xml:space="preserve"> </w:t>
      </w:r>
      <w:r>
        <w:t xml:space="preserve">(</w:t>
      </w:r>
      <w:hyperlink w:anchor="ref-lupiaTrendsUSPublic2024">
        <w:r>
          <w:rPr>
            <w:rStyle w:val="Hyperlink"/>
          </w:rPr>
          <w:t xml:space="preserve">Lupia et al., 2024</w:t>
        </w:r>
      </w:hyperlink>
      <w:r>
        <w:t xml:space="preserve">)</w:t>
      </w:r>
      <w:r>
        <w:t xml:space="preserve">.</w:t>
      </w:r>
    </w:p>
    <w:bookmarkEnd w:id="36"/>
    <w:bookmarkStart w:id="38" w:name="people-do-not-know-much-about-science"/>
    <w:p>
      <w:pPr>
        <w:pStyle w:val="Heading2"/>
      </w:pPr>
      <w:r>
        <w:t xml:space="preserve">People do not know much about science</w:t>
      </w:r>
    </w:p>
    <w:p>
      <w:pPr>
        <w:pStyle w:val="FirstParagraph"/>
      </w:pPr>
      <w:r>
        <w:t xml:space="preserve">As mentioned above, one of the main issues with the deficit model of trust in science is that the relatively high levels of trust in science do not seem to be matched by commensurate levels of science knowledge.</w:t>
      </w:r>
    </w:p>
    <w:p>
      <w:pPr>
        <w:pStyle w:val="BodyText"/>
      </w:pPr>
      <w:r>
        <w:t xml:space="preserve">Early attempts of measuring science knowledge have developed what is known as the</w:t>
      </w:r>
      <w:r>
        <w:t xml:space="preserve"> </w:t>
      </w:r>
      <w:r>
        <w:t xml:space="preserve">“Oxford scale”</w:t>
      </w:r>
      <w:r>
        <w:t xml:space="preserve"> </w:t>
      </w:r>
      <w:r>
        <w:t xml:space="preserve">(</w:t>
      </w:r>
      <w:hyperlink w:anchor="tbl-oxford">
        <w:r>
          <w:rPr>
            <w:rStyle w:val="Hyperlink"/>
          </w:rPr>
          <w:t xml:space="preserve">Table 1</w:t>
        </w:r>
      </w:hyperlink>
      <w:r>
        <w:t xml:space="preserve">) to measure science knowledge–a set of specific true/false or multiple-choice questions about basic science facts</w:t>
      </w:r>
      <w:r>
        <w:t xml:space="preserve"> </w:t>
      </w:r>
      <w:r>
        <w:t xml:space="preserve">(</w:t>
      </w:r>
      <w:hyperlink w:anchor="X87ba04d7f6f955d7dab2970dc3ff653de6258ce">
        <w:r>
          <w:rPr>
            <w:rStyle w:val="Hyperlink"/>
          </w:rPr>
          <w:t xml:space="preserve">National Academies of Sciences, Engineering, and Medicine, 2016</w:t>
        </w:r>
      </w:hyperlink>
      <w:r>
        <w:t xml:space="preserve">)</w:t>
      </w:r>
      <w:r>
        <w:t xml:space="preserve">. Survey results from the Oxford scale have been interpreted as revealing a science knowledge deficit among the public. For example,</w:t>
      </w:r>
      <w:r>
        <w:t xml:space="preserve"> </w:t>
      </w:r>
      <w:r>
        <w:t xml:space="preserve">Durant et al. (</w:t>
      </w:r>
      <w:hyperlink w:anchor="ref-durantPublicUnderstandingScience1989">
        <w:r>
          <w:rPr>
            <w:rStyle w:val="Hyperlink"/>
          </w:rPr>
          <w:t xml:space="preserve">1989</w:t>
        </w:r>
      </w:hyperlink>
      <w:r>
        <w:t xml:space="preserve">)</w:t>
      </w:r>
      <w:r>
        <w:t xml:space="preserve"> </w:t>
      </w:r>
      <w:r>
        <w:t xml:space="preserve">(p.11) initially reported that only</w:t>
      </w:r>
      <w:r>
        <w:t xml:space="preserve"> </w:t>
      </w:r>
      <w:r>
        <w:t xml:space="preserve">“34% of Britons and 46% of Americans appeared to know that the Earth goes round the Sun once a year, and just 28% of Britons and 25% of Americans knew that antibiotics are ineffective against viruses”</w:t>
      </w:r>
      <w:r>
        <w:t xml:space="preserve">. According to the</w:t>
      </w:r>
      <w:r>
        <w:t xml:space="preserve"> </w:t>
      </w:r>
      <w:r>
        <w:t xml:space="preserve">National Academies of Sciences, Engineering, and Medicine (</w:t>
      </w:r>
      <w:hyperlink w:anchor="X87ba04d7f6f955d7dab2970dc3ff653de6258ce">
        <w:r>
          <w:rPr>
            <w:rStyle w:val="Hyperlink"/>
          </w:rPr>
          <w:t xml:space="preserve">2016</w:t>
        </w:r>
      </w:hyperlink>
      <w:r>
        <w:t xml:space="preserve">)</w:t>
      </w:r>
      <w:r>
        <w:t xml:space="preserve">, performance on the Oxford scale items in the US has been</w:t>
      </w:r>
      <w:r>
        <w:t xml:space="preserve"> </w:t>
      </w:r>
      <w:r>
        <w:t xml:space="preserve">“fairly stable across 2 decades”</w:t>
      </w:r>
      <w:r>
        <w:t xml:space="preserve"> </w:t>
      </w:r>
      <w:r>
        <w:t xml:space="preserve">(</w:t>
      </w:r>
      <w:hyperlink w:anchor="X87ba04d7f6f955d7dab2970dc3ff653de6258ce">
        <w:r>
          <w:rPr>
            <w:rStyle w:val="Hyperlink"/>
          </w:rPr>
          <w:t xml:space="preserve">National Academies of Sciences, Engineering, and Medicine, 2016, p. 51</w:t>
        </w:r>
      </w:hyperlink>
      <w:r>
        <w:t xml:space="preserve">)</w:t>
      </w:r>
      <w:r>
        <w:t xml:space="preserve">.</w:t>
      </w:r>
    </w:p>
    <w:bookmarkStart w:id="37" w:name="tbl-oxford"/>
    <w:p>
      <w:pPr>
        <w:pStyle w:val="FigureWithoutNote"/>
      </w:pPr>
      <w:r>
        <w:t xml:space="preserve">Table 1</w:t>
      </w:r>
    </w:p>
    <w:p>
      <w:pPr>
        <w:pStyle w:val="FigureWithoutNote"/>
      </w:pPr>
      <w:r>
        <w:t xml:space="preserve">1</w:t>
      </w:r>
    </w:p>
    <w:p>
      <w:pPr>
        <w:pStyle w:val="FigureWithoutNote"/>
      </w:pPr>
      <w:r>
        <w:t xml:space="preserve">The center of the Earth is very hot. (True)</w:t>
      </w:r>
    </w:p>
    <w:p>
      <w:pPr>
        <w:pStyle w:val="FigureWithoutNote"/>
      </w:pPr>
      <w:r>
        <w:t xml:space="preserve">2</w:t>
      </w:r>
    </w:p>
    <w:p>
      <w:pPr>
        <w:pStyle w:val="FigureWithoutNote"/>
      </w:pPr>
      <w:r>
        <w:t xml:space="preserve">The continents on which we live have been moving their locations for millions of years and will continue to move in the future. (True)</w:t>
      </w:r>
    </w:p>
    <w:p>
      <w:pPr>
        <w:pStyle w:val="FigureWithoutNote"/>
      </w:pPr>
      <w:r>
        <w:t xml:space="preserve">3</w:t>
      </w:r>
    </w:p>
    <w:p>
      <w:pPr>
        <w:pStyle w:val="FigureWithoutNote"/>
      </w:pPr>
      <w:r>
        <w:t xml:space="preserve">Does the Earth go around the Sun, or does the Sun go around the Earth? (Earth around Sun)</w:t>
      </w:r>
    </w:p>
    <w:p>
      <w:pPr>
        <w:pStyle w:val="FigureWithoutNote"/>
      </w:pPr>
      <w:r>
        <w:t xml:space="preserve">4</w:t>
      </w:r>
    </w:p>
    <w:p>
      <w:pPr>
        <w:pStyle w:val="FigureWithoutNote"/>
      </w:pPr>
      <w:r>
        <w:t xml:space="preserve">How long does it take for the Earth to go around the Sun? (One year)*</w:t>
      </w:r>
    </w:p>
    <w:p>
      <w:pPr>
        <w:pStyle w:val="FigureWithoutNote"/>
      </w:pPr>
      <w:r>
        <w:t xml:space="preserve">5</w:t>
      </w:r>
    </w:p>
    <w:p>
      <w:pPr>
        <w:pStyle w:val="FigureWithoutNote"/>
      </w:pPr>
      <w:r>
        <w:t xml:space="preserve">All radioactivity is man-made. (False)</w:t>
      </w:r>
    </w:p>
    <w:p>
      <w:pPr>
        <w:pStyle w:val="FigureWithoutNote"/>
      </w:pPr>
      <w:r>
        <w:t xml:space="preserve">6</w:t>
      </w:r>
    </w:p>
    <w:p>
      <w:pPr>
        <w:pStyle w:val="FigureWithoutNote"/>
      </w:pPr>
      <w:r>
        <w:t xml:space="preserve">It is the father’s gene that decides whether the baby is a boy or a girl. (True)</w:t>
      </w:r>
    </w:p>
    <w:p>
      <w:pPr>
        <w:pStyle w:val="FigureWithoutNote"/>
      </w:pPr>
      <w:r>
        <w:t xml:space="preserve">7</w:t>
      </w:r>
    </w:p>
    <w:p>
      <w:pPr>
        <w:pStyle w:val="FigureWithoutNote"/>
      </w:pPr>
      <w:r>
        <w:t xml:space="preserve">Antibiotics kill viruses as well as bacteria. (False)</w:t>
      </w:r>
    </w:p>
    <w:p>
      <w:pPr>
        <w:pStyle w:val="FigureWithoutNote"/>
      </w:pPr>
      <w:r>
        <w:t xml:space="preserve">8</w:t>
      </w:r>
    </w:p>
    <w:p>
      <w:pPr>
        <w:pStyle w:val="FigureWithoutNote"/>
      </w:pPr>
      <w:r>
        <w:t xml:space="preserve">Electrons are smaller than atoms. (True)</w:t>
      </w:r>
    </w:p>
    <w:p>
      <w:pPr>
        <w:pStyle w:val="FigureWithoutNote"/>
      </w:pPr>
      <w:r>
        <w:t xml:space="preserve">9</w:t>
      </w:r>
    </w:p>
    <w:p>
      <w:pPr>
        <w:pStyle w:val="FigureWithoutNote"/>
      </w:pPr>
      <w:r>
        <w:t xml:space="preserve">Lasers work by focusing sound waves. (False)</w:t>
      </w:r>
    </w:p>
    <w:p>
      <w:pPr>
        <w:pStyle w:val="FigureWithoutNote"/>
      </w:pPr>
      <w:r>
        <w:t xml:space="preserve">10</w:t>
      </w:r>
    </w:p>
    <w:p>
      <w:pPr>
        <w:pStyle w:val="FigureWithoutNote"/>
      </w:pPr>
      <w:r>
        <w:t xml:space="preserve">Human beings, as we know them today, developed from earlier species of animals. (True)</w:t>
      </w:r>
    </w:p>
    <w:p>
      <w:pPr>
        <w:pStyle w:val="FigureWithoutNote"/>
      </w:pPr>
      <w:r>
        <w:t xml:space="preserve">11</w:t>
      </w:r>
    </w:p>
    <w:p>
      <w:pPr>
        <w:pStyle w:val="FigureWithoutNote"/>
      </w:pPr>
      <w:r>
        <w:t xml:space="preserve">The universe began with a huge explosion. (True)</w:t>
      </w:r>
    </w:p>
    <w:p>
      <w:pPr>
        <w:pStyle w:val="FigureWithoutNote"/>
      </w:pPr>
      <w:r>
        <w:t xml:space="preserve"> </w:t>
      </w:r>
      <w:r>
        <w:t xml:space="preserve">*Only asked if previous question was answered correctly.</w:t>
      </w:r>
    </w:p>
    <w:p>
      <w:pPr>
        <w:pStyle w:val="FigureWithoutNote"/>
      </w:pPr>
      <w:r>
        <w:t xml:space="preserve">An 11-item version of the Oxford-scale, as reported in a comprehensive review of the literature on scientific literacy</w:t>
      </w:r>
      <w:r>
        <w:t xml:space="preserve"> </w:t>
      </w:r>
      <w:r>
        <w:t xml:space="preserve">(</w:t>
      </w:r>
      <w:hyperlink w:anchor="X87ba04d7f6f955d7dab2970dc3ff653de6258ce">
        <w:r>
          <w:rPr>
            <w:rStyle w:val="Hyperlink"/>
          </w:rPr>
          <w:t xml:space="preserve">National Academies of Sciences, Engineering, and Medicine, 2016</w:t>
        </w:r>
      </w:hyperlink>
      <w:r>
        <w:t xml:space="preserve">)</w:t>
      </w:r>
    </w:p>
    <w:bookmarkEnd w:id="37"/>
    <w:p>
      <w:pPr>
        <w:pStyle w:val="AfterWithoutNote"/>
      </w:pPr>
      <w:r>
        <w:t xml:space="preserve">The Oxford scale has been criticized for only capturing factual recall</w:t>
      </w:r>
      <w:r>
        <w:t xml:space="preserve"> </w:t>
      </w:r>
      <w:r>
        <w:t xml:space="preserve">(</w:t>
      </w:r>
      <w:hyperlink w:anchor="ref-bauerWhatCanWe2007">
        <w:r>
          <w:rPr>
            <w:rStyle w:val="Hyperlink"/>
          </w:rPr>
          <w:t xml:space="preserve">Bauer et al., 2007</w:t>
        </w:r>
      </w:hyperlink>
      <w:r>
        <w:t xml:space="preserve">;</w:t>
      </w:r>
      <w:r>
        <w:t xml:space="preserve"> </w:t>
      </w:r>
      <w:hyperlink w:anchor="ref-pardoCognitiveDimensionPublic2004">
        <w:r>
          <w:rPr>
            <w:rStyle w:val="Hyperlink"/>
          </w:rPr>
          <w:t xml:space="preserve">Pardo &amp; Calvo, 2004</w:t>
        </w:r>
      </w:hyperlink>
      <w:r>
        <w:t xml:space="preserve">)</w:t>
      </w:r>
      <w:r>
        <w:t xml:space="preserve">. What should actually matter for trust, according to this critique, is a different kind of knowledge, namely an institutional and methodological understanding of how science works.</w:t>
      </w:r>
    </w:p>
    <w:p>
      <w:pPr>
        <w:pStyle w:val="BodyText"/>
      </w:pPr>
      <w:r>
        <w:t xml:space="preserve">To circumvent these limitations,</w:t>
      </w:r>
      <w:r>
        <w:t xml:space="preserve"> </w:t>
      </w:r>
      <w:r>
        <w:t xml:space="preserve">Durant et al. (</w:t>
      </w:r>
      <w:hyperlink w:anchor="ref-durantPublicUnderstandingScience1989">
        <w:r>
          <w:rPr>
            <w:rStyle w:val="Hyperlink"/>
          </w:rPr>
          <w:t xml:space="preserve">1989</w:t>
        </w:r>
      </w:hyperlink>
      <w:r>
        <w:t xml:space="preserve">)</w:t>
      </w:r>
      <w:r>
        <w:t xml:space="preserve"> </w:t>
      </w:r>
      <w:r>
        <w:t xml:space="preserve">also developed a scale of</w:t>
      </w:r>
      <w:r>
        <w:t xml:space="preserve"> </w:t>
      </w:r>
      <w:r>
        <w:t xml:space="preserve">“understanding of processes of scientific inquiry”</w:t>
      </w:r>
      <w:r>
        <w:t xml:space="preserve">–several multiple-choice questions about the scientific method and basic concepts of probability. Similarly,</w:t>
      </w:r>
      <w:r>
        <w:t xml:space="preserve"> </w:t>
      </w:r>
      <w:r>
        <w:t xml:space="preserve">Miller (</w:t>
      </w:r>
      <w:hyperlink w:anchor="X07be609bc667015409764a61501c6b158827b43">
        <w:r>
          <w:rPr>
            <w:rStyle w:val="Hyperlink"/>
          </w:rPr>
          <w:t xml:space="preserve">2004</w:t>
        </w:r>
      </w:hyperlink>
      <w:r>
        <w:t xml:space="preserve">)</w:t>
      </w:r>
      <w:r>
        <w:t xml:space="preserve"> </w:t>
      </w:r>
      <w:r>
        <w:t xml:space="preserve">suggested that a scientifically literate citizen was someone who had both a</w:t>
      </w:r>
      <w:r>
        <w:t xml:space="preserve"> </w:t>
      </w:r>
      <w:r>
        <w:t xml:space="preserve">“(1) a basic vocabulary of scientific terms and constructs; and (2) a general understanding of the nature of scientific inquiry.”</w:t>
      </w:r>
      <w:r>
        <w:t xml:space="preserve"> </w:t>
      </w:r>
      <w:r>
        <w:t xml:space="preserve">His measure of science literacy included open-ended questions, for example on what people understand as the meaning of scientific study</w:t>
      </w:r>
      <w:r>
        <w:t xml:space="preserve"> </w:t>
      </w:r>
      <w:r>
        <w:t xml:space="preserve">(</w:t>
      </w:r>
      <w:hyperlink w:anchor="Xf55452f37f567501ea552cf1e534ee63bb3cf9f">
        <w:r>
          <w:rPr>
            <w:rStyle w:val="Hyperlink"/>
          </w:rPr>
          <w:t xml:space="preserve">Miller, 1998</w:t>
        </w:r>
      </w:hyperlink>
      <w:r>
        <w:t xml:space="preserve">)</w:t>
      </w:r>
      <w:r>
        <w:t xml:space="preserve">. However, these measures have hardly drawn a more positive image of the public’s knowledge of science: Using an index of various understanding questions, Miller concluded that</w:t>
      </w:r>
      <w:r>
        <w:t xml:space="preserve"> </w:t>
      </w:r>
      <w:r>
        <w:t xml:space="preserve">“approximately 10 percent of US adults qualified as civic scientifically literate in the late 1980s and early 1990s, but this proportion increased to 17 percent in 1999”</w:t>
      </w:r>
      <w:r>
        <w:t xml:space="preserve"> </w:t>
      </w:r>
      <w:r>
        <w:t xml:space="preserve">(</w:t>
      </w:r>
      <w:hyperlink w:anchor="X07be609bc667015409764a61501c6b158827b43">
        <w:r>
          <w:rPr>
            <w:rStyle w:val="Hyperlink"/>
          </w:rPr>
          <w:t xml:space="preserve">Miller, 2004, p. 288</w:t>
        </w:r>
      </w:hyperlink>
      <w:r>
        <w:t xml:space="preserve">)</w:t>
      </w:r>
      <w:r>
        <w:t xml:space="preserve">. Miller explained that, according to his measure, someone qualifies as scientifically literate if they possess</w:t>
      </w:r>
      <w:r>
        <w:t xml:space="preserve"> </w:t>
      </w:r>
      <w:r>
        <w:t xml:space="preserve">“the level of skill required to read most of the articles in the Tuesday science section of The New York Times, watch and understand most episodes of Nova, or read and understand many of the popular science books sold in bookstores today”</w:t>
      </w:r>
      <w:r>
        <w:t xml:space="preserve"> </w:t>
      </w:r>
      <w:r>
        <w:t xml:space="preserve">(</w:t>
      </w:r>
      <w:hyperlink w:anchor="X07be609bc667015409764a61501c6b158827b43">
        <w:r>
          <w:rPr>
            <w:rStyle w:val="Hyperlink"/>
          </w:rPr>
          <w:t xml:space="preserve">Miller, 2004, p. 288</w:t>
        </w:r>
      </w:hyperlink>
      <w:r>
        <w:t xml:space="preserve">)</w:t>
      </w:r>
      <w:r>
        <w:t xml:space="preserve">.</w:t>
      </w:r>
    </w:p>
    <w:p>
      <w:pPr>
        <w:pStyle w:val="BodyText"/>
      </w:pPr>
      <w:r>
        <w:t xml:space="preserve">More recent data suggest that science literacy in the US may have improved slightly since Miller’s assessment during the early 2000s, but that it remains low. Based on results from the 2018 US Science &amp; Engineering Indicators,</w:t>
      </w:r>
      <w:r>
        <w:t xml:space="preserve"> </w:t>
      </w:r>
      <w:r>
        <w:t xml:space="preserve">Scheufele and Krause (</w:t>
      </w:r>
      <w:hyperlink w:anchor="Xce4e5bd21842652d9d0efddb020e78438aef38c">
        <w:r>
          <w:rPr>
            <w:rStyle w:val="Hyperlink"/>
          </w:rPr>
          <w:t xml:space="preserve">2019</w:t>
        </w:r>
      </w:hyperlink>
      <w:r>
        <w:t xml:space="preserve">)</w:t>
      </w:r>
      <w:r>
        <w:t xml:space="preserve"> </w:t>
      </w:r>
      <w:r>
        <w:t xml:space="preserve">(p. 7663) report that</w:t>
      </w:r>
      <w:r>
        <w:t xml:space="preserve"> </w:t>
      </w:r>
      <w:r>
        <w:t xml:space="preserve">“one in three Americans (36%) misunderstood the concept of probability; half of the population (49%) was unable to provide a correct description of a scientific experiment; and three in four (77%) were unable to describe the idea of a scientific study.”</w:t>
      </w:r>
      <w:r>
        <w:t xml:space="preserve"> </w:t>
      </w:r>
      <w:r>
        <w:t xml:space="preserve">Similarly, the 2024 US Science &amp; Engineering Indicators, based on data from the Pew Research Center’s American Trends Panel (ATP) from 2020, report that</w:t>
      </w:r>
      <w:r>
        <w:t xml:space="preserve"> </w:t>
      </w:r>
      <w:r>
        <w:t xml:space="preserve">“60% of U.S. adults could correctly note that a control group can be useful in making sense of study results”</w:t>
      </w:r>
      <w:r>
        <w:t xml:space="preserve"> </w:t>
      </w:r>
      <w:r>
        <w:t xml:space="preserve">and that</w:t>
      </w:r>
      <w:r>
        <w:t xml:space="preserve"> </w:t>
      </w:r>
      <w:r>
        <w:t xml:space="preserve">“only half of U.S. adults (50%) could correctly identify a scientific hypothesis”</w:t>
      </w:r>
      <w:r>
        <w:t xml:space="preserve"> </w:t>
      </w:r>
      <w:r>
        <w:t xml:space="preserve">(</w:t>
      </w:r>
      <w:hyperlink w:anchor="Xf94c1ae30e44c0c5543a332c0c3fc1ad332789c">
        <w:r>
          <w:rPr>
            <w:rStyle w:val="Hyperlink"/>
          </w:rPr>
          <w:t xml:space="preserve">National Science Board, National Science Foundation, 2024, p. 24</w:t>
        </w:r>
      </w:hyperlink>
      <w:r>
        <w:t xml:space="preserve">)</w:t>
      </w:r>
      <w:r>
        <w:t xml:space="preserve">.</w:t>
      </w:r>
    </w:p>
    <w:p>
      <w:pPr>
        <w:pStyle w:val="BodyText"/>
      </w:pPr>
      <w:r>
        <w:t xml:space="preserve">Not only are levels of science knowledge and understanding low, but they are only weakly correlated with trust in science. In a seminal meta-analysis</w:t>
      </w:r>
      <w:r>
        <w:t xml:space="preserve"> </w:t>
      </w:r>
      <w:r>
        <w:t xml:space="preserve">Allum et al. (</w:t>
      </w:r>
      <w:hyperlink w:anchor="ref-allumScienceKnowledgeAttitudes2008">
        <w:r>
          <w:rPr>
            <w:rStyle w:val="Hyperlink"/>
          </w:rPr>
          <w:t xml:space="preserve">2008</w:t>
        </w:r>
      </w:hyperlink>
      <w:r>
        <w:t xml:space="preserve">)</w:t>
      </w:r>
      <w:r>
        <w:t xml:space="preserve"> </w:t>
      </w:r>
      <w:r>
        <w:t xml:space="preserve">found that Oxford scale type science knowledge was only weakly associated with attitudes towards science. More recently,</w:t>
      </w:r>
      <w:r>
        <w:t xml:space="preserve"> </w:t>
      </w:r>
      <w:r>
        <w:t xml:space="preserve">Cologna et al. (</w:t>
      </w:r>
      <w:hyperlink w:anchor="ref-colognaTrustScientistsTheir2025">
        <w:r>
          <w:rPr>
            <w:rStyle w:val="Hyperlink"/>
          </w:rPr>
          <w:t xml:space="preserve">2025</w:t>
        </w:r>
      </w:hyperlink>
      <w:r>
        <w:t xml:space="preserve">)</w:t>
      </w:r>
      <w:r>
        <w:t xml:space="preserve"> </w:t>
      </w:r>
      <w:r>
        <w:t xml:space="preserve">found no statistically significant relationship between national science literacy scores, based on the Program for International Student Assessment (PISA), and national average trust in scientists for the 68 countries included in their study.</w:t>
      </w:r>
    </w:p>
    <w:p>
      <w:pPr>
        <w:pStyle w:val="BodyText"/>
      </w:pPr>
      <w:r>
        <w:t xml:space="preserve">To sum up, the literature shows that trust in science is relatively high, but that knowledge and understanding of science do not seem to be strong determinants of this trust. Does this mean that trust in science is irrational?</w:t>
      </w:r>
    </w:p>
    <w:p>
      <w:pPr>
        <w:pStyle w:val="BodyText"/>
      </w:pPr>
      <w:r>
        <w:t xml:space="preserve">From a sociological perspective, in particular in a Bourdieusian framework, trust in science may be strongly influenced by</w:t>
      </w:r>
      <w:r>
        <w:t xml:space="preserve"> </w:t>
      </w:r>
      <w:r>
        <w:rPr>
          <w:i/>
          <w:iCs/>
        </w:rPr>
        <w:t xml:space="preserve">habitus</w:t>
      </w:r>
      <w:r>
        <w:t xml:space="preserve">—a system of dispositions shaped by one’s social class and cultural background</w:t>
      </w:r>
      <w:r>
        <w:t xml:space="preserve"> </w:t>
      </w:r>
      <w:r>
        <w:t xml:space="preserve">(</w:t>
      </w:r>
      <w:hyperlink w:anchor="ref-bormannTrustTrustingPractices2019">
        <w:r>
          <w:rPr>
            <w:rStyle w:val="Hyperlink"/>
          </w:rPr>
          <w:t xml:space="preserve">Bormann &amp; Thies, 2019</w:t>
        </w:r>
      </w:hyperlink>
      <w:r>
        <w:t xml:space="preserve">;</w:t>
      </w:r>
      <w:r>
        <w:t xml:space="preserve"> </w:t>
      </w:r>
      <w:hyperlink w:anchor="ref-bourdieuOutlineTheoryPractice1977">
        <w:r>
          <w:rPr>
            <w:rStyle w:val="Hyperlink"/>
          </w:rPr>
          <w:t xml:space="preserve">Bourdieu, 1977</w:t>
        </w:r>
      </w:hyperlink>
      <w:r>
        <w:t xml:space="preserve">)</w:t>
      </w:r>
      <w:r>
        <w:t xml:space="preserve">. Rather than a reasoned appraisal of science’s trustworthiness, trust might result from internalized norms. In line with this suggestion,</w:t>
      </w:r>
      <w:r>
        <w:t xml:space="preserve"> </w:t>
      </w:r>
      <w:r>
        <w:t xml:space="preserve">Archer et al. (</w:t>
      </w:r>
      <w:hyperlink w:anchor="ref-archerScienceCapitalConceptual2015">
        <w:r>
          <w:rPr>
            <w:rStyle w:val="Hyperlink"/>
          </w:rPr>
          <w:t xml:space="preserve">2015</w:t>
        </w:r>
      </w:hyperlink>
      <w:r>
        <w:t xml:space="preserve">)</w:t>
      </w:r>
      <w:r>
        <w:t xml:space="preserve"> </w:t>
      </w:r>
      <w:r>
        <w:t xml:space="preserve">show that school children aged 11-15 years already differ considerably in their</w:t>
      </w:r>
      <w:r>
        <w:t xml:space="preserve"> </w:t>
      </w:r>
      <w:r>
        <w:t xml:space="preserve">“science capital”</w:t>
      </w:r>
      <w:r>
        <w:t xml:space="preserve">–an index of several questions pertaining to how much they value and engage with science. These differences were associated with differences in cultural capital (e.g. parental university attendance), gender, and ethnicity. If, for undetermined sociological reasons, science acquires sufficient prestige among some segments of the population, it could lead some people to look up to science and trust it.</w:t>
      </w:r>
    </w:p>
    <w:p>
      <w:pPr>
        <w:pStyle w:val="BodyText"/>
      </w:pPr>
      <w:r>
        <w:t xml:space="preserve">While sociological factors play a role in shaping people’s attitudes towards science, we presently introduce a model in which it might be rational for people to trust science, even if they have little current knowledge of it.</w:t>
      </w:r>
    </w:p>
    <w:bookmarkEnd w:id="38"/>
    <w:bookmarkEnd w:id="39"/>
    <w:bookmarkStart w:id="46" w:name="Xbb62c2a8cb2578dd022346a86c49949884a732e"/>
    <w:p>
      <w:pPr>
        <w:pStyle w:val="Heading1"/>
      </w:pPr>
      <w:r>
        <w:t xml:space="preserve">The rational impression account of trust in science</w:t>
      </w:r>
    </w:p>
    <w:p>
      <w:pPr>
        <w:pStyle w:val="FirstParagraph"/>
      </w:pPr>
      <w:r>
        <w:t xml:space="preserve">In the rational impression account of trust in science, people trust science because they have been impressed by it. This trust persists even after the specific contents that gave rise to it have been forgotten. The account builds on three basic cognitive mechanisms: First, we infer competence from possessing rare knowledge: if someone states something that is difficult to know, and we believe that they are right, we are impressed, and deem that individual competent. Second, in many situations, we infer accuracy from consensus: if something is highly consensual, it is likely to be true. Third, impressions can persist without recall of what generated them: while learning about science can create lasting impressions, we are likely to forget about specific science knowledge.</w:t>
      </w:r>
    </w:p>
    <w:bookmarkStart w:id="41" w:name="X88d0f82c3eff20ea9a495fb8f308c7d8d84b269"/>
    <w:p>
      <w:pPr>
        <w:pStyle w:val="Heading2"/>
      </w:pPr>
      <w:r>
        <w:t xml:space="preserve">People infer competence from rare knowledge</w:t>
      </w:r>
    </w:p>
    <w:p>
      <w:pPr>
        <w:pStyle w:val="FirstParagraph"/>
      </w:pPr>
      <w:r>
        <w:t xml:space="preserve">Estimating other people’s competence from communicated information is an essential skill in a variety of social contexts, including communication</w:t>
      </w:r>
      <w:r>
        <w:t xml:space="preserve"> </w:t>
      </w:r>
      <w:r>
        <w:t xml:space="preserve">(</w:t>
      </w:r>
      <w:hyperlink w:anchor="ref-sperberEpistemicVigilance2010">
        <w:r>
          <w:rPr>
            <w:rStyle w:val="Hyperlink"/>
          </w:rPr>
          <w:t xml:space="preserve">Sperber et al., 2010</w:t>
        </w:r>
      </w:hyperlink>
      <w:r>
        <w:t xml:space="preserve">)</w:t>
      </w:r>
      <w:r>
        <w:t xml:space="preserve">, cooperation</w:t>
      </w:r>
      <w:r>
        <w:t xml:space="preserve"> </w:t>
      </w:r>
      <w:r>
        <w:t xml:space="preserve">(</w:t>
      </w:r>
      <w:hyperlink w:anchor="ref-cuddyBIASMapBehaviors2007">
        <w:r>
          <w:rPr>
            <w:rStyle w:val="Hyperlink"/>
          </w:rPr>
          <w:t xml:space="preserve">Cuddy et al., 2007</w:t>
        </w:r>
      </w:hyperlink>
      <w:r>
        <w:t xml:space="preserve">)</w:t>
      </w:r>
      <w:r>
        <w:t xml:space="preserve">, and social learning</w:t>
      </w:r>
      <w:r>
        <w:t xml:space="preserve"> </w:t>
      </w:r>
      <w:r>
        <w:t xml:space="preserve">(</w:t>
      </w:r>
      <w:hyperlink w:anchor="ref-lalandSocialLearningStrategies">
        <w:r>
          <w:rPr>
            <w:rStyle w:val="Hyperlink"/>
          </w:rPr>
          <w:t xml:space="preserve">Laland, n.d.</w:t>
        </w:r>
      </w:hyperlink>
      <w:r>
        <w:t xml:space="preserve">)</w:t>
      </w:r>
      <w:r>
        <w:t xml:space="preserve">.</w:t>
      </w:r>
    </w:p>
    <w:p>
      <w:pPr>
        <w:pStyle w:val="BodyText"/>
      </w:pPr>
      <w:r>
        <w:t xml:space="preserve">Humans use a variety of cues to estimate others’ competence: from superficial, generally unreliable cues such as facial features</w:t>
      </w:r>
      <w:r>
        <w:t xml:space="preserve"> </w:t>
      </w:r>
      <w:r>
        <w:t xml:space="preserve">(</w:t>
      </w:r>
      <w:hyperlink w:anchor="Xcc0de030c8853fbad21104bfcc41f5194e80b6c">
        <w:r>
          <w:rPr>
            <w:rStyle w:val="Hyperlink"/>
          </w:rPr>
          <w:t xml:space="preserve">Todorov et al., 2008</w:t>
        </w:r>
      </w:hyperlink>
      <w:r>
        <w:t xml:space="preserve">)</w:t>
      </w:r>
      <w:r>
        <w:t xml:space="preserve">, to more reliable ones, such as providing good explanations</w:t>
      </w:r>
      <w:r>
        <w:t xml:space="preserve"> </w:t>
      </w:r>
      <w:r>
        <w:t xml:space="preserve">(</w:t>
      </w:r>
      <w:hyperlink w:anchor="ref-reimerUseHeuristicsPersuasion2004">
        <w:r>
          <w:rPr>
            <w:rStyle w:val="Hyperlink"/>
          </w:rPr>
          <w:t xml:space="preserve">Reimer et al., 2004</w:t>
        </w:r>
      </w:hyperlink>
      <w:r>
        <w:t xml:space="preserve">; for children, see, e.g.,</w:t>
      </w:r>
      <w:r>
        <w:t xml:space="preserve"> </w:t>
      </w:r>
      <w:hyperlink w:anchor="ref-castelainEvidenceThatTwoYearOld2018a">
        <w:r>
          <w:rPr>
            <w:rStyle w:val="Hyperlink"/>
          </w:rPr>
          <w:t xml:space="preserve">Castelain et al., 2018</w:t>
        </w:r>
      </w:hyperlink>
      <w:r>
        <w:t xml:space="preserve">)</w:t>
      </w:r>
      <w:r>
        <w:t xml:space="preserve"> </w:t>
      </w:r>
      <w:r>
        <w:t xml:space="preserve">or having made accurate predictions in the past</w:t>
      </w:r>
      <w:r>
        <w:t xml:space="preserve"> </w:t>
      </w:r>
      <w:r>
        <w:t xml:space="preserve">(</w:t>
      </w:r>
      <w:hyperlink w:anchor="X935e916c7056a235c3389290f9a9c09e9a3880d">
        <w:r>
          <w:rPr>
            <w:rStyle w:val="Hyperlink"/>
          </w:rPr>
          <w:t xml:space="preserve">Mellers et al., 2015</w:t>
        </w:r>
      </w:hyperlink>
      <w:r>
        <w:t xml:space="preserve">; for children, see, e.g.,</w:t>
      </w:r>
      <w:r>
        <w:t xml:space="preserve"> </w:t>
      </w:r>
      <w:hyperlink w:anchor="ref-liuSelectiveTrustChildrens2013">
        <w:r>
          <w:rPr>
            <w:rStyle w:val="Hyperlink"/>
          </w:rPr>
          <w:t xml:space="preserve">Liu et al., 2013</w:t>
        </w:r>
      </w:hyperlink>
      <w:r>
        <w:t xml:space="preserve">)</w:t>
      </w:r>
      <w:r>
        <w:t xml:space="preserve">.</w:t>
      </w:r>
    </w:p>
    <w:p>
      <w:pPr>
        <w:pStyle w:val="BodyText"/>
      </w:pPr>
      <w:r>
        <w:t xml:space="preserve">One reliable cue to competence is possessing specific pieces of knowledge: people see others who share valuable ideas as more competent</w:t>
      </w:r>
      <w:r>
        <w:t xml:space="preserve"> </w:t>
      </w:r>
      <w:r>
        <w:t xml:space="preserve">(</w:t>
      </w:r>
      <w:hyperlink w:anchor="ref-altayItMyIdea2020">
        <w:r>
          <w:rPr>
            <w:rStyle w:val="Hyperlink"/>
          </w:rPr>
          <w:t xml:space="preserve">Altay et al., 2020</w:t>
        </w:r>
      </w:hyperlink>
      <w:r>
        <w:t xml:space="preserve">)</w:t>
      </w:r>
      <w:r>
        <w:t xml:space="preserve">. With trivia questions, it has been shown that people have accurate perceptions of whether something is hard to know or not, and that they use this information to infer someone’s competence</w:t>
      </w:r>
      <w:r>
        <w:t xml:space="preserve"> </w:t>
      </w:r>
      <w:r>
        <w:t xml:space="preserve">(</w:t>
      </w:r>
      <w:hyperlink w:anchor="ref-dubourgUsingNestedStructure2025">
        <w:r>
          <w:rPr>
            <w:rStyle w:val="Hyperlink"/>
          </w:rPr>
          <w:t xml:space="preserve">Dubourg et al., 2025</w:t>
        </w:r>
      </w:hyperlink>
      <w:r>
        <w:t xml:space="preserve">)</w:t>
      </w:r>
      <w:r>
        <w:t xml:space="preserve">: knowing a rare piece of information indicates a high likelihood of knowing more information in the same domain. In the case of science,</w:t>
      </w:r>
      <w:r>
        <w:t xml:space="preserve"> </w:t>
      </w:r>
      <w:r>
        <w:t xml:space="preserve">Pfänder, De Rouilhan, et al. (</w:t>
      </w:r>
      <w:hyperlink w:anchor="Xfdf5f5e5a3ff098ae71e069383ded41b505995c">
        <w:r>
          <w:rPr>
            <w:rStyle w:val="Hyperlink"/>
          </w:rPr>
          <w:t xml:space="preserve">2025</w:t>
        </w:r>
      </w:hyperlink>
      <w:r>
        <w:t xml:space="preserve">)</w:t>
      </w:r>
      <w:r>
        <w:t xml:space="preserve"> </w:t>
      </w:r>
      <w:r>
        <w:t xml:space="preserve">showed that participants perceive some scientific findings as more impressive than others. Reading about the more impressive scientific findings increased participants’ perceptions of both the scientists’ competence and the trustworthiness of their discipline.</w:t>
      </w:r>
    </w:p>
    <w:p>
      <w:pPr>
        <w:pStyle w:val="BodyText"/>
      </w:pPr>
      <w:r>
        <w:t xml:space="preserve">For an information to be impressive, at least two criteria should be met: (i) it is perceived as rare or hard to uncover, (ii) it is believed to be true. Past research has shown that people have very accurate intuitions regarding (i)</w:t>
      </w:r>
      <w:r>
        <w:t xml:space="preserve"> </w:t>
      </w:r>
      <w:r>
        <w:t xml:space="preserve">(see, in particular,</w:t>
      </w:r>
      <w:r>
        <w:t xml:space="preserve"> </w:t>
      </w:r>
      <w:hyperlink w:anchor="ref-dubourgPeopleUseNested2024">
        <w:r>
          <w:rPr>
            <w:rStyle w:val="Hyperlink"/>
          </w:rPr>
          <w:t xml:space="preserve">Dubourg et al., n.d.</w:t>
        </w:r>
      </w:hyperlink>
      <w:r>
        <w:t xml:space="preserve">)</w:t>
      </w:r>
      <w:r>
        <w:t xml:space="preserve">, but little is known about which features of an information exactly trigger this intuition. For example, most people would probably only be mildly impressed by someone telling them that a given tree has exactly 110201 leaves. Even though obtaining this information implies an exhausting counting effort, everyone in principle knows how to do it. By contrast, finding out that it takes light</w:t>
      </w:r>
      <w:r>
        <w:t xml:space="preserve"> </w:t>
      </w:r>
      <w:hyperlink r:id="rId40">
        <w:r>
          <w:rPr>
            <w:rStyle w:val="Hyperlink"/>
          </w:rPr>
          <w:t xml:space="preserve">approximately 100,000 years to travel from one end of the Milky Way to the other</w:t>
        </w:r>
      </w:hyperlink>
      <w:r>
        <w:t xml:space="preserve"> </w:t>
      </w:r>
      <w:r>
        <w:t xml:space="preserve">is probably impressive to most people, as they would not know how such a distance can be measured. From this view, most of scientific knowledge is likely to be deemed very impressive</w:t>
      </w:r>
      <w:r>
        <w:t xml:space="preserve"> </w:t>
      </w:r>
      <w:r>
        <w:t xml:space="preserve">(and a survey in France showed that people tended to trust more science if they deemed it more precise, which is one way of being impressive,</w:t>
      </w:r>
      <w:r>
        <w:t xml:space="preserve"> </w:t>
      </w:r>
      <w:hyperlink w:anchor="ref-pfanderFrenchTrustMore2025">
        <w:r>
          <w:rPr>
            <w:rStyle w:val="Hyperlink"/>
          </w:rPr>
          <w:t xml:space="preserve">Pfänder &amp; Mercier, 2025</w:t>
        </w:r>
      </w:hyperlink>
      <w:r>
        <w:t xml:space="preserve">)</w:t>
      </w:r>
      <w:r>
        <w:t xml:space="preserve">. Less obvious is how people infer (ii), i.e., that the information is true, since, as a rule, people cannot evaluate for themselves scientific discoveries. Below, we describe how perceived consensus might allow people to infer that a piece of information is true, even if they do not understand how it was acquired.</w:t>
      </w:r>
    </w:p>
    <w:bookmarkEnd w:id="41"/>
    <w:bookmarkStart w:id="42" w:name="people-infer-accuracy-from-consensus"/>
    <w:p>
      <w:pPr>
        <w:pStyle w:val="Heading2"/>
      </w:pPr>
      <w:r>
        <w:t xml:space="preserve">People infer accuracy from consensus</w:t>
      </w:r>
    </w:p>
    <w:p>
      <w:pPr>
        <w:pStyle w:val="FirstParagraph"/>
      </w:pPr>
      <w:r>
        <w:t xml:space="preserve">In order to make the best of communicated information, individuals need to be able to evaluate it, i.e. being able to distinguish inaccurate and harmful from accurate and beneficial information</w:t>
      </w:r>
      <w:r>
        <w:t xml:space="preserve"> </w:t>
      </w:r>
      <w:r>
        <w:t xml:space="preserve">(</w:t>
      </w:r>
      <w:hyperlink w:anchor="ref-maynard-smithAnimalSignals2003">
        <w:r>
          <w:rPr>
            <w:rStyle w:val="Hyperlink"/>
          </w:rPr>
          <w:t xml:space="preserve">Maynard-Smith &amp; Harper, 2003</w:t>
        </w:r>
      </w:hyperlink>
      <w:r>
        <w:t xml:space="preserve">)</w:t>
      </w:r>
      <w:r>
        <w:t xml:space="preserve">. It has been argued that humans have evolved a suite of cognitive mechanisms to serve this function, mechanisms which evaluate both the source of a piece of information and its content</w:t>
      </w:r>
      <w:r>
        <w:t xml:space="preserve"> </w:t>
      </w:r>
      <w:r>
        <w:t xml:space="preserve">(</w:t>
      </w:r>
      <w:hyperlink w:anchor="ref-mercierNotBornYesterday2020">
        <w:r>
          <w:rPr>
            <w:rStyle w:val="Hyperlink"/>
          </w:rPr>
          <w:t xml:space="preserve">Mercier, 2020</w:t>
        </w:r>
      </w:hyperlink>
      <w:r>
        <w:t xml:space="preserve">;</w:t>
      </w:r>
      <w:r>
        <w:t xml:space="preserve"> </w:t>
      </w:r>
      <w:hyperlink w:anchor="ref-sperberEpistemicVigilance2010">
        <w:r>
          <w:rPr>
            <w:rStyle w:val="Hyperlink"/>
          </w:rPr>
          <w:t xml:space="preserve">Sperber et al., 2010</w:t>
        </w:r>
      </w:hyperlink>
      <w:r>
        <w:t xml:space="preserve">)</w:t>
      </w:r>
      <w:r>
        <w:t xml:space="preserve">.</w:t>
      </w:r>
    </w:p>
    <w:p>
      <w:pPr>
        <w:pStyle w:val="BodyText"/>
      </w:pPr>
      <w:r>
        <w:t xml:space="preserve">In the case of science, if we do not already assume that people trust scientists, it seems that we are left only with content. However, scientific findings tend to violate our intuitions</w:t>
      </w:r>
      <w:r>
        <w:t xml:space="preserve"> </w:t>
      </w:r>
      <w:r>
        <w:t xml:space="preserve">(</w:t>
      </w:r>
      <w:hyperlink w:anchor="ref-cromerUncommonSenseHeretical1995">
        <w:r>
          <w:rPr>
            <w:rStyle w:val="Hyperlink"/>
          </w:rPr>
          <w:t xml:space="preserve">Cromer, 1995</w:t>
        </w:r>
      </w:hyperlink>
      <w:r>
        <w:t xml:space="preserve">;</w:t>
      </w:r>
      <w:r>
        <w:t xml:space="preserve"> </w:t>
      </w:r>
      <w:hyperlink w:anchor="ref-mccauleyWhyReligionNatural2011a">
        <w:r>
          <w:rPr>
            <w:rStyle w:val="Hyperlink"/>
          </w:rPr>
          <w:t xml:space="preserve">McCauley, 2011</w:t>
        </w:r>
      </w:hyperlink>
      <w:r>
        <w:t xml:space="preserve">;</w:t>
      </w:r>
      <w:r>
        <w:t xml:space="preserve"> </w:t>
      </w:r>
      <w:hyperlink w:anchor="ref-shtulmanScienceblindWhyOur2017">
        <w:r>
          <w:rPr>
            <w:rStyle w:val="Hyperlink"/>
          </w:rPr>
          <w:t xml:space="preserve">Shtulman, 2017</w:t>
        </w:r>
      </w:hyperlink>
      <w:r>
        <w:t xml:space="preserve">;</w:t>
      </w:r>
      <w:r>
        <w:t xml:space="preserve"> </w:t>
      </w:r>
      <w:hyperlink w:anchor="ref-wolpertUnnaturalNatureScience1994">
        <w:r>
          <w:rPr>
            <w:rStyle w:val="Hyperlink"/>
          </w:rPr>
          <w:t xml:space="preserve">Wolpert, 1994</w:t>
        </w:r>
      </w:hyperlink>
      <w:r>
        <w:t xml:space="preserve">)</w:t>
      </w:r>
      <w:r>
        <w:t xml:space="preserve">, and so not to be intuitively plausible. In some contexts, people might be able to judge the accuracy of scientific findings for themselves, for example when they are exposed to accessible and convincing explanations in school</w:t>
      </w:r>
      <w:r>
        <w:t xml:space="preserve"> </w:t>
      </w:r>
      <w:r>
        <w:t xml:space="preserve">(</w:t>
      </w:r>
      <w:hyperlink w:anchor="Xcc689c35c11fea3ec03b1c6778438231e03ec74">
        <w:r>
          <w:rPr>
            <w:rStyle w:val="Hyperlink"/>
          </w:rPr>
          <w:t xml:space="preserve">Lombrozo, 2007</w:t>
        </w:r>
      </w:hyperlink>
      <w:r>
        <w:t xml:space="preserve">;</w:t>
      </w:r>
      <w:r>
        <w:t xml:space="preserve"> </w:t>
      </w:r>
      <w:hyperlink w:anchor="ref-readExplanatoryCoherenceSocial1993">
        <w:r>
          <w:rPr>
            <w:rStyle w:val="Hyperlink"/>
          </w:rPr>
          <w:t xml:space="preserve">Read &amp; Marcus-Newhall, 1993</w:t>
        </w:r>
      </w:hyperlink>
      <w:r>
        <w:t xml:space="preserve">; for a review, see</w:t>
      </w:r>
      <w:r>
        <w:t xml:space="preserve"> </w:t>
      </w:r>
      <w:hyperlink w:anchor="Xf36e7a3d99416127470c307febc79cf4c457a52">
        <w:r>
          <w:rPr>
            <w:rStyle w:val="Hyperlink"/>
          </w:rPr>
          <w:t xml:space="preserve">Lombrozo, 2006</w:t>
        </w:r>
      </w:hyperlink>
      <w:r>
        <w:t xml:space="preserve">)</w:t>
      </w:r>
      <w:r>
        <w:t xml:space="preserve">. But for most scientific research, people cannot possibly evaluate the quality of the arguments and evidence for themselves, let alone make their own observations (e.g. few people understand complex analysis or group symmetry, and even fewer have access to a particle accelerator).</w:t>
      </w:r>
    </w:p>
    <w:p>
      <w:pPr>
        <w:pStyle w:val="BodyText"/>
      </w:pPr>
      <w:r>
        <w:t xml:space="preserve">It is possible, however, to rationally believe that a piece of information is true even if it is not intuitively plausible, and if we don’t already trust its source: if enough people agree with it. The potential of the wisdom of crowds to lead to accurate answer has been known for centuries</w:t>
      </w:r>
      <w:r>
        <w:t xml:space="preserve"> </w:t>
      </w:r>
      <w:r>
        <w:t xml:space="preserve">(</w:t>
      </w:r>
      <w:hyperlink w:anchor="Xfcd4a690de525c25d93901e816cfe6eac759362">
        <w:r>
          <w:rPr>
            <w:rStyle w:val="Hyperlink"/>
          </w:rPr>
          <w:t xml:space="preserve">Condorcet, 1785</w:t>
        </w:r>
      </w:hyperlink>
      <w:r>
        <w:t xml:space="preserve">;</w:t>
      </w:r>
      <w:r>
        <w:t xml:space="preserve"> </w:t>
      </w:r>
      <w:hyperlink w:anchor="ref-hastieRobustBeautyMajority2005">
        <w:r>
          <w:rPr>
            <w:rStyle w:val="Hyperlink"/>
          </w:rPr>
          <w:t xml:space="preserve">Hastie &amp; Kameda, 2005</w:t>
        </w:r>
      </w:hyperlink>
      <w:r>
        <w:t xml:space="preserve">)</w:t>
      </w:r>
      <w:r>
        <w:t xml:space="preserve"> </w:t>
      </w:r>
      <w:r>
        <w:t xml:space="preserve">and, on the whole, people make sound use of this heuristic, being more likely to accept a piece of information when it is supported by a larger majority</w:t>
      </w:r>
      <w:r>
        <w:t xml:space="preserve"> </w:t>
      </w:r>
      <w:r>
        <w:t xml:space="preserve">(in relative and absolute terms, for review, see</w:t>
      </w:r>
      <w:r>
        <w:t xml:space="preserve"> </w:t>
      </w:r>
      <w:hyperlink w:anchor="ref-mercierMajorityRulesHow2019">
        <w:r>
          <w:rPr>
            <w:rStyle w:val="Hyperlink"/>
          </w:rPr>
          <w:t xml:space="preserve">Mercier &amp; Morin, 2019</w:t>
        </w:r>
      </w:hyperlink>
      <w:r>
        <w:t xml:space="preserve">)</w:t>
      </w:r>
      <w:r>
        <w:t xml:space="preserve">. The wisdom of crowds literature, however, assumes that informants–the individuals providing answers–need to be at least minimally competent</w:t>
      </w:r>
      <w:r>
        <w:t xml:space="preserve"> </w:t>
      </w:r>
      <w:r>
        <w:t xml:space="preserve">(i.e. better than chance,</w:t>
      </w:r>
      <w:r>
        <w:t xml:space="preserve"> </w:t>
      </w:r>
      <w:hyperlink w:anchor="Xfcd4a690de525c25d93901e816cfe6eac759362">
        <w:r>
          <w:rPr>
            <w:rStyle w:val="Hyperlink"/>
          </w:rPr>
          <w:t xml:space="preserve">Condorcet, 1785</w:t>
        </w:r>
      </w:hyperlink>
      <w:r>
        <w:t xml:space="preserve">)</w:t>
      </w:r>
      <w:r>
        <w:t xml:space="preserve">. This is a problem for the rational impression account, as it ultimately seeks to explain how people come to judge scientists as competent, and therefore cannot take it for granted that the informants are deemed competent. However, recently,</w:t>
      </w:r>
      <w:r>
        <w:t xml:space="preserve"> </w:t>
      </w:r>
      <w:r>
        <w:t xml:space="preserve">Pfänder, De Courson, et al. (</w:t>
      </w:r>
      <w:hyperlink w:anchor="ref-pfanderHowWiseCrowd2025">
        <w:r>
          <w:rPr>
            <w:rStyle w:val="Hyperlink"/>
          </w:rPr>
          <w:t xml:space="preserve">2025</w:t>
        </w:r>
      </w:hyperlink>
      <w:r>
        <w:t xml:space="preserve">)</w:t>
      </w:r>
      <w:r>
        <w:t xml:space="preserve"> </w:t>
      </w:r>
      <w:r>
        <w:t xml:space="preserve">have shown that it is enough to assume that informants are not all biased in exactly the same way to make justified inferences from their agreement to not only the accuracy of their answers, but also their competence. Participants who had no prior beliefs about an answer’s plausibility, or the competence of those who provided it, deemed more convergent answers more plausible, and those who made them more competent. This was true in abstract scenarios</w:t>
      </w:r>
      <w:r>
        <w:t xml:space="preserve"> </w:t>
      </w:r>
      <w:r>
        <w:t xml:space="preserve">(</w:t>
      </w:r>
      <w:hyperlink w:anchor="ref-pfanderHowWiseCrowd2025">
        <w:r>
          <w:rPr>
            <w:rStyle w:val="Hyperlink"/>
          </w:rPr>
          <w:t xml:space="preserve">Pfänder, De Courson, et al., 2025</w:t>
        </w:r>
      </w:hyperlink>
      <w:r>
        <w:t xml:space="preserve">)</w:t>
      </w:r>
      <w:r>
        <w:t xml:space="preserve">, but other research suggests that these inferences are justified across a wide range of real-world decision making scenarios</w:t>
      </w:r>
      <w:r>
        <w:t xml:space="preserve"> </w:t>
      </w:r>
      <w:r>
        <w:t xml:space="preserve">(</w:t>
      </w:r>
      <w:hyperlink w:anchor="ref-kurversHowDetectHighperforming2019">
        <w:r>
          <w:rPr>
            <w:rStyle w:val="Hyperlink"/>
          </w:rPr>
          <w:t xml:space="preserve">Kurvers et al., 2019</w:t>
        </w:r>
      </w:hyperlink>
      <w:r>
        <w:t xml:space="preserve">)</w:t>
      </w:r>
      <w:r>
        <w:t xml:space="preserve">.</w:t>
      </w:r>
    </w:p>
    <w:p>
      <w:pPr>
        <w:pStyle w:val="BodyText"/>
      </w:pPr>
      <w:r>
        <w:t xml:space="preserve">To the extent that people perceive a scientific finding as being largely consensual within the research community, they should thus infer not only that it is more likely to be correct, but also that the scientists responsible for the finding are competent. Much evidence shows that, as a rule, when people are told about the scientific consensus on a given issue, they change their minds in the direction of the consensus</w:t>
      </w:r>
      <w:r>
        <w:t xml:space="preserve"> </w:t>
      </w:r>
      <w:r>
        <w:t xml:space="preserve">(</w:t>
      </w:r>
      <w:hyperlink w:anchor="ref-vanderlindenGatewayBeliefModel2021">
        <w:r>
          <w:rPr>
            <w:rStyle w:val="Hyperlink"/>
          </w:rPr>
          <w:t xml:space="preserve">Linden, 2021</w:t>
        </w:r>
      </w:hyperlink>
      <w:r>
        <w:t xml:space="preserve">;</w:t>
      </w:r>
      <w:r>
        <w:t xml:space="preserve"> </w:t>
      </w:r>
      <w:hyperlink w:anchor="X53cb156802d58c8b92afbb362c605775cfb5b91">
        <w:r>
          <w:rPr>
            <w:rStyle w:val="Hyperlink"/>
          </w:rPr>
          <w:t xml:space="preserve">Van Stekelenburg et al., 2022</w:t>
        </w:r>
      </w:hyperlink>
      <w:r>
        <w:t xml:space="preserve">;</w:t>
      </w:r>
      <w:r>
        <w:t xml:space="preserve"> </w:t>
      </w:r>
      <w:hyperlink w:anchor="X808a4748ee81d443dd06ba2436fe069ac792afd">
        <w:r>
          <w:rPr>
            <w:rStyle w:val="Hyperlink"/>
          </w:rPr>
          <w:t xml:space="preserve">Većkalov et al., 2024</w:t>
        </w:r>
      </w:hyperlink>
      <w:r>
        <w:t xml:space="preserve">)</w:t>
      </w:r>
      <w:r>
        <w:t xml:space="preserve">. Note, however, that participants start these experiments with a fair degree of trust in science, so that they can rely on that to infer that the scientists forming the consensus are competent, rather than inferring their competence from the fact that they agree. Even if people aren’t explicitly told that a scientific consensus exists, they likely assume that it is the case, at least for issues taken to be settled science, such as those they are exposed to at school–and they would be broadly right as the ability to reach a working consensus is a defining trait of science</w:t>
      </w:r>
      <w:r>
        <w:t xml:space="preserve"> </w:t>
      </w:r>
      <w:r>
        <w:t xml:space="preserve">(</w:t>
      </w:r>
      <w:hyperlink w:anchor="X7010f9d6c8c8fbaeb07db8f1c7591736a4acd01">
        <w:r>
          <w:rPr>
            <w:rStyle w:val="Hyperlink"/>
          </w:rPr>
          <w:t xml:space="preserve">Collins, 2002</w:t>
        </w:r>
      </w:hyperlink>
      <w:r>
        <w:t xml:space="preserve">)</w:t>
      </w:r>
      <w:r>
        <w:t xml:space="preserve">. In line with this suggestion, people (in France) trust scientists more when they work in disciplines that people perceive as more consensual</w:t>
      </w:r>
      <w:r>
        <w:t xml:space="preserve"> </w:t>
      </w:r>
      <w:r>
        <w:t xml:space="preserve">(</w:t>
      </w:r>
      <w:hyperlink w:anchor="ref-pfanderFrenchTrustMore2025">
        <w:r>
          <w:rPr>
            <w:rStyle w:val="Hyperlink"/>
          </w:rPr>
          <w:t xml:space="preserve">Pfänder &amp; Mercier, 2025</w:t>
        </w:r>
      </w:hyperlink>
      <w:r>
        <w:t xml:space="preserve">)</w:t>
      </w:r>
      <w:r>
        <w:t xml:space="preserve">.</w:t>
      </w:r>
    </w:p>
    <w:p>
      <w:pPr>
        <w:pStyle w:val="BodyText"/>
      </w:pPr>
      <w:r>
        <w:t xml:space="preserve">So far, we have argued that (i) people are impressed by information that is difficult to acquire, if they believe it is true and, (ii) that they can come to believe it is true if they take it to be consensual. Applied to science, the prediction is that the more people are exposed to impressive science taken to be consensual, the more they perceive scientists as competent and, as a result, trust science more. This might appear similar to the deficit model, in that both models predict exposure to science to lead to more science knowledge. However, as pointed out above, the correlation between science knowledge and attitudes towards science, if it is positive, is weak</w:t>
      </w:r>
      <w:r>
        <w:t xml:space="preserve"> </w:t>
      </w:r>
      <w:r>
        <w:t xml:space="preserve">(</w:t>
      </w:r>
      <w:hyperlink w:anchor="ref-allumScienceKnowledgeAttitudes2008">
        <w:r>
          <w:rPr>
            <w:rStyle w:val="Hyperlink"/>
          </w:rPr>
          <w:t xml:space="preserve">Allum et al., 2008</w:t>
        </w:r>
      </w:hyperlink>
      <w:r>
        <w:t xml:space="preserve">)</w:t>
      </w:r>
      <w:r>
        <w:t xml:space="preserve">. To explain this and, more generally, the low levels of knowledge of science by comparison with trust in science, we argue that people likely forget most specific science content they had been exposed to, while an impression of trustworthiness persists.</w:t>
      </w:r>
    </w:p>
    <w:bookmarkEnd w:id="42"/>
    <w:bookmarkStart w:id="43" w:name="Xec3f00ffea81b519804887b1950708d36ea9946"/>
    <w:p>
      <w:pPr>
        <w:pStyle w:val="Heading2"/>
      </w:pPr>
      <w:r>
        <w:t xml:space="preserve">People forget specific knowledge while impressions persist</w:t>
      </w:r>
    </w:p>
    <w:p>
      <w:pPr>
        <w:pStyle w:val="FirstParagraph"/>
      </w:pPr>
      <w:r>
        <w:t xml:space="preserve">We commonly form impressions of the people around us while forgetting the details of how we formed these impressions: If a colleague fixes our computer, we might forget exactly how they fixed it, yet remember that they are good at fixing computers. Similarly, people might forget the specific content of science knowledge they have been exposed to, but retain an impression of scientists’ trustworthiness. Several research strings suggest that abstract impressions can persist, while recall of specific information fades.</w:t>
      </w:r>
    </w:p>
    <w:p>
      <w:pPr>
        <w:pStyle w:val="BodyText"/>
      </w:pPr>
      <w:r>
        <w:t xml:space="preserve">Memory research suggests that implicit memory is more stable than explicit memory</w:t>
      </w:r>
      <w:r>
        <w:t xml:space="preserve"> </w:t>
      </w:r>
      <w:r>
        <w:t xml:space="preserve">(</w:t>
      </w:r>
      <w:hyperlink w:anchor="ref-parkinDifferentialNatureImplicit1990">
        <w:r>
          <w:rPr>
            <w:rStyle w:val="Hyperlink"/>
          </w:rPr>
          <w:t xml:space="preserve">Parkin et al., 1990</w:t>
        </w:r>
      </w:hyperlink>
      <w:r>
        <w:t xml:space="preserve">;</w:t>
      </w:r>
      <w:r>
        <w:t xml:space="preserve"> </w:t>
      </w:r>
      <w:hyperlink w:anchor="ref-slomanForgettingPrimedFragment1988">
        <w:r>
          <w:rPr>
            <w:rStyle w:val="Hyperlink"/>
          </w:rPr>
          <w:t xml:space="preserve">Sloman et al., 1988</w:t>
        </w:r>
      </w:hyperlink>
      <w:r>
        <w:t xml:space="preserve">)</w:t>
      </w:r>
      <w:r>
        <w:t xml:space="preserve">. It has also been argued that memory encodes information both as</w:t>
      </w:r>
      <w:r>
        <w:t xml:space="preserve"> </w:t>
      </w:r>
      <w:r>
        <w:t xml:space="preserve">“verbatim”</w:t>
      </w:r>
      <w:r>
        <w:t xml:space="preserve"> </w:t>
      </w:r>
      <w:r>
        <w:t xml:space="preserve">details–exact words or numbers–information and</w:t>
      </w:r>
      <w:r>
        <w:t xml:space="preserve"> </w:t>
      </w:r>
      <w:r>
        <w:t xml:space="preserve">“gist”</w:t>
      </w:r>
      <w:r>
        <w:t xml:space="preserve"> </w:t>
      </w:r>
      <w:r>
        <w:t xml:space="preserve">representations–the essence or bottom-line meaning</w:t>
      </w:r>
      <w:r>
        <w:t xml:space="preserve"> </w:t>
      </w:r>
      <w:r>
        <w:t xml:space="preserve">(</w:t>
      </w:r>
      <w:hyperlink w:anchor="ref-reynaScientificTheoryGist2021">
        <w:r>
          <w:rPr>
            <w:rStyle w:val="Hyperlink"/>
          </w:rPr>
          <w:t xml:space="preserve">Reyna, 2021</w:t>
        </w:r>
      </w:hyperlink>
      <w:r>
        <w:t xml:space="preserve">)</w:t>
      </w:r>
      <w:r>
        <w:t xml:space="preserve">, and that the verbatim memory tends to fade faster</w:t>
      </w:r>
      <w:r>
        <w:t xml:space="preserve"> </w:t>
      </w:r>
      <w:r>
        <w:t xml:space="preserve">(</w:t>
      </w:r>
      <w:hyperlink w:anchor="Xeead73113c2c0b63f32282da0a459cb1534d22f">
        <w:r>
          <w:rPr>
            <w:rStyle w:val="Hyperlink"/>
          </w:rPr>
          <w:t xml:space="preserve">Murphy &amp; Shapiro, 1994</w:t>
        </w:r>
      </w:hyperlink>
      <w:r>
        <w:t xml:space="preserve">)</w:t>
      </w:r>
      <w:r>
        <w:t xml:space="preserve">.</w:t>
      </w:r>
    </w:p>
    <w:p>
      <w:pPr>
        <w:pStyle w:val="BodyText"/>
      </w:pPr>
      <w:r>
        <w:t xml:space="preserve">More extreme examples supporting the idea that impressions can be detached from the memory of specific events come from medical research: patients with severe amnesia, for instance, can continue to experience emotions linked to events they could not recall</w:t>
      </w:r>
      <w:r>
        <w:t xml:space="preserve"> </w:t>
      </w:r>
      <w:r>
        <w:t xml:space="preserve">(</w:t>
      </w:r>
      <w:hyperlink w:anchor="Xc059b9a8b6d50c46274e292915624f7a58042f7">
        <w:r>
          <w:rPr>
            <w:rStyle w:val="Hyperlink"/>
          </w:rPr>
          <w:t xml:space="preserve">Feinstein et al., 2010</w:t>
        </w:r>
      </w:hyperlink>
      <w:r>
        <w:t xml:space="preserve">)</w:t>
      </w:r>
      <w:r>
        <w:t xml:space="preserve">. Other research has shown that patients with profound episodic memory impairment due to dementia continue to show capacity for emotional learning</w:t>
      </w:r>
      <w:r>
        <w:t xml:space="preserve"> </w:t>
      </w:r>
      <w:r>
        <w:t xml:space="preserve">(</w:t>
      </w:r>
      <w:hyperlink w:anchor="Xafc4ef9444366ad454ed6953e2d8f606e08c4a7">
        <w:r>
          <w:rPr>
            <w:rStyle w:val="Hyperlink"/>
          </w:rPr>
          <w:t xml:space="preserve">Evans-Roberts &amp; Turnbull, 2010</w:t>
        </w:r>
      </w:hyperlink>
      <w:r>
        <w:t xml:space="preserve">)</w:t>
      </w:r>
      <w:r>
        <w:t xml:space="preserve">.</w:t>
      </w:r>
    </w:p>
    <w:p>
      <w:pPr>
        <w:pStyle w:val="BodyText"/>
      </w:pPr>
      <w:r>
        <w:t xml:space="preserve">Some research in the context of science suggests that processes of impression formation and knowledge retention can be quite detached: in an experiment, participants found some science-related explanations more satisfying than others, but this did not predict how well they could recall the explanations shortly after</w:t>
      </w:r>
      <w:r>
        <w:t xml:space="preserve"> </w:t>
      </w:r>
      <w:r>
        <w:t xml:space="preserve">(</w:t>
      </w:r>
      <w:hyperlink w:anchor="ref-liquinMotivatedLearnAccount2022">
        <w:r>
          <w:rPr>
            <w:rStyle w:val="Hyperlink"/>
          </w:rPr>
          <w:t xml:space="preserve">Liquin &amp; Lombrozo, 2022</w:t>
        </w:r>
      </w:hyperlink>
      <w:r>
        <w:t xml:space="preserve">)</w:t>
      </w:r>
      <w:r>
        <w:t xml:space="preserve">. In the study mentioned above</w:t>
      </w:r>
      <w:r>
        <w:t xml:space="preserve"> </w:t>
      </w:r>
      <w:r>
        <w:t xml:space="preserve">Pfänder, De Rouilhan, et al. (</w:t>
      </w:r>
      <w:hyperlink w:anchor="Xfdf5f5e5a3ff098ae71e069383ded41b505995c">
        <w:r>
          <w:rPr>
            <w:rStyle w:val="Hyperlink"/>
          </w:rPr>
          <w:t xml:space="preserve">2025</w:t>
        </w:r>
      </w:hyperlink>
      <w:r>
        <w:t xml:space="preserve">)</w:t>
      </w:r>
      <w:r>
        <w:t xml:space="preserve">, showing that being exposed to impressive scientific content led to higher trust in the relevant scientific discipline, another experiment showed that participants immediately forgot most of the information which had impressed them.</w:t>
      </w:r>
    </w:p>
    <w:bookmarkEnd w:id="43"/>
    <w:bookmarkStart w:id="44" w:name="Xf17566af6fa451af4d7a893abd5e5eea1a5ed4d"/>
    <w:p>
      <w:pPr>
        <w:pStyle w:val="Heading2"/>
      </w:pPr>
      <w:r>
        <w:t xml:space="preserve">Additional predictions of the rational impressions account</w:t>
      </w:r>
    </w:p>
    <w:p>
      <w:pPr>
        <w:pStyle w:val="FirstParagraph"/>
      </w:pPr>
      <w:r>
        <w:t xml:space="preserve">The rational impression account of trust in science rests on three already established cognitive mechanisms: (i) people deem competent those who possess impressive knowledge; (ii) people deem opinions others converge on true; (iii) people tend to forget how impressions are formed, while the impressions are maintained. This account explains why people trust science: when scientists agree on impressive findings, people deem that to be a good cue that the scientists are right, and that they are competent. The account also explains why people trust science despite not understanding or knowing much of it: first, they don’t need to understand science to deem it true and to be impressed by it, second, the impression of competence and trust can persist even if they don’t remember the scientific knowledge that gave rise to these impressions. The argument we have made above suggests that people who have been exposed to scientific content have good grounds for deeming scientists competent. This requires that they believe the scientists aren’t conspiring to form a false consensus–but, in basic science, such aspersions aren’t very plausible (why would scientists conspire to make us believe the Milky Way has such and such size?). However, the model doesn’t require that scientists be perceived as particularly benevolent. Scientists’ benevolence should be difficult for people to evaluate, as few personally know any scientists, few even know</w:t>
      </w:r>
      <w:r>
        <w:t xml:space="preserve"> </w:t>
      </w:r>
      <w:r>
        <w:rPr>
          <w:i/>
          <w:iCs/>
        </w:rPr>
        <w:t xml:space="preserve">of</w:t>
      </w:r>
      <w:r>
        <w:t xml:space="preserve"> </w:t>
      </w:r>
      <w:r>
        <w:t xml:space="preserve">any individual living scientists</w:t>
      </w:r>
      <w:r>
        <w:t xml:space="preserve"> </w:t>
      </w:r>
      <w:r>
        <w:t xml:space="preserve">(</w:t>
      </w:r>
      <w:hyperlink w:anchor="X1939e4785e87aa4939a264f47c439d5964c8bad">
        <w:r>
          <w:rPr>
            <w:rStyle w:val="Hyperlink"/>
          </w:rPr>
          <w:t xml:space="preserve">Research!America, 2021</w:t>
        </w:r>
      </w:hyperlink>
      <w:r>
        <w:t xml:space="preserve">)</w:t>
      </w:r>
      <w:r>
        <w:t xml:space="preserve">. As a result, there are no obvious reasons why people should rate scientists particularly high on benevolence or related dimensions. In line with this prediction, it has been shown that people perceive scientists as very competent, but not as particularly warm</w:t>
      </w:r>
      <w:r>
        <w:t xml:space="preserve"> </w:t>
      </w:r>
      <w:r>
        <w:t xml:space="preserve">(</w:t>
      </w:r>
      <w:hyperlink w:anchor="ref-fiskeGainingTrustWell2014">
        <w:r>
          <w:rPr>
            <w:rStyle w:val="Hyperlink"/>
          </w:rPr>
          <w:t xml:space="preserve">Fiske &amp; Dupree, 2014</w:t>
        </w:r>
      </w:hyperlink>
      <w:r>
        <w:t xml:space="preserve">)</w:t>
      </w:r>
      <w:r>
        <w:t xml:space="preserve">. A recent Pew survey found that 89% of Americans viewed research scientists as intelligent, but only 65% viewed them as honest</w:t>
      </w:r>
      <w:r>
        <w:t xml:space="preserve"> </w:t>
      </w:r>
      <w:r>
        <w:t xml:space="preserve">(</w:t>
      </w:r>
      <w:hyperlink w:anchor="ref-kennedyPublicTrustScientists2024">
        <w:r>
          <w:rPr>
            <w:rStyle w:val="Hyperlink"/>
          </w:rPr>
          <w:t xml:space="preserve">Kennedy &amp; Brian, 2024</w:t>
        </w:r>
      </w:hyperlink>
      <w:r>
        <w:t xml:space="preserve">)</w:t>
      </w:r>
      <w:r>
        <w:t xml:space="preserve">. Beyond the US, a recent study confirmed this tendency on a global scale</w:t>
      </w:r>
      <w:r>
        <w:t xml:space="preserve"> </w:t>
      </w:r>
      <w:r>
        <w:t xml:space="preserve">(</w:t>
      </w:r>
      <w:hyperlink w:anchor="ref-colognaTrustScientistsTheir2025">
        <w:r>
          <w:rPr>
            <w:rStyle w:val="Hyperlink"/>
          </w:rPr>
          <w:t xml:space="preserve">Cologna et al., 2025</w:t>
        </w:r>
      </w:hyperlink>
      <w:r>
        <w:t xml:space="preserve">)</w:t>
      </w:r>
      <w:r>
        <w:t xml:space="preserve">: People perceived scientists as highly competent, with 78% tending to believe that most scientists are qualified to conduct high-impact research. By contrast, people held scientists in lower esteem with regards to their integrity and benevolence: Only 57% of people tended to believe that most scientists are honest, and only 56% tended to believe that most scientists are concerned about people’s well-being.</w:t>
      </w:r>
    </w:p>
    <w:p>
      <w:pPr>
        <w:pStyle w:val="BodyText"/>
      </w:pPr>
      <w:r>
        <w:t xml:space="preserve">A second prediction of the rational impression account is that education, and more specifically science education, should be the main predictor of trust in science. Since most people consume very little news</w:t>
      </w:r>
      <w:r>
        <w:t xml:space="preserve"> </w:t>
      </w:r>
      <w:r>
        <w:t xml:space="preserve">(</w:t>
      </w:r>
      <w:hyperlink w:anchor="ref-newmanDigitalNewsReport2023">
        <w:r>
          <w:rPr>
            <w:rStyle w:val="Hyperlink"/>
          </w:rPr>
          <w:t xml:space="preserve">Newman et al., 2023</w:t>
        </w:r>
      </w:hyperlink>
      <w:r>
        <w:t xml:space="preserve">)</w:t>
      </w:r>
      <w:r>
        <w:t xml:space="preserve">, and even less scientific news</w:t>
      </w:r>
      <w:r>
        <w:t xml:space="preserve"> </w:t>
      </w:r>
      <w:r>
        <w:t xml:space="preserve">(</w:t>
      </w:r>
      <w:hyperlink w:anchor="ref-funkScienceNewsInformation2017">
        <w:r>
          <w:rPr>
            <w:rStyle w:val="Hyperlink"/>
          </w:rPr>
          <w:t xml:space="preserve">Funk et al., 2017</w:t>
        </w:r>
      </w:hyperlink>
      <w:r>
        <w:t xml:space="preserve">)</w:t>
      </w:r>
      <w:r>
        <w:t xml:space="preserve">, the bulk of exposure to science can be assumed to happen during education. Education, and in particular science education, has been consistently identified as one of the strongest predictors of trust in science</w:t>
      </w:r>
      <w:r>
        <w:t xml:space="preserve"> </w:t>
      </w:r>
      <w:r>
        <w:t xml:space="preserve">(</w:t>
      </w:r>
      <w:hyperlink w:anchor="ref-noyScienceGoodEffects2019">
        <w:r>
          <w:rPr>
            <w:rStyle w:val="Hyperlink"/>
          </w:rPr>
          <w:t xml:space="preserve">Noy &amp; O’Brien, 2019</w:t>
        </w:r>
      </w:hyperlink>
      <w:r>
        <w:t xml:space="preserve">;</w:t>
      </w:r>
      <w:r>
        <w:t xml:space="preserve"> </w:t>
      </w:r>
      <w:hyperlink w:anchor="X02cb954775672ff7129fb691e9fce8f78cf2ad5">
        <w:r>
          <w:rPr>
            <w:rStyle w:val="Hyperlink"/>
          </w:rPr>
          <w:t xml:space="preserve">Wellcome Global Monitor, 2018</w:t>
        </w:r>
      </w:hyperlink>
      <w:r>
        <w:t xml:space="preserve">,</w:t>
      </w:r>
      <w:r>
        <w:t xml:space="preserve"> </w:t>
      </w:r>
      <w:hyperlink w:anchor="X1228c58a1af7bd8622fc2077f37041e3a35d250">
        <w:r>
          <w:rPr>
            <w:rStyle w:val="Hyperlink"/>
          </w:rPr>
          <w:t xml:space="preserve">2020</w:t>
        </w:r>
      </w:hyperlink>
      <w:r>
        <w:t xml:space="preserve">; but see</w:t>
      </w:r>
      <w:r>
        <w:t xml:space="preserve"> </w:t>
      </w:r>
      <w:hyperlink w:anchor="ref-colognaTrustScientistsTheir2025">
        <w:r>
          <w:rPr>
            <w:rStyle w:val="Hyperlink"/>
          </w:rPr>
          <w:t xml:space="preserve">Cologna et al., 2025</w:t>
        </w:r>
      </w:hyperlink>
      <w:r>
        <w:t xml:space="preserve"> </w:t>
      </w:r>
      <w:r>
        <w:t xml:space="preserve">who only find a small positive relationship between tertiary education and trust in science)</w:t>
      </w:r>
      <w:r>
        <w:t xml:space="preserve">. This is compatible with the fact that people, even those who received a science education, do not know much about science: if we assume that education has some causal effect on trust in science, this effect does not need to be driven by a pure transmission of knowledge and understanding</w:t>
      </w:r>
      <w:r>
        <w:t xml:space="preserve"> </w:t>
      </w:r>
      <w:r>
        <w:t xml:space="preserve">(for a similar argument, see</w:t>
      </w:r>
      <w:r>
        <w:t xml:space="preserve"> </w:t>
      </w:r>
      <w:hyperlink w:anchor="ref-bakEducationPublicAttitudes2001">
        <w:r>
          <w:rPr>
            <w:rStyle w:val="Hyperlink"/>
          </w:rPr>
          <w:t xml:space="preserve">Bak, 2001</w:t>
        </w:r>
      </w:hyperlink>
      <w:r>
        <w:t xml:space="preserve">)</w:t>
      </w:r>
      <w:r>
        <w:t xml:space="preserve">. The candidate mechanism proposed by the rational impression account is exposure to impressive scientific content. Students might not understand all of it, and potentially recall even less later on; but they might have been impressed by it, to the point that they come to perceive scientists as competent, and thus as trustworthy, at least in that respect. This impression might persist even when specific knowledge vanishes. In line with this,</w:t>
      </w:r>
      <w:r>
        <w:t xml:space="preserve"> </w:t>
      </w:r>
      <w:r>
        <w:t xml:space="preserve">Motta (</w:t>
      </w:r>
      <w:hyperlink w:anchor="ref-mottaEnduringEffectScientific2018">
        <w:r>
          <w:rPr>
            <w:rStyle w:val="Hyperlink"/>
          </w:rPr>
          <w:t xml:space="preserve">2018</w:t>
        </w:r>
      </w:hyperlink>
      <w:r>
        <w:t xml:space="preserve">)</w:t>
      </w:r>
      <w:r>
        <w:t xml:space="preserve"> </w:t>
      </w:r>
      <w:r>
        <w:t xml:space="preserve">found that, in the US, the more children were interested in science at age 12–14 years, the more they tended to trust in climate scientists in adulthood (mid thirties), irrespective of their political ideology.</w:t>
      </w:r>
    </w:p>
    <w:p>
      <w:pPr>
        <w:pStyle w:val="BodyText"/>
      </w:pPr>
      <w:r>
        <w:t xml:space="preserve">A third prediction is that people with a basic science education should have had ample opportunities to form impressions of trustworthiness of science, which should have built a solid baseline of trust in science. These people should have had the opportunity to form impressions of trustworthiness of science. This should have built a solid baseline of trust in science. People might deviate from this default and distrust science on certain specific science topics for various reasons, but they should trust most of science. This is in line with the finding that in the US, almost everyone–even people who say they don’t trust science in general or who hold specific beliefs blatantly violating scientific knowledge (e.g. that the earth is flat)–trusts almost all of basic science knowledge (e.g. that electrons are smaller than atoms)</w:t>
      </w:r>
      <w:r>
        <w:t xml:space="preserve"> </w:t>
      </w:r>
      <w:r>
        <w:t xml:space="preserve">(</w:t>
      </w:r>
      <w:hyperlink w:anchor="X3aa345bc55a1b443f83628a0a523e7a5d8269dd">
        <w:r>
          <w:rPr>
            <w:rStyle w:val="Hyperlink"/>
          </w:rPr>
          <w:t xml:space="preserve">Pfänder, Kerzreho, et al., 2025</w:t>
        </w:r>
      </w:hyperlink>
      <w:r>
        <w:t xml:space="preserve">)</w:t>
      </w:r>
      <w:r>
        <w:t xml:space="preserve">.</w:t>
      </w:r>
    </w:p>
    <w:bookmarkEnd w:id="44"/>
    <w:bookmarkStart w:id="45" w:name="counterarguments"/>
    <w:p>
      <w:pPr>
        <w:pStyle w:val="Heading2"/>
      </w:pPr>
      <w:r>
        <w:t xml:space="preserve">Counterarguments</w:t>
      </w:r>
    </w:p>
    <w:p>
      <w:pPr>
        <w:pStyle w:val="FirstParagraph"/>
      </w:pPr>
      <w:r>
        <w:t xml:space="preserve">There are several theoretical and empirical counterarguments that can be made against the rational impression account. Here, we will try to discuss some of them.</w:t>
      </w:r>
    </w:p>
    <w:p>
      <w:pPr>
        <w:pStyle w:val="BodyText"/>
      </w:pPr>
      <w:r>
        <w:t xml:space="preserve">How is the rational impression account</w:t>
      </w:r>
      <w:r>
        <w:t xml:space="preserve"> </w:t>
      </w:r>
      <w:r>
        <w:t xml:space="preserve">“rational”</w:t>
      </w:r>
      <w:r>
        <w:t xml:space="preserve">, if it posits that trust is largely detached from recalling specific knowledge? It is rational in that the cognitive mechanisms it builds on lead to sound inferences in many contexts. If someone discovers something that is hard to know, such as the size of the Milky Way, and there appears to be a consensus, we should expect them to be competent, even without knowing the details of how they made this discovery. Even forgetting specific knowledge is not irrational: It has been argued that one of the main functions of episodic memory is to justify our beliefs in communication with others</w:t>
      </w:r>
      <w:r>
        <w:t xml:space="preserve"> </w:t>
      </w:r>
      <w:r>
        <w:t xml:space="preserve">(</w:t>
      </w:r>
      <w:hyperlink w:anchor="ref-mahrWhyWeRemember2018">
        <w:r>
          <w:rPr>
            <w:rStyle w:val="Hyperlink"/>
          </w:rPr>
          <w:t xml:space="preserve">Mahr &amp; Csibra, 2018</w:t>
        </w:r>
      </w:hyperlink>
      <w:r>
        <w:t xml:space="preserve">)</w:t>
      </w:r>
      <w:r>
        <w:t xml:space="preserve">. As a result, we should be particularly good at remembering things we might need to convince others of. In this regard, incentives of remembering science seem to be weak: Most exposure to science happens at school, and there is little reason for young learners’ minds to anticipate having to convince others of the merits of specific scientific findings, which are typically of little practical relevance to them, and which appear to be consensually accepted.</w:t>
      </w:r>
    </w:p>
    <w:p>
      <w:pPr>
        <w:pStyle w:val="BodyText"/>
      </w:pPr>
      <w:r>
        <w:t xml:space="preserve">How do people come to a representation of science as consensual? In practice–with perhaps some exceptions, such as during the Covid-19 pandemic–most people do not literally compare the opinions of different scientists for themselves and come to the conclusion that something is largely consensual. Where, then, could the representation of consensus possibly emerge? A plausible explanation, we believe, is that education fosters a representation of consensus: During education, in particular during early education, knowledge is typically presented as simply the result of science–a seemingly unanimous enterprise that produces knowledge. School books hardly teach about historical science controversies, suggest uncertainty around scientific findings, or cover cutting-edge research where disagreements are the norm. This could induce a default consensus assumption in people’s perceptions of science. However, this argument is of course only speculative.</w:t>
      </w:r>
    </w:p>
    <w:p>
      <w:pPr>
        <w:pStyle w:val="BodyText"/>
      </w:pPr>
      <w:r>
        <w:t xml:space="preserve">If the account relies on deference to consensus, why should it be specific to science? Inferences from consensus to accuracy should happen in all sorts of context–in fact, the experimental evidence has been obtained in settings unrelated to science</w:t>
      </w:r>
      <w:r>
        <w:t xml:space="preserve"> </w:t>
      </w:r>
      <w:r>
        <w:t xml:space="preserve">(</w:t>
      </w:r>
      <w:hyperlink w:anchor="ref-pfanderHowWiseCrowd2025">
        <w:r>
          <w:rPr>
            <w:rStyle w:val="Hyperlink"/>
          </w:rPr>
          <w:t xml:space="preserve">Pfänder, De Courson, et al., 2025</w:t>
        </w:r>
      </w:hyperlink>
      <w:r>
        <w:t xml:space="preserve">)</w:t>
      </w:r>
      <w:r>
        <w:t xml:space="preserve">. This inference is not necessarily always sound: There are historic examples where there has been broad agreement on misbeliefs, such as when Christian theologians had calculated that the Earth was approximately six thousand years old. If people were aware of this broad agreement, and believed the theologians to have reached it independently of each other, this might have led them to believe their estimate to be accurate, and the theologians to be competent. However, maintaining a consensus around beliefs is hard, and, compared to other institutions, science is exceptionally good at producing consensus</w:t>
      </w:r>
      <w:r>
        <w:t xml:space="preserve"> </w:t>
      </w:r>
      <w:r>
        <w:t xml:space="preserve">(</w:t>
      </w:r>
      <w:hyperlink w:anchor="X7010f9d6c8c8fbaeb07db8f1c7591736a4acd01">
        <w:r>
          <w:rPr>
            <w:rStyle w:val="Hyperlink"/>
          </w:rPr>
          <w:t xml:space="preserve">Collins, 2002</w:t>
        </w:r>
      </w:hyperlink>
      <w:r>
        <w:t xml:space="preserve">)</w:t>
      </w:r>
      <w:r>
        <w:t xml:space="preserve">.</w:t>
      </w:r>
    </w:p>
    <w:p>
      <w:pPr>
        <w:pStyle w:val="BodyText"/>
      </w:pPr>
      <w:r>
        <w:t xml:space="preserve">Why do some people trust science even if they haven’t been to school? Even people with no education, and thus presumably very little exposure to science, have some trust in science</w:t>
      </w:r>
      <w:r>
        <w:t xml:space="preserve"> </w:t>
      </w:r>
      <w:r>
        <w:t xml:space="preserve">(</w:t>
      </w:r>
      <w:hyperlink w:anchor="X02cb954775672ff7129fb691e9fce8f78cf2ad5">
        <w:r>
          <w:rPr>
            <w:rStyle w:val="Hyperlink"/>
          </w:rPr>
          <w:t xml:space="preserve">Wellcome Global Monitor, 2018</w:t>
        </w:r>
      </w:hyperlink>
      <w:r>
        <w:t xml:space="preserve">)</w:t>
      </w:r>
      <w:r>
        <w:t xml:space="preserve">. A possible explanation for this could be two step effects: people with little or no education trust some people who have an education (step one) and those people who have an education trust science because of mechanisms described in the rational impression account (step two).</w:t>
      </w:r>
    </w:p>
    <w:p>
      <w:pPr>
        <w:pStyle w:val="BodyText"/>
      </w:pPr>
      <w:r>
        <w:t xml:space="preserve">Conversely, why do some people distrust science even though they have been to school? In the global north, where essentially everyone has been exposed to science through a basic science education, some people do not trust some aspects of science, or say they don’t trust science in general</w:t>
      </w:r>
      <w:r>
        <w:t xml:space="preserve"> </w:t>
      </w:r>
      <w:r>
        <w:t xml:space="preserve">(even if that is not really true, see</w:t>
      </w:r>
      <w:r>
        <w:t xml:space="preserve"> </w:t>
      </w:r>
      <w:hyperlink w:anchor="X3aa345bc55a1b443f83628a0a523e7a5d8269dd">
        <w:r>
          <w:rPr>
            <w:rStyle w:val="Hyperlink"/>
          </w:rPr>
          <w:t xml:space="preserve">Pfänder, Kerzreho, et al., 2025</w:t>
        </w:r>
      </w:hyperlink>
      <w:r>
        <w:t xml:space="preserve">)</w:t>
      </w:r>
      <w:r>
        <w:t xml:space="preserve">. In these cases, trust in science is likely to be a default state, but other cognitive mechanisms can lead people to deviate from this default. Suggestions on such mechanisms have already been made for specific issues such as vaccination</w:t>
      </w:r>
      <w:r>
        <w:t xml:space="preserve"> </w:t>
      </w:r>
      <w:r>
        <w:t xml:space="preserve">(</w:t>
      </w:r>
      <w:hyperlink w:anchor="Xae190a4648828df49a0b88dafe4b4473e1faed6">
        <w:r>
          <w:rPr>
            <w:rStyle w:val="Hyperlink"/>
          </w:rPr>
          <w:t xml:space="preserve">Miton &amp; Mercier, 2015</w:t>
        </w:r>
      </w:hyperlink>
      <w:r>
        <w:t xml:space="preserve">)</w:t>
      </w:r>
      <w:r>
        <w:t xml:space="preserve">, GMOs</w:t>
      </w:r>
      <w:r>
        <w:t xml:space="preserve"> </w:t>
      </w:r>
      <w:r>
        <w:t xml:space="preserve">(</w:t>
      </w:r>
      <w:hyperlink w:anchor="ref-blanckeFatalAttractionIntuitive2015">
        <w:r>
          <w:rPr>
            <w:rStyle w:val="Hyperlink"/>
          </w:rPr>
          <w:t xml:space="preserve">Blancke et al., 2015</w:t>
        </w:r>
      </w:hyperlink>
      <w:r>
        <w:t xml:space="preserve">)</w:t>
      </w:r>
      <w:r>
        <w:t xml:space="preserve">, or nuclear energy</w:t>
      </w:r>
      <w:r>
        <w:t xml:space="preserve"> </w:t>
      </w:r>
      <w:r>
        <w:t xml:space="preserve">(</w:t>
      </w:r>
      <w:hyperlink w:anchor="ref-hacquinDisgustSensitivityPublic2021">
        <w:r>
          <w:rPr>
            <w:rStyle w:val="Hyperlink"/>
          </w:rPr>
          <w:t xml:space="preserve">Hacquin et al., 2021</w:t>
        </w:r>
      </w:hyperlink>
      <w:r>
        <w:t xml:space="preserve">)</w:t>
      </w:r>
      <w:r>
        <w:t xml:space="preserve">, but more research is needed to better understand what motivates distrust in science</w:t>
      </w:r>
      <w:r>
        <w:t xml:space="preserve"> </w:t>
      </w:r>
      <w:r>
        <w:t xml:space="preserve">(</w:t>
      </w:r>
      <w:hyperlink w:anchor="ref-hornseyWhyFactsAre2020">
        <w:r>
          <w:rPr>
            <w:rStyle w:val="Hyperlink"/>
          </w:rPr>
          <w:t xml:space="preserve">Hornsey, 2020</w:t>
        </w:r>
      </w:hyperlink>
      <w:r>
        <w:t xml:space="preserve">)</w:t>
      </w:r>
      <w:r>
        <w:t xml:space="preserve">.</w:t>
      </w:r>
    </w:p>
    <w:bookmarkEnd w:id="45"/>
    <w:bookmarkEnd w:id="46"/>
    <w:bookmarkStart w:id="47" w:name="discussion"/>
    <w:p>
      <w:pPr>
        <w:pStyle w:val="Heading1"/>
      </w:pPr>
      <w:r>
        <w:t xml:space="preserve">Discussion</w:t>
      </w:r>
    </w:p>
    <w:p>
      <w:pPr>
        <w:pStyle w:val="FirstParagraph"/>
      </w:pPr>
      <w:r>
        <w:t xml:space="preserve">It has long been a puzzle to the deficit model–which suggests that trust in science is primarily driven by science knowledge–that knowledge of science is at best weakly associated with science attitudes</w:t>
      </w:r>
      <w:r>
        <w:t xml:space="preserve"> </w:t>
      </w:r>
      <w:r>
        <w:t xml:space="preserve">(</w:t>
      </w:r>
      <w:hyperlink w:anchor="ref-allumScienceKnowledgeAttitudes2008">
        <w:r>
          <w:rPr>
            <w:rStyle w:val="Hyperlink"/>
          </w:rPr>
          <w:t xml:space="preserve">Allum et al., 2008</w:t>
        </w:r>
      </w:hyperlink>
      <w:r>
        <w:t xml:space="preserve">;</w:t>
      </w:r>
      <w:r>
        <w:t xml:space="preserve"> </w:t>
      </w:r>
      <w:hyperlink w:anchor="X87ba04d7f6f955d7dab2970dc3ff653de6258ce">
        <w:r>
          <w:rPr>
            <w:rStyle w:val="Hyperlink"/>
          </w:rPr>
          <w:t xml:space="preserve">National Academies of Sciences, Engineering, and Medicine, 2016</w:t>
        </w:r>
      </w:hyperlink>
      <w:r>
        <w:t xml:space="preserve">)</w:t>
      </w:r>
      <w:r>
        <w:t xml:space="preserve">. The rational impression account can make sense of this: it lays out how trusting science without recalling specific knowledge can be the result of a sound inference process, rooted in basic cognitive mechanisms of information evaluation.</w:t>
      </w:r>
    </w:p>
    <w:p>
      <w:pPr>
        <w:pStyle w:val="BodyText"/>
      </w:pPr>
      <w:r>
        <w:t xml:space="preserve">The account is compatible with the finding that education, and in particular science education, has been repeatedly identified as one of the strongest correlates of trust in science</w:t>
      </w:r>
      <w:r>
        <w:t xml:space="preserve"> </w:t>
      </w:r>
      <w:r>
        <w:t xml:space="preserve">(</w:t>
      </w:r>
      <w:hyperlink w:anchor="ref-bakEducationPublicAttitudes2001">
        <w:r>
          <w:rPr>
            <w:rStyle w:val="Hyperlink"/>
          </w:rPr>
          <w:t xml:space="preserve">Bak, 2001</w:t>
        </w:r>
      </w:hyperlink>
      <w:r>
        <w:t xml:space="preserve">;</w:t>
      </w:r>
      <w:r>
        <w:t xml:space="preserve"> </w:t>
      </w:r>
      <w:hyperlink w:anchor="ref-noyScienceGoodEffects2019">
        <w:r>
          <w:rPr>
            <w:rStyle w:val="Hyperlink"/>
          </w:rPr>
          <w:t xml:space="preserve">Noy &amp; O’Brien, 2019</w:t>
        </w:r>
      </w:hyperlink>
      <w:r>
        <w:t xml:space="preserve">;</w:t>
      </w:r>
      <w:r>
        <w:t xml:space="preserve"> </w:t>
      </w:r>
      <w:hyperlink w:anchor="X02cb954775672ff7129fb691e9fce8f78cf2ad5">
        <w:r>
          <w:rPr>
            <w:rStyle w:val="Hyperlink"/>
          </w:rPr>
          <w:t xml:space="preserve">Wellcome Global Monitor, 2018</w:t>
        </w:r>
      </w:hyperlink>
      <w:r>
        <w:t xml:space="preserve">,</w:t>
      </w:r>
      <w:r>
        <w:t xml:space="preserve"> </w:t>
      </w:r>
      <w:hyperlink w:anchor="X1228c58a1af7bd8622fc2077f37041e3a35d250">
        <w:r>
          <w:rPr>
            <w:rStyle w:val="Hyperlink"/>
          </w:rPr>
          <w:t xml:space="preserve">2020</w:t>
        </w:r>
      </w:hyperlink>
      <w:r>
        <w:t xml:space="preserve">; but see</w:t>
      </w:r>
      <w:r>
        <w:t xml:space="preserve"> </w:t>
      </w:r>
      <w:hyperlink w:anchor="ref-colognaTrustScientistsTheir2025">
        <w:r>
          <w:rPr>
            <w:rStyle w:val="Hyperlink"/>
          </w:rPr>
          <w:t xml:space="preserve">Cologna et al., 2025</w:t>
        </w:r>
      </w:hyperlink>
      <w:r>
        <w:t xml:space="preserve">)</w:t>
      </w:r>
      <w:r>
        <w:t xml:space="preserve">. By contrast with the deficit model, it suggests that the main causal role of education for public trust in science is not transmission of knowledge and understanding, but impression generation.</w:t>
      </w:r>
    </w:p>
    <w:p>
      <w:pPr>
        <w:pStyle w:val="BodyText"/>
      </w:pPr>
      <w:r>
        <w:t xml:space="preserve">The rational impression account aligns with recent normative accounts of what makes science trustworthy. Instead of particular institutional features-certain methods, norms, or processes–these accounts argue that the trustworthiness of science lies in its diversity:</w:t>
      </w:r>
      <w:r>
        <w:t xml:space="preserve"> </w:t>
      </w:r>
      <w:r>
        <w:t xml:space="preserve">Cartwright et al. (</w:t>
      </w:r>
      <w:hyperlink w:anchor="X8b9e7025fb846373ac981265145fb9c0724b88d">
        <w:r>
          <w:rPr>
            <w:rStyle w:val="Hyperlink"/>
          </w:rPr>
          <w:t xml:space="preserve">2022</w:t>
        </w:r>
      </w:hyperlink>
      <w:r>
        <w:t xml:space="preserve">)</w:t>
      </w:r>
      <w:r>
        <w:t xml:space="preserve"> </w:t>
      </w:r>
      <w:r>
        <w:t xml:space="preserve">make the case that scientific knowledge emerges from a</w:t>
      </w:r>
      <w:r>
        <w:t xml:space="preserve"> </w:t>
      </w:r>
      <w:r>
        <w:t xml:space="preserve">“tangle”</w:t>
      </w:r>
      <w:r>
        <w:t xml:space="preserve"> </w:t>
      </w:r>
      <w:r>
        <w:t xml:space="preserve">of results, relying on diverse research methods.</w:t>
      </w:r>
      <w:r>
        <w:t xml:space="preserve"> </w:t>
      </w:r>
      <w:r>
        <w:t xml:space="preserve">Oreskes (</w:t>
      </w:r>
      <w:hyperlink w:anchor="ref-oreskesWhyTrustScience2019">
        <w:r>
          <w:rPr>
            <w:rStyle w:val="Hyperlink"/>
          </w:rPr>
          <w:t xml:space="preserve">2019</w:t>
        </w:r>
      </w:hyperlink>
      <w:r>
        <w:t xml:space="preserve">)</w:t>
      </w:r>
      <w:r>
        <w:t xml:space="preserve"> </w:t>
      </w:r>
      <w:r>
        <w:t xml:space="preserve">makes a similar case: She argues that scientific practice takes place in different scientific communities who rely on a variety of different research methods. Through some shared practices, in particular peer-review, these communities engage in critical dialogue. What makes scientific knowledge trustworthy, according to Oreskes, is when from this diversity of actors and methods, a consensus emerges. According to this view, to infer trustworthiness, people should have a representation of the diversity of science. The rational impression account is, in a way, less strict: it does not require a representation of diversity. It does require, however, that people have a representation of science as an institution of independent thinkers.</w:t>
      </w:r>
    </w:p>
    <w:p>
      <w:pPr>
        <w:pStyle w:val="BodyText"/>
      </w:pPr>
      <w:r>
        <w:t xml:space="preserve">The rational impressions account faces two main theoretical limitations. First, it proposes a possible micro-level model of trust in science and should be seen as complementing, not competing with, macro-level processes that shape public trust in science. The rational impression account fits with a sociological literature investigating how</w:t>
      </w:r>
      <w:r>
        <w:t xml:space="preserve"> </w:t>
      </w:r>
      <w:r>
        <w:t xml:space="preserve">“individual cognition and practice establish and maintain institutional fields and status hierarchies, especially in the face of imperfect knowledge”</w:t>
      </w:r>
      <w:r>
        <w:t xml:space="preserve"> </w:t>
      </w:r>
      <w:r>
        <w:t xml:space="preserve">(</w:t>
      </w:r>
      <w:hyperlink w:anchor="X0e47c0694117ec59a2fbb3044ab48a824fedc7d">
        <w:r>
          <w:rPr>
            <w:rStyle w:val="Hyperlink"/>
          </w:rPr>
          <w:t xml:space="preserve">Gauchat &amp; Andrews, 2018, p. 569</w:t>
        </w:r>
      </w:hyperlink>
      <w:r>
        <w:t xml:space="preserve">)</w:t>
      </w:r>
      <w:r>
        <w:t xml:space="preserve">. However, sociological macro-level accounts have described how trust in science is entangled with broader cultural and political dynamics. These accounts, like the individual-level accounts reviewed above, tend to focus on explaining distrust in science. For example,</w:t>
      </w:r>
      <w:r>
        <w:t xml:space="preserve"> </w:t>
      </w:r>
      <w:r>
        <w:t xml:space="preserve">Gauchat (</w:t>
      </w:r>
      <w:hyperlink w:anchor="ref-gauchatCulturalAuthorityScience2011">
        <w:r>
          <w:rPr>
            <w:rStyle w:val="Hyperlink"/>
          </w:rPr>
          <w:t xml:space="preserve">2011</w:t>
        </w:r>
      </w:hyperlink>
      <w:r>
        <w:t xml:space="preserve">)</w:t>
      </w:r>
      <w:r>
        <w:t xml:space="preserve"> </w:t>
      </w:r>
      <w:r>
        <w:t xml:space="preserve">describes the</w:t>
      </w:r>
      <w:r>
        <w:t xml:space="preserve"> </w:t>
      </w:r>
      <w:r>
        <w:t xml:space="preserve">‘alienation model’</w:t>
      </w:r>
      <w:r>
        <w:t xml:space="preserve">, according to which the</w:t>
      </w:r>
      <w:r>
        <w:t xml:space="preserve"> </w:t>
      </w:r>
      <w:r>
        <w:t xml:space="preserve">“public disassociation with science is a symptom of a general disenchantment with late modernity, mainly, the limitations associated with codified expertise, rational bureaucracy, and institutional authority”</w:t>
      </w:r>
      <w:r>
        <w:t xml:space="preserve"> </w:t>
      </w:r>
      <w:r>
        <w:t xml:space="preserve">(</w:t>
      </w:r>
      <w:hyperlink w:anchor="ref-gauchatCulturalAuthorityScience2011">
        <w:r>
          <w:rPr>
            <w:rStyle w:val="Hyperlink"/>
          </w:rPr>
          <w:t xml:space="preserve">Gauchat, 2011, p. 2</w:t>
        </w:r>
      </w:hyperlink>
      <w:r>
        <w:t xml:space="preserve">)</w:t>
      </w:r>
      <w:r>
        <w:t xml:space="preserve">. This explanation builds on the work of social theorists</w:t>
      </w:r>
      <w:r>
        <w:t xml:space="preserve"> </w:t>
      </w:r>
      <w:r>
        <w:t xml:space="preserve">(</w:t>
      </w:r>
      <w:hyperlink w:anchor="ref-beckRiskSocietyNew1992">
        <w:r>
          <w:rPr>
            <w:rStyle w:val="Hyperlink"/>
          </w:rPr>
          <w:t xml:space="preserve">Beck, 1992</w:t>
        </w:r>
      </w:hyperlink>
      <w:r>
        <w:t xml:space="preserve">;</w:t>
      </w:r>
      <w:r>
        <w:t xml:space="preserve"> </w:t>
      </w:r>
      <w:hyperlink w:anchor="ref-giddensModernitySelfidentitySelf1991">
        <w:r>
          <w:rPr>
            <w:rStyle w:val="Hyperlink"/>
          </w:rPr>
          <w:t xml:space="preserve">Giddens, 1991</w:t>
        </w:r>
      </w:hyperlink>
      <w:r>
        <w:t xml:space="preserve">;</w:t>
      </w:r>
      <w:r>
        <w:t xml:space="preserve"> </w:t>
      </w:r>
      <w:hyperlink w:anchor="ref-habermasJurgenHabermasSociety1989">
        <w:r>
          <w:rPr>
            <w:rStyle w:val="Hyperlink"/>
          </w:rPr>
          <w:t xml:space="preserve">Habermas, 1989</w:t>
        </w:r>
      </w:hyperlink>
      <w:r>
        <w:t xml:space="preserve">; see</w:t>
      </w:r>
      <w:r>
        <w:t xml:space="preserve"> </w:t>
      </w:r>
      <w:hyperlink w:anchor="ref-gauchatCulturalAuthorityScience2011">
        <w:r>
          <w:rPr>
            <w:rStyle w:val="Hyperlink"/>
          </w:rPr>
          <w:t xml:space="preserve">Gauchat, 2011</w:t>
        </w:r>
      </w:hyperlink>
      <w:r>
        <w:t xml:space="preserve"> </w:t>
      </w:r>
      <w:r>
        <w:t xml:space="preserve">for an overview)</w:t>
      </w:r>
      <w:r>
        <w:t xml:space="preserve"> </w:t>
      </w:r>
      <w:r>
        <w:t xml:space="preserve">who suggested that a modern, complex world increasingly requires expertise, and thus shapes institutions of knowledge elites. People who are not part of these institutions experience a lack of agency, resulting in a feeling of alienation. Similarly,</w:t>
      </w:r>
      <w:r>
        <w:t xml:space="preserve"> </w:t>
      </w:r>
      <w:r>
        <w:t xml:space="preserve">Gauchat (</w:t>
      </w:r>
      <w:hyperlink w:anchor="ref-gauchatLegitimacyScience2023">
        <w:r>
          <w:rPr>
            <w:rStyle w:val="Hyperlink"/>
          </w:rPr>
          <w:t xml:space="preserve">2023</w:t>
        </w:r>
      </w:hyperlink>
      <w:r>
        <w:t xml:space="preserve">)</w:t>
      </w:r>
      <w:r>
        <w:t xml:space="preserve"> </w:t>
      </w:r>
      <w:r>
        <w:t xml:space="preserve">argues that politicization of science in the US needs to be seen in its broader cultural context. Precisely, according to Gauchat, science has enabled the authority of the modern regulatory state. Consequently, conservative distrust of science reflects deeper structural tensions with the institutions and rational–legal authority of modern governance. At the micro-level, this is consistent with research showing that right-wing authoritarian ideology is associated with distrust towards science and scientists</w:t>
      </w:r>
      <w:r>
        <w:t xml:space="preserve"> </w:t>
      </w:r>
      <w:r>
        <w:t xml:space="preserve">(</w:t>
      </w:r>
      <w:hyperlink w:anchor="X7271f27864d8c7d232535c8cd1909148705d1ad">
        <w:r>
          <w:rPr>
            <w:rStyle w:val="Hyperlink"/>
          </w:rPr>
          <w:t xml:space="preserve">Kerr &amp; Wilson, 2021</w:t>
        </w:r>
      </w:hyperlink>
      <w:r>
        <w:t xml:space="preserve">)</w:t>
      </w:r>
      <w:r>
        <w:t xml:space="preserve">.</w:t>
      </w:r>
    </w:p>
    <w:p>
      <w:pPr>
        <w:pStyle w:val="BodyText"/>
      </w:pPr>
      <w:r>
        <w:t xml:space="preserve">Second, it is rational impressions account is a model for explaining trust, not for explaining distrust. In the context of trust in political institutions, it has been argued that trust and distrust are not necessarily symmetrical: what causes the former might not help alleviate the latter</w:t>
      </w:r>
      <w:r>
        <w:t xml:space="preserve"> </w:t>
      </w:r>
      <w:r>
        <w:t xml:space="preserve">(</w:t>
      </w:r>
      <w:hyperlink w:anchor="X49e63c10219a17dbe4e11e193fe126a35d78953">
        <w:r>
          <w:rPr>
            <w:rStyle w:val="Hyperlink"/>
          </w:rPr>
          <w:t xml:space="preserve">Bertsou, 2019</w:t>
        </w:r>
      </w:hyperlink>
      <w:r>
        <w:t xml:space="preserve">)</w:t>
      </w:r>
      <w:r>
        <w:t xml:space="preserve">. We believe this is, at least to some degree, true for science, too. As we have argued above, trust in science is likely the default state for people who have received a basic science education, but several other cognitive mechanisms can explain why people would deviate from that default. This distinction between trust and distrust matters also for normative judgments about distrust in science: Just because we propose an account by which trust in science can be the result of a rational cognitive process, this does not imply that, conversely, all distrust in science is irrational. Some groups of people do in fact have good reasons not to trust science. For example, some science has historically contributed to fostering racism</w:t>
      </w:r>
      <w:r>
        <w:t xml:space="preserve"> </w:t>
      </w:r>
      <w:r>
        <w:t xml:space="preserve">(see e.g.</w:t>
      </w:r>
      <w:r>
        <w:t xml:space="preserve"> </w:t>
      </w:r>
      <w:hyperlink w:anchor="ref-fuentesSystemicRacismScience2023">
        <w:r>
          <w:rPr>
            <w:rStyle w:val="Hyperlink"/>
          </w:rPr>
          <w:t xml:space="preserve">Fuentes, 2023</w:t>
        </w:r>
      </w:hyperlink>
      <w:r>
        <w:t xml:space="preserve">;</w:t>
      </w:r>
      <w:r>
        <w:t xml:space="preserve"> </w:t>
      </w:r>
      <w:hyperlink w:anchor="ref-noblesScienceMustOvercome2022">
        <w:r>
          <w:rPr>
            <w:rStyle w:val="Hyperlink"/>
          </w:rPr>
          <w:t xml:space="preserve">Nobles et al., 2022</w:t>
        </w:r>
      </w:hyperlink>
      <w:r>
        <w:t xml:space="preserve">)</w:t>
      </w:r>
      <w:r>
        <w:t xml:space="preserve">, via instances such as the tragically famous Tuskegee syphilis study</w:t>
      </w:r>
      <w:r>
        <w:t xml:space="preserve"> </w:t>
      </w:r>
      <w:r>
        <w:t xml:space="preserve">(</w:t>
      </w:r>
      <w:hyperlink w:anchor="ref-brandtRacismResearchCase1978">
        <w:r>
          <w:rPr>
            <w:rStyle w:val="Hyperlink"/>
          </w:rPr>
          <w:t xml:space="preserve">Brandt, 1978</w:t>
        </w:r>
      </w:hyperlink>
      <w:r>
        <w:t xml:space="preserve">;</w:t>
      </w:r>
      <w:r>
        <w:t xml:space="preserve"> </w:t>
      </w:r>
      <w:hyperlink w:anchor="ref-scharffMoreTuskegeeUnderstanding2010">
        <w:r>
          <w:rPr>
            <w:rStyle w:val="Hyperlink"/>
          </w:rPr>
          <w:t xml:space="preserve">Scharff et al., 2010</w:t>
        </w:r>
      </w:hyperlink>
      <w:r>
        <w:t xml:space="preserve">)</w:t>
      </w:r>
      <w:r>
        <w:t xml:space="preserve">.</w:t>
      </w:r>
    </w:p>
    <w:p>
      <w:pPr>
        <w:pStyle w:val="BodyText"/>
      </w:pPr>
      <w:r>
        <w:t xml:space="preserve">As a model of explaining existing trust in science, the rational impression account is limited in its practical implications for science communication and education. First, we do not think that science communication should stress consensus at all costs. In the rational impression account, consensus plays a central role for generating trust. However, this should not incentivize science communicators to neglect transparency about uncertainty. Acknowledging uncertainty in science communication has been argued to be crucial for fostering long term trust in science</w:t>
      </w:r>
      <w:r>
        <w:t xml:space="preserve"> </w:t>
      </w:r>
      <w:r>
        <w:t xml:space="preserve">(</w:t>
      </w:r>
      <w:hyperlink w:anchor="X6bca7e1eef2eda0675198a60d0275e3d6048985">
        <w:r>
          <w:rPr>
            <w:rStyle w:val="Hyperlink"/>
          </w:rPr>
          <w:t xml:space="preserve">Druckman, 2015</w:t>
        </w:r>
      </w:hyperlink>
      <w:r>
        <w:t xml:space="preserve">)</w:t>
      </w:r>
      <w:r>
        <w:t xml:space="preserve">. For example, in the context of Covid-19 vaccines,</w:t>
      </w:r>
      <w:r>
        <w:t xml:space="preserve"> </w:t>
      </w:r>
      <w:r>
        <w:t xml:space="preserve">Petersen et al. (</w:t>
      </w:r>
      <w:hyperlink w:anchor="X5fca18bbce45052f147313c0f16b550f0a4adbb">
        <w:r>
          <w:rPr>
            <w:rStyle w:val="Hyperlink"/>
          </w:rPr>
          <w:t xml:space="preserve">2021</w:t>
        </w:r>
      </w:hyperlink>
      <w:r>
        <w:t xml:space="preserve">)</w:t>
      </w:r>
      <w:r>
        <w:t xml:space="preserve"> </w:t>
      </w:r>
      <w:r>
        <w:t xml:space="preserve">have shown that communicating uncertainty is crucial for building long term trust in health authorities.</w:t>
      </w:r>
    </w:p>
    <w:p>
      <w:pPr>
        <w:pStyle w:val="BodyText"/>
      </w:pPr>
      <w:r>
        <w:t xml:space="preserve">Second, science communication should not aim for impressiveness at all costs either. Research has shown that intellectual humility can increase trust in scientists</w:t>
      </w:r>
      <w:r>
        <w:t xml:space="preserve"> </w:t>
      </w:r>
      <w:r>
        <w:t xml:space="preserve">(</w:t>
      </w:r>
      <w:hyperlink w:anchor="ref-koetkeEffectSeeingScientists2024">
        <w:r>
          <w:rPr>
            <w:rStyle w:val="Hyperlink"/>
          </w:rPr>
          <w:t xml:space="preserve">Koetke et al., 2024</w:t>
        </w:r>
      </w:hyperlink>
      <w:r>
        <w:t xml:space="preserve">)</w:t>
      </w:r>
      <w:r>
        <w:t xml:space="preserve">. Trying to oversell scientific results might therefore backfire. People appear to value transparency via open data practices in science</w:t>
      </w:r>
      <w:r>
        <w:t xml:space="preserve"> </w:t>
      </w:r>
      <w:r>
        <w:t xml:space="preserve">(</w:t>
      </w:r>
      <w:hyperlink w:anchor="ref-songTrustingShouldersOpen2022">
        <w:r>
          <w:rPr>
            <w:rStyle w:val="Hyperlink"/>
          </w:rPr>
          <w:t xml:space="preserve">Song et al., 2022</w:t>
        </w:r>
      </w:hyperlink>
      <w:r>
        <w:t xml:space="preserve">)</w:t>
      </w:r>
      <w:r>
        <w:t xml:space="preserve">, and trust science that replicates more</w:t>
      </w:r>
      <w:r>
        <w:t xml:space="preserve"> </w:t>
      </w:r>
      <w:r>
        <w:t xml:space="preserve">(</w:t>
      </w:r>
      <w:hyperlink w:anchor="ref-hendriksReplicationCrisisTrust2020">
        <w:r>
          <w:rPr>
            <w:rStyle w:val="Hyperlink"/>
          </w:rPr>
          <w:t xml:space="preserve">Hendriks et al., 2020</w:t>
        </w:r>
      </w:hyperlink>
      <w:r>
        <w:t xml:space="preserve">)</w:t>
      </w:r>
      <w:r>
        <w:t xml:space="preserve">. We should therefore expect that simply doing better, more transparent science, and being humble about it, is likely to be the most effective strategy to impress the public and elicit perceptions of trustworthiness.</w:t>
      </w:r>
    </w:p>
    <w:p>
      <w:pPr>
        <w:pStyle w:val="BodyText"/>
      </w:pPr>
      <w:r>
        <w:t xml:space="preserve">Third, educators should not stop aiming at fostering a proper understanding of science. Most students might not understand all of the content, or recall much specific knowledge later on. However, for some students at least, some of that knowledge will be remembered, and will prove important in their lives. Second, to be impressive, a piece of information does not need to be confusingly complex. In fact, a proper understanding of research findings and their methods might even help in appreciating their complexity–even if, once again, that understanding is forgotten later.</w:t>
      </w:r>
    </w:p>
    <w:p>
      <w:pPr>
        <w:pStyle w:val="BodyText"/>
      </w:pPr>
      <w:r>
        <w:t xml:space="preserve">Despite these limitations, we believe that the rational impressions account offers optimism for studies of science-society interfaces, and the field of science communication in particular: Exposure to science, especially one that leaves an impression, might be the foundation of public trust in science. This means that effective science communication is essential for fostering trust in science. Low scientific literacy levels should not discourage education and communication efforts, as they are not necessarily a good indicator of the value added in terms of fostering trust in science.</w:t>
      </w:r>
    </w:p>
    <w:p>
      <w:pPr>
        <w:pStyle w:val="BodyText"/>
      </w:pPr>
      <w:r>
        <w:t xml:space="preserve">Taking a broader perspective, our account fits into a picture of humans as not gullible</w:t>
      </w:r>
      <w:r>
        <w:t xml:space="preserve"> </w:t>
      </w:r>
      <w:r>
        <w:t xml:space="preserve">(</w:t>
      </w:r>
      <w:hyperlink w:anchor="ref-mercierHowGullibleAre2017">
        <w:r>
          <w:rPr>
            <w:rStyle w:val="Hyperlink"/>
          </w:rPr>
          <w:t xml:space="preserve">Mercier, 2017</w:t>
        </w:r>
      </w:hyperlink>
      <w:r>
        <w:t xml:space="preserve">,</w:t>
      </w:r>
      <w:r>
        <w:t xml:space="preserve"> </w:t>
      </w:r>
      <w:hyperlink w:anchor="ref-mercierNotBornYesterday2020">
        <w:r>
          <w:rPr>
            <w:rStyle w:val="Hyperlink"/>
          </w:rPr>
          <w:t xml:space="preserve">2020</w:t>
        </w:r>
      </w:hyperlink>
      <w:r>
        <w:t xml:space="preserve">)</w:t>
      </w:r>
      <w:r>
        <w:t xml:space="preserve">. The</w:t>
      </w:r>
      <w:r>
        <w:t xml:space="preserve"> </w:t>
      </w:r>
      <w:r>
        <w:t xml:space="preserve">“failure”</w:t>
      </w:r>
      <w:r>
        <w:t xml:space="preserve"> </w:t>
      </w:r>
      <w:r>
        <w:t xml:space="preserve">of the deficit model–the fact that science knowledge appears to not be strongly associated with trust in science–might suggest that public trust in science is, to a large extent, irrational. The notion that trust in science is irrational or easily granted may amplify concerns about the impact of misinformation: if trust lacks a solid, rational foundation, then we would expect misinformation to easily lead people astray. There is much work to be done still to understand how misinformation impacts people’s beliefs, and in particular elite-driven misinformation and more subtle forms of misinformation, such as one-sided reporting. But it has been shown that people are generally able to distinguish between true and false news and, if anything, tend to be generally skeptical of news</w:t>
      </w:r>
      <w:r>
        <w:t xml:space="preserve"> </w:t>
      </w:r>
      <w:r>
        <w:t xml:space="preserve">(</w:t>
      </w:r>
      <w:hyperlink w:anchor="ref-pfanderSpottingFalseNews2025">
        <w:r>
          <w:rPr>
            <w:rStyle w:val="Hyperlink"/>
          </w:rPr>
          <w:t xml:space="preserve">Pfänder &amp; Altay, 2025</w:t>
        </w:r>
      </w:hyperlink>
      <w:r>
        <w:t xml:space="preserve">)</w:t>
      </w:r>
      <w:r>
        <w:t xml:space="preserve">. As a consequence, for a better informed public, fighting for (true) information seems at least as relevant as fighting against misinformation</w:t>
      </w:r>
      <w:r>
        <w:t xml:space="preserve"> </w:t>
      </w:r>
      <w:r>
        <w:t xml:space="preserve">(</w:t>
      </w:r>
      <w:hyperlink w:anchor="ref-acerbiResearchNoteFighting2022">
        <w:r>
          <w:rPr>
            <w:rStyle w:val="Hyperlink"/>
          </w:rPr>
          <w:t xml:space="preserve">Acerbi et al., 2022</w:t>
        </w:r>
      </w:hyperlink>
      <w:r>
        <w:t xml:space="preserve">)</w:t>
      </w:r>
      <w:r>
        <w:t xml:space="preserve">. Misinformation researchers increasingly acknowledge this: A recent report on science misinformation by the National Science Foundation</w:t>
      </w:r>
      <w:r>
        <w:t xml:space="preserve"> </w:t>
      </w:r>
      <w:r>
        <w:t xml:space="preserve">(</w:t>
      </w:r>
      <w:hyperlink w:anchor="X0333fa0217f4e6b211b693cae3be5570d8405be">
        <w:r>
          <w:rPr>
            <w:rStyle w:val="Hyperlink"/>
          </w:rPr>
          <w:t xml:space="preserve">National Academies of Sciences, 2024</w:t>
        </w:r>
      </w:hyperlink>
      <w:r>
        <w:t xml:space="preserve">)</w:t>
      </w:r>
      <w:r>
        <w:t xml:space="preserve"> </w:t>
      </w:r>
      <w:r>
        <w:t xml:space="preserve">dedicates considerable space on developing strategies to produce better information, for example by promoting high-quality science, health, and medical journalism.</w:t>
      </w:r>
    </w:p>
    <w:p>
      <w:pPr>
        <w:pStyle w:val="BodyText"/>
      </w:pPr>
      <w:r>
        <w:t xml:space="preserve">The rational impression account stresses the role of fighting for information, when it comes to fostering trust in science. Well-placed trust in science does not require profound understanding or recall of specific knowledge; but it does require exposure to good science.</w:t>
      </w:r>
    </w:p>
    <w:bookmarkEnd w:id="47"/>
    <w:bookmarkStart w:id="259" w:name="references"/>
    <w:p>
      <w:pPr>
        <w:pStyle w:val="Heading1"/>
      </w:pPr>
      <w:r>
        <w:t xml:space="preserve">References</w:t>
      </w:r>
    </w:p>
    <w:bookmarkStart w:id="258" w:name="refs"/>
    <w:bookmarkStart w:id="49" w:name="ref-acerbiResearchNoteFighting2022"/>
    <w:p>
      <w:pPr>
        <w:pStyle w:val="Bibliography"/>
      </w:pPr>
      <w:r>
        <w:t xml:space="preserve">Acerbi, A., Altay, S., &amp; Mercier, H. (2022). Research note: Fighting misinformation or fighting for information?</w:t>
      </w:r>
      <w:r>
        <w:t xml:space="preserve"> </w:t>
      </w:r>
      <w:r>
        <w:rPr>
          <w:i/>
          <w:iCs/>
        </w:rPr>
        <w:t xml:space="preserve">Harvard Kennedy School Misinformation Review</w:t>
      </w:r>
      <w:r>
        <w:t xml:space="preserve">.</w:t>
      </w:r>
      <w:r>
        <w:t xml:space="preserve"> </w:t>
      </w:r>
      <w:hyperlink r:id="rId48">
        <w:r>
          <w:rPr>
            <w:rStyle w:val="Hyperlink"/>
          </w:rPr>
          <w:t xml:space="preserve">https://doi.org/10.37016/mr-2020-87</w:t>
        </w:r>
      </w:hyperlink>
    </w:p>
    <w:bookmarkEnd w:id="49"/>
    <w:bookmarkStart w:id="51" w:name="ref-alganTrustScientistsTimes2021"/>
    <w:p>
      <w:pPr>
        <w:pStyle w:val="Bibliography"/>
      </w:pPr>
      <w:r>
        <w:t xml:space="preserve">Algan, Y., Cohen, D., Davoine, E., Foucault, M., &amp; Stantcheva, S. (2021). Trust in scientists in times of pandemic: Panel evidence from 12 countries.</w:t>
      </w:r>
      <w:r>
        <w:t xml:space="preserve"> </w:t>
      </w:r>
      <w:r>
        <w:rPr>
          <w:i/>
          <w:iCs/>
        </w:rPr>
        <w:t xml:space="preserve">Proceedings of the National Academy of Sciences</w:t>
      </w:r>
      <w:r>
        <w:t xml:space="preserve">,</w:t>
      </w:r>
      <w:r>
        <w:t xml:space="preserve"> </w:t>
      </w:r>
      <w:r>
        <w:rPr>
          <w:i/>
          <w:iCs/>
        </w:rPr>
        <w:t xml:space="preserve">118</w:t>
      </w:r>
      <w:r>
        <w:t xml:space="preserve">(40), e2108576118.</w:t>
      </w:r>
      <w:r>
        <w:t xml:space="preserve"> </w:t>
      </w:r>
      <w:hyperlink r:id="rId50">
        <w:r>
          <w:rPr>
            <w:rStyle w:val="Hyperlink"/>
          </w:rPr>
          <w:t xml:space="preserve">https://doi.org/10.1073/pnas.2108576118</w:t>
        </w:r>
      </w:hyperlink>
    </w:p>
    <w:bookmarkEnd w:id="51"/>
    <w:bookmarkStart w:id="53" w:name="ref-allumScienceKnowledgeAttitudes2008"/>
    <w:p>
      <w:pPr>
        <w:pStyle w:val="Bibliography"/>
      </w:pPr>
      <w:r>
        <w:t xml:space="preserve">Allum, N., Sturgis, P., Tabourazi, D., &amp; Brunton-Smith, I. (2008). Science knowledge and attitudes across cultures: a meta-analysis.</w:t>
      </w:r>
      <w:r>
        <w:t xml:space="preserve"> </w:t>
      </w:r>
      <w:r>
        <w:rPr>
          <w:i/>
          <w:iCs/>
        </w:rPr>
        <w:t xml:space="preserve">Public Understanding of Science</w:t>
      </w:r>
      <w:r>
        <w:t xml:space="preserve">,</w:t>
      </w:r>
      <w:r>
        <w:t xml:space="preserve"> </w:t>
      </w:r>
      <w:r>
        <w:rPr>
          <w:i/>
          <w:iCs/>
        </w:rPr>
        <w:t xml:space="preserve">17</w:t>
      </w:r>
      <w:r>
        <w:t xml:space="preserve">(1), 35–54.</w:t>
      </w:r>
      <w:r>
        <w:t xml:space="preserve"> </w:t>
      </w:r>
      <w:hyperlink r:id="rId52">
        <w:r>
          <w:rPr>
            <w:rStyle w:val="Hyperlink"/>
          </w:rPr>
          <w:t xml:space="preserve">https://doi.org/10.1177/0963662506070159</w:t>
        </w:r>
      </w:hyperlink>
    </w:p>
    <w:bookmarkEnd w:id="53"/>
    <w:bookmarkStart w:id="55" w:name="ref-altayItMyIdea2020"/>
    <w:p>
      <w:pPr>
        <w:pStyle w:val="Bibliography"/>
      </w:pPr>
      <w:r>
        <w:t xml:space="preserve">Altay, S., Majima, Y., &amp; Mercier, H. (2020). It’s my idea! Reputation management and idea appropriation.</w:t>
      </w:r>
      <w:r>
        <w:t xml:space="preserve"> </w:t>
      </w:r>
      <w:r>
        <w:rPr>
          <w:i/>
          <w:iCs/>
        </w:rPr>
        <w:t xml:space="preserve">Evolution and Human Behavior</w:t>
      </w:r>
      <w:r>
        <w:t xml:space="preserve">,</w:t>
      </w:r>
      <w:r>
        <w:t xml:space="preserve"> </w:t>
      </w:r>
      <w:r>
        <w:rPr>
          <w:i/>
          <w:iCs/>
        </w:rPr>
        <w:t xml:space="preserve">41</w:t>
      </w:r>
      <w:r>
        <w:t xml:space="preserve">(3), 235–243.</w:t>
      </w:r>
      <w:r>
        <w:t xml:space="preserve"> </w:t>
      </w:r>
      <w:hyperlink r:id="rId54">
        <w:r>
          <w:rPr>
            <w:rStyle w:val="Hyperlink"/>
          </w:rPr>
          <w:t xml:space="preserve">https://doi.org/10.1016/j.evolhumbehav.2020.03.004</w:t>
        </w:r>
      </w:hyperlink>
    </w:p>
    <w:bookmarkEnd w:id="55"/>
    <w:bookmarkStart w:id="57" w:name="ref-archerScienceCapitalConceptual2015"/>
    <w:p>
      <w:pPr>
        <w:pStyle w:val="Bibliography"/>
      </w:pPr>
      <w:r>
        <w:t xml:space="preserve">Archer, L., Dawson, E., DeWitt, J., Seakins, A., &amp; Wong, B. (2015).</w:t>
      </w:r>
      <w:r>
        <w:t xml:space="preserve"> </w:t>
      </w:r>
      <w:r>
        <w:t xml:space="preserve">“</w:t>
      </w:r>
      <w:r>
        <w:t xml:space="preserve">Science capital</w:t>
      </w:r>
      <w:r>
        <w:t xml:space="preserve">”</w:t>
      </w:r>
      <w:r>
        <w:t xml:space="preserve">: A conceptual, methodological, and empirical argument for extending bourdieusian notions of capital beyond the arts.</w:t>
      </w:r>
      <w:r>
        <w:t xml:space="preserve"> </w:t>
      </w:r>
      <w:r>
        <w:rPr>
          <w:i/>
          <w:iCs/>
        </w:rPr>
        <w:t xml:space="preserve">Journal of Research in Science Teaching</w:t>
      </w:r>
      <w:r>
        <w:t xml:space="preserve">,</w:t>
      </w:r>
      <w:r>
        <w:t xml:space="preserve"> </w:t>
      </w:r>
      <w:r>
        <w:rPr>
          <w:i/>
          <w:iCs/>
        </w:rPr>
        <w:t xml:space="preserve">52</w:t>
      </w:r>
      <w:r>
        <w:t xml:space="preserve">(7), 922–948.</w:t>
      </w:r>
      <w:r>
        <w:t xml:space="preserve"> </w:t>
      </w:r>
      <w:hyperlink r:id="rId56">
        <w:r>
          <w:rPr>
            <w:rStyle w:val="Hyperlink"/>
          </w:rPr>
          <w:t xml:space="preserve">https://doi.org/10.1002/tea.21227</w:t>
        </w:r>
      </w:hyperlink>
    </w:p>
    <w:bookmarkEnd w:id="57"/>
    <w:bookmarkStart w:id="59" w:name="ref-bakEducationPublicAttitudes2001"/>
    <w:p>
      <w:pPr>
        <w:pStyle w:val="Bibliography"/>
      </w:pPr>
      <w:r>
        <w:t xml:space="preserve">Bak, H.-J. (2001). Education and Public Attitudes toward Science: Implications for the</w:t>
      </w:r>
      <w:r>
        <w:t xml:space="preserve"> </w:t>
      </w:r>
      <w:r>
        <w:t xml:space="preserve">“</w:t>
      </w:r>
      <w:r>
        <w:t xml:space="preserve">Deficit Model</w:t>
      </w:r>
      <w:r>
        <w:t xml:space="preserve">”</w:t>
      </w:r>
      <w:r>
        <w:t xml:space="preserve"> </w:t>
      </w:r>
      <w:r>
        <w:t xml:space="preserve">of Education and Support for Science and Technology.</w:t>
      </w:r>
      <w:r>
        <w:t xml:space="preserve"> </w:t>
      </w:r>
      <w:r>
        <w:rPr>
          <w:i/>
          <w:iCs/>
        </w:rPr>
        <w:t xml:space="preserve">Social Science Quarterly</w:t>
      </w:r>
      <w:r>
        <w:t xml:space="preserve">,</w:t>
      </w:r>
      <w:r>
        <w:t xml:space="preserve"> </w:t>
      </w:r>
      <w:r>
        <w:rPr>
          <w:i/>
          <w:iCs/>
        </w:rPr>
        <w:t xml:space="preserve">82</w:t>
      </w:r>
      <w:r>
        <w:t xml:space="preserve">(4), 779–795.</w:t>
      </w:r>
      <w:r>
        <w:t xml:space="preserve"> </w:t>
      </w:r>
      <w:hyperlink r:id="rId58">
        <w:r>
          <w:rPr>
            <w:rStyle w:val="Hyperlink"/>
          </w:rPr>
          <w:t xml:space="preserve">https://doi.org/10.1111/0038-4941.00059</w:t>
        </w:r>
      </w:hyperlink>
    </w:p>
    <w:bookmarkEnd w:id="59"/>
    <w:bookmarkStart w:id="61" w:name="ref-bauerWhatCanWe2007"/>
    <w:p>
      <w:pPr>
        <w:pStyle w:val="Bibliography"/>
      </w:pPr>
      <w:r>
        <w:t xml:space="preserve">Bauer, M. W., Allum, N., &amp; Miller, S. (2007). What can we learn from 25 years of PUS survey research? Liberating and expanding the agenda.</w:t>
      </w:r>
      <w:r>
        <w:t xml:space="preserve"> </w:t>
      </w:r>
      <w:r>
        <w:rPr>
          <w:i/>
          <w:iCs/>
        </w:rPr>
        <w:t xml:space="preserve">Public Understanding of Science</w:t>
      </w:r>
      <w:r>
        <w:t xml:space="preserve">,</w:t>
      </w:r>
      <w:r>
        <w:t xml:space="preserve"> </w:t>
      </w:r>
      <w:r>
        <w:rPr>
          <w:i/>
          <w:iCs/>
        </w:rPr>
        <w:t xml:space="preserve">16</w:t>
      </w:r>
      <w:r>
        <w:t xml:space="preserve">(1), 79–95.</w:t>
      </w:r>
      <w:r>
        <w:t xml:space="preserve"> </w:t>
      </w:r>
      <w:hyperlink r:id="rId60">
        <w:r>
          <w:rPr>
            <w:rStyle w:val="Hyperlink"/>
          </w:rPr>
          <w:t xml:space="preserve">https://doi.org/10.1177/0963662506071287</w:t>
        </w:r>
      </w:hyperlink>
    </w:p>
    <w:bookmarkEnd w:id="61"/>
    <w:bookmarkStart w:id="62" w:name="ref-beckRiskSocietyNew1992"/>
    <w:p>
      <w:pPr>
        <w:pStyle w:val="Bibliography"/>
      </w:pPr>
      <w:r>
        <w:t xml:space="preserve">Beck, U. (1992).</w:t>
      </w:r>
      <w:r>
        <w:t xml:space="preserve"> </w:t>
      </w:r>
      <w:r>
        <w:rPr>
          <w:i/>
          <w:iCs/>
        </w:rPr>
        <w:t xml:space="preserve">Risk society: towards a new modernity</w:t>
      </w:r>
      <w:r>
        <w:t xml:space="preserve"> </w:t>
      </w:r>
      <w:r>
        <w:t xml:space="preserve">(Repr). Sage.</w:t>
      </w:r>
    </w:p>
    <w:bookmarkEnd w:id="62"/>
    <w:bookmarkStart w:id="64" w:name="X49e63c10219a17dbe4e11e193fe126a35d78953"/>
    <w:p>
      <w:pPr>
        <w:pStyle w:val="Bibliography"/>
      </w:pPr>
      <w:r>
        <w:t xml:space="preserve">Bertsou, E. (2019). Rethinking political distrust.</w:t>
      </w:r>
      <w:r>
        <w:t xml:space="preserve"> </w:t>
      </w:r>
      <w:r>
        <w:rPr>
          <w:i/>
          <w:iCs/>
        </w:rPr>
        <w:t xml:space="preserve">European Political Science Review</w:t>
      </w:r>
      <w:r>
        <w:t xml:space="preserve">,</w:t>
      </w:r>
      <w:r>
        <w:t xml:space="preserve"> </w:t>
      </w:r>
      <w:r>
        <w:rPr>
          <w:i/>
          <w:iCs/>
        </w:rPr>
        <w:t xml:space="preserve">11</w:t>
      </w:r>
      <w:r>
        <w:t xml:space="preserve">(2), 213–230.</w:t>
      </w:r>
      <w:r>
        <w:t xml:space="preserve"> </w:t>
      </w:r>
      <w:hyperlink r:id="rId63">
        <w:r>
          <w:rPr>
            <w:rStyle w:val="Hyperlink"/>
          </w:rPr>
          <w:t xml:space="preserve">https://doi.org/10.1017/S1755773919000080</w:t>
        </w:r>
      </w:hyperlink>
    </w:p>
    <w:bookmarkEnd w:id="64"/>
    <w:bookmarkStart w:id="66" w:name="ref-besleyReassessingVariablesUsed2021a"/>
    <w:p>
      <w:pPr>
        <w:pStyle w:val="Bibliography"/>
      </w:pPr>
      <w:r>
        <w:t xml:space="preserve">Besley, J. C., Lee, N. M., &amp; Pressgrove, G. (2021). Reassessing the Variables Used to Measure Public Perceptions of Scientists.</w:t>
      </w:r>
      <w:r>
        <w:t xml:space="preserve"> </w:t>
      </w:r>
      <w:r>
        <w:rPr>
          <w:i/>
          <w:iCs/>
        </w:rPr>
        <w:t xml:space="preserve">Science Communication</w:t>
      </w:r>
      <w:r>
        <w:t xml:space="preserve">,</w:t>
      </w:r>
      <w:r>
        <w:t xml:space="preserve"> </w:t>
      </w:r>
      <w:r>
        <w:rPr>
          <w:i/>
          <w:iCs/>
        </w:rPr>
        <w:t xml:space="preserve">43</w:t>
      </w:r>
      <w:r>
        <w:t xml:space="preserve">(1), 3–32.</w:t>
      </w:r>
      <w:r>
        <w:t xml:space="preserve"> </w:t>
      </w:r>
      <w:hyperlink r:id="rId65">
        <w:r>
          <w:rPr>
            <w:rStyle w:val="Hyperlink"/>
          </w:rPr>
          <w:t xml:space="preserve">https://doi.org/10.1177/1075547020949547</w:t>
        </w:r>
      </w:hyperlink>
    </w:p>
    <w:bookmarkEnd w:id="66"/>
    <w:bookmarkStart w:id="68" w:name="ref-blanckeFatalAttractionIntuitive2015"/>
    <w:p>
      <w:pPr>
        <w:pStyle w:val="Bibliography"/>
      </w:pPr>
      <w:r>
        <w:t xml:space="preserve">Blancke, S., Van Breusegem, F., De Jaeger, G., Braeckman, J., &amp; Van Montagu, M. (2015). Fatal attraction: the intuitive appeal of GMO opposition.</w:t>
      </w:r>
      <w:r>
        <w:t xml:space="preserve"> </w:t>
      </w:r>
      <w:r>
        <w:rPr>
          <w:i/>
          <w:iCs/>
        </w:rPr>
        <w:t xml:space="preserve">Trends in Plant Science</w:t>
      </w:r>
      <w:r>
        <w:t xml:space="preserve">,</w:t>
      </w:r>
      <w:r>
        <w:t xml:space="preserve"> </w:t>
      </w:r>
      <w:r>
        <w:rPr>
          <w:i/>
          <w:iCs/>
        </w:rPr>
        <w:t xml:space="preserve">20</w:t>
      </w:r>
      <w:r>
        <w:t xml:space="preserve">(7), 414–418.</w:t>
      </w:r>
      <w:r>
        <w:t xml:space="preserve"> </w:t>
      </w:r>
      <w:hyperlink r:id="rId67">
        <w:r>
          <w:rPr>
            <w:rStyle w:val="Hyperlink"/>
          </w:rPr>
          <w:t xml:space="preserve">https://doi.org/10.1016/j.tplants.2015.03.011</w:t>
        </w:r>
      </w:hyperlink>
    </w:p>
    <w:bookmarkEnd w:id="68"/>
    <w:bookmarkStart w:id="70" w:name="ref-bogertEffectTrustScience2024"/>
    <w:p>
      <w:pPr>
        <w:pStyle w:val="Bibliography"/>
      </w:pPr>
      <w:r>
        <w:t xml:space="preserve">Bogert, J. M., Buczny, Harvey, &amp; Ellers, J. and. (2024). The effect of trust in science and media use on public belief in anthropogenic climate change: A meta-analysis.</w:t>
      </w:r>
      <w:r>
        <w:t xml:space="preserve"> </w:t>
      </w:r>
      <w:r>
        <w:rPr>
          <w:i/>
          <w:iCs/>
        </w:rPr>
        <w:t xml:space="preserve">Environmental Communication</w:t>
      </w:r>
      <w:r>
        <w:t xml:space="preserve">,</w:t>
      </w:r>
      <w:r>
        <w:t xml:space="preserve"> </w:t>
      </w:r>
      <w:r>
        <w:rPr>
          <w:i/>
          <w:iCs/>
        </w:rPr>
        <w:t xml:space="preserve">18</w:t>
      </w:r>
      <w:r>
        <w:t xml:space="preserve">(4), 484–509.</w:t>
      </w:r>
      <w:r>
        <w:t xml:space="preserve"> </w:t>
      </w:r>
      <w:hyperlink r:id="rId69">
        <w:r>
          <w:rPr>
            <w:rStyle w:val="Hyperlink"/>
          </w:rPr>
          <w:t xml:space="preserve">https://doi.org/10.1080/17524032.2023.2280749</w:t>
        </w:r>
      </w:hyperlink>
    </w:p>
    <w:bookmarkEnd w:id="70"/>
    <w:bookmarkStart w:id="72" w:name="ref-bormannTrustTrustingPractices2019"/>
    <w:p>
      <w:pPr>
        <w:pStyle w:val="Bibliography"/>
      </w:pPr>
      <w:r>
        <w:t xml:space="preserve">Bormann, I., &amp; Thies, B. (2019). Trust and trusting practices during transition to higher education: Introducing a framework of habitual trust.</w:t>
      </w:r>
      <w:r>
        <w:t xml:space="preserve"> </w:t>
      </w:r>
      <w:r>
        <w:rPr>
          <w:i/>
          <w:iCs/>
        </w:rPr>
        <w:t xml:space="preserve">Educational Research</w:t>
      </w:r>
      <w:r>
        <w:t xml:space="preserve">,</w:t>
      </w:r>
      <w:r>
        <w:t xml:space="preserve"> </w:t>
      </w:r>
      <w:r>
        <w:rPr>
          <w:i/>
          <w:iCs/>
        </w:rPr>
        <w:t xml:space="preserve">61</w:t>
      </w:r>
      <w:r>
        <w:t xml:space="preserve">(2), 161–180.</w:t>
      </w:r>
      <w:r>
        <w:t xml:space="preserve"> </w:t>
      </w:r>
      <w:hyperlink r:id="rId71">
        <w:r>
          <w:rPr>
            <w:rStyle w:val="Hyperlink"/>
          </w:rPr>
          <w:t xml:space="preserve">https://doi.org/10.1080/00131881.2019.1596036</w:t>
        </w:r>
      </w:hyperlink>
    </w:p>
    <w:bookmarkEnd w:id="72"/>
    <w:bookmarkStart w:id="74" w:name="ref-bourdieuOutlineTheoryPractice1977"/>
    <w:p>
      <w:pPr>
        <w:pStyle w:val="Bibliography"/>
      </w:pPr>
      <w:r>
        <w:t xml:space="preserve">Bourdieu, P. (1977).</w:t>
      </w:r>
      <w:r>
        <w:t xml:space="preserve"> </w:t>
      </w:r>
      <w:r>
        <w:rPr>
          <w:i/>
          <w:iCs/>
        </w:rPr>
        <w:t xml:space="preserve">Outline of a theory of practice</w:t>
      </w:r>
      <w:r>
        <w:t xml:space="preserve"> </w:t>
      </w:r>
      <w:r>
        <w:t xml:space="preserve">(1st ed.). Cambridge University Press.</w:t>
      </w:r>
      <w:r>
        <w:t xml:space="preserve"> </w:t>
      </w:r>
      <w:hyperlink r:id="rId73">
        <w:r>
          <w:rPr>
            <w:rStyle w:val="Hyperlink"/>
          </w:rPr>
          <w:t xml:space="preserve">https://doi.org/10.1017/CBO9780511812507</w:t>
        </w:r>
      </w:hyperlink>
    </w:p>
    <w:bookmarkEnd w:id="74"/>
    <w:bookmarkStart w:id="76" w:name="ref-brandtRacismResearchCase1978"/>
    <w:p>
      <w:pPr>
        <w:pStyle w:val="Bibliography"/>
      </w:pPr>
      <w:r>
        <w:t xml:space="preserve">Brandt, A. M. (1978). Racism and Research: The Case of the Tuskegee Syphilis Study.</w:t>
      </w:r>
      <w:r>
        <w:t xml:space="preserve"> </w:t>
      </w:r>
      <w:r>
        <w:rPr>
          <w:i/>
          <w:iCs/>
        </w:rPr>
        <w:t xml:space="preserve">The Hastings Center Report</w:t>
      </w:r>
      <w:r>
        <w:t xml:space="preserve">,</w:t>
      </w:r>
      <w:r>
        <w:t xml:space="preserve"> </w:t>
      </w:r>
      <w:r>
        <w:rPr>
          <w:i/>
          <w:iCs/>
        </w:rPr>
        <w:t xml:space="preserve">8</w:t>
      </w:r>
      <w:r>
        <w:t xml:space="preserve">(6), 21.</w:t>
      </w:r>
      <w:r>
        <w:t xml:space="preserve"> </w:t>
      </w:r>
      <w:hyperlink r:id="rId75">
        <w:r>
          <w:rPr>
            <w:rStyle w:val="Hyperlink"/>
          </w:rPr>
          <w:t xml:space="preserve">https://doi.org/10.2307/3561468</w:t>
        </w:r>
      </w:hyperlink>
    </w:p>
    <w:bookmarkEnd w:id="76"/>
    <w:bookmarkStart w:id="77" w:name="X8b9e7025fb846373ac981265145fb9c0724b88d"/>
    <w:p>
      <w:pPr>
        <w:pStyle w:val="Bibliography"/>
      </w:pPr>
      <w:r>
        <w:t xml:space="preserve">Cartwright, N., Hardie, J., Montuschi, E., Soleiman, M., &amp; Thresher, A. C. (2022).</w:t>
      </w:r>
      <w:r>
        <w:t xml:space="preserve"> </w:t>
      </w:r>
      <w:r>
        <w:rPr>
          <w:i/>
          <w:iCs/>
        </w:rPr>
        <w:t xml:space="preserve">The tangle of science: Reliability beyond method, rigour, and objectivity</w:t>
      </w:r>
      <w:r>
        <w:t xml:space="preserve">. Oxford University Press.</w:t>
      </w:r>
    </w:p>
    <w:bookmarkEnd w:id="77"/>
    <w:bookmarkStart w:id="79" w:name="ref-castelainEvidenceThatTwoYearOld2018a"/>
    <w:p>
      <w:pPr>
        <w:pStyle w:val="Bibliography"/>
      </w:pPr>
      <w:r>
        <w:t xml:space="preserve">Castelain, T., Bernard, S., &amp; Mercier, H. (2018). Evidence that Two</w:t>
      </w:r>
      <w:r>
        <w:t xml:space="preserve">-</w:t>
      </w:r>
      <w:r>
        <w:t xml:space="preserve">Year</w:t>
      </w:r>
      <w:r>
        <w:t xml:space="preserve">-</w:t>
      </w:r>
      <w:r>
        <w:t xml:space="preserve">Old Children are Sensitive to Information Presented in Arguments.</w:t>
      </w:r>
      <w:r>
        <w:t xml:space="preserve"> </w:t>
      </w:r>
      <w:r>
        <w:rPr>
          <w:i/>
          <w:iCs/>
        </w:rPr>
        <w:t xml:space="preserve">Infancy</w:t>
      </w:r>
      <w:r>
        <w:t xml:space="preserve">,</w:t>
      </w:r>
      <w:r>
        <w:t xml:space="preserve"> </w:t>
      </w:r>
      <w:r>
        <w:rPr>
          <w:i/>
          <w:iCs/>
        </w:rPr>
        <w:t xml:space="preserve">23</w:t>
      </w:r>
      <w:r>
        <w:t xml:space="preserve">(1), 124–135.</w:t>
      </w:r>
      <w:r>
        <w:t xml:space="preserve"> </w:t>
      </w:r>
      <w:hyperlink r:id="rId78">
        <w:r>
          <w:rPr>
            <w:rStyle w:val="Hyperlink"/>
          </w:rPr>
          <w:t xml:space="preserve">https://doi.org/10.1111/infa.12202</w:t>
        </w:r>
      </w:hyperlink>
    </w:p>
    <w:bookmarkEnd w:id="79"/>
    <w:bookmarkStart w:id="80" w:name="X7010f9d6c8c8fbaeb07db8f1c7591736a4acd01"/>
    <w:p>
      <w:pPr>
        <w:pStyle w:val="Bibliography"/>
      </w:pPr>
      <w:r>
        <w:t xml:space="preserve">Collins, R. (2002).</w:t>
      </w:r>
      <w:r>
        <w:t xml:space="preserve"> </w:t>
      </w:r>
      <w:r>
        <w:rPr>
          <w:i/>
          <w:iCs/>
        </w:rPr>
        <w:t xml:space="preserve">The sociology of philosophies: a global theory of intellectual change</w:t>
      </w:r>
      <w:r>
        <w:t xml:space="preserve"> </w:t>
      </w:r>
      <w:r>
        <w:t xml:space="preserve">(4. print., 1. Harvard Univ. Pr. paperback ed., 2000). Belknap Press of Harvard Univ. Press.</w:t>
      </w:r>
    </w:p>
    <w:bookmarkEnd w:id="80"/>
    <w:bookmarkStart w:id="82" w:name="ref-colognaTrustScientistsTheir2025"/>
    <w:p>
      <w:pPr>
        <w:pStyle w:val="Bibliography"/>
      </w:pPr>
      <w:r>
        <w:t xml:space="preserve">Cologna, V., Mede, N. G., Berger, S., Besley, J., Brick, C., Joubert, M., Maibach, E. W., Mihelj, S., Oreskes, N., Schäfer, M. S., Linden, S. van der, Abdul Aziz, N. I., Abdulsalam, S., Shamsi, N. A., Aczel, B., Adinugroho, I., Alabrese, E., Aldoh, A., Alfano, M., … Zwaan, R. A. (2025). Trust in scientists and their role in society across 68 countries.</w:t>
      </w:r>
      <w:r>
        <w:t xml:space="preserve"> </w:t>
      </w:r>
      <w:r>
        <w:rPr>
          <w:i/>
          <w:iCs/>
        </w:rPr>
        <w:t xml:space="preserve">Nature Human Behaviour</w:t>
      </w:r>
      <w:r>
        <w:t xml:space="preserve">, 1–18.</w:t>
      </w:r>
      <w:r>
        <w:t xml:space="preserve"> </w:t>
      </w:r>
      <w:hyperlink r:id="rId81">
        <w:r>
          <w:rPr>
            <w:rStyle w:val="Hyperlink"/>
          </w:rPr>
          <w:t xml:space="preserve">https://doi.org/10.1038/s41562-024-02090-5</w:t>
        </w:r>
      </w:hyperlink>
    </w:p>
    <w:bookmarkEnd w:id="82"/>
    <w:bookmarkStart w:id="84" w:name="ref-colognaRoleTrustClimate2020"/>
    <w:p>
      <w:pPr>
        <w:pStyle w:val="Bibliography"/>
      </w:pPr>
      <w:r>
        <w:t xml:space="preserve">Cologna, V., &amp; Siegrist, M. (2020). The role of trust for climate change mitigation and adaptation behaviour: A meta-analysis.</w:t>
      </w:r>
      <w:r>
        <w:t xml:space="preserve"> </w:t>
      </w:r>
      <w:r>
        <w:rPr>
          <w:i/>
          <w:iCs/>
        </w:rPr>
        <w:t xml:space="preserve">Journal of Environmental Psychology</w:t>
      </w:r>
      <w:r>
        <w:t xml:space="preserve">,</w:t>
      </w:r>
      <w:r>
        <w:t xml:space="preserve"> </w:t>
      </w:r>
      <w:r>
        <w:rPr>
          <w:i/>
          <w:iCs/>
        </w:rPr>
        <w:t xml:space="preserve">69</w:t>
      </w:r>
      <w:r>
        <w:t xml:space="preserve">, 101428.</w:t>
      </w:r>
      <w:r>
        <w:t xml:space="preserve"> </w:t>
      </w:r>
      <w:hyperlink r:id="rId83">
        <w:r>
          <w:rPr>
            <w:rStyle w:val="Hyperlink"/>
          </w:rPr>
          <w:t xml:space="preserve">https://doi.org/10.1016/j.jenvp.2020.101428</w:t>
        </w:r>
      </w:hyperlink>
    </w:p>
    <w:bookmarkEnd w:id="84"/>
    <w:bookmarkStart w:id="85" w:name="Xfcd4a690de525c25d93901e816cfe6eac759362"/>
    <w:p>
      <w:pPr>
        <w:pStyle w:val="Bibliography"/>
      </w:pPr>
      <w:r>
        <w:t xml:space="preserve">Condorcet, N. (1785).</w:t>
      </w:r>
      <w:r>
        <w:t xml:space="preserve"> </w:t>
      </w:r>
      <w:r>
        <w:rPr>
          <w:i/>
          <w:iCs/>
        </w:rPr>
        <w:t xml:space="preserve">Essai sur l’application de l’analyse à la probabilité des décisions rendues à la pluralité des voix</w:t>
      </w:r>
      <w:r>
        <w:t xml:space="preserve">. Paris: L</w:t>
      </w:r>
      <w:r>
        <w:t xml:space="preserve">’</w:t>
      </w:r>
      <w:r>
        <w:t xml:space="preserve">imprimerie royale.</w:t>
      </w:r>
    </w:p>
    <w:bookmarkEnd w:id="85"/>
    <w:bookmarkStart w:id="86" w:name="ref-cromerUncommonSenseHeretical1995"/>
    <w:p>
      <w:pPr>
        <w:pStyle w:val="Bibliography"/>
      </w:pPr>
      <w:r>
        <w:t xml:space="preserve">Cromer, A. H. (1995).</w:t>
      </w:r>
      <w:r>
        <w:t xml:space="preserve"> </w:t>
      </w:r>
      <w:r>
        <w:rPr>
          <w:i/>
          <w:iCs/>
        </w:rPr>
        <w:t xml:space="preserve">Uncommon Sense: The Heretical Nature of Science</w:t>
      </w:r>
      <w:r>
        <w:t xml:space="preserve"> </w:t>
      </w:r>
      <w:r>
        <w:t xml:space="preserve">(1st ed). Oxford University Press, Incorporated.</w:t>
      </w:r>
    </w:p>
    <w:bookmarkEnd w:id="86"/>
    <w:bookmarkStart w:id="88" w:name="ref-cuddyBIASMapBehaviors2007"/>
    <w:p>
      <w:pPr>
        <w:pStyle w:val="Bibliography"/>
      </w:pPr>
      <w:r>
        <w:t xml:space="preserve">Cuddy, A. J. C., Fiske, S. T., &amp; Glick, P. (2007). The BIAS map: Behaviors from intergroup affect and stereotypes.</w:t>
      </w:r>
      <w:r>
        <w:t xml:space="preserve"> </w:t>
      </w:r>
      <w:r>
        <w:rPr>
          <w:i/>
          <w:iCs/>
        </w:rPr>
        <w:t xml:space="preserve">Journal of Personality and Social Psychology</w:t>
      </w:r>
      <w:r>
        <w:t xml:space="preserve">,</w:t>
      </w:r>
      <w:r>
        <w:t xml:space="preserve"> </w:t>
      </w:r>
      <w:r>
        <w:rPr>
          <w:i/>
          <w:iCs/>
        </w:rPr>
        <w:t xml:space="preserve">92</w:t>
      </w:r>
      <w:r>
        <w:t xml:space="preserve">(4), 631–648.</w:t>
      </w:r>
      <w:r>
        <w:t xml:space="preserve"> </w:t>
      </w:r>
      <w:hyperlink r:id="rId87">
        <w:r>
          <w:rPr>
            <w:rStyle w:val="Hyperlink"/>
          </w:rPr>
          <w:t xml:space="preserve">https://doi.org/10.1037/0022-3514.92.4.631</w:t>
        </w:r>
      </w:hyperlink>
    </w:p>
    <w:bookmarkEnd w:id="88"/>
    <w:bookmarkStart w:id="90" w:name="X6bca7e1eef2eda0675198a60d0275e3d6048985"/>
    <w:p>
      <w:pPr>
        <w:pStyle w:val="Bibliography"/>
      </w:pPr>
      <w:r>
        <w:t xml:space="preserve">Druckman, J. N. (2015). Communicating Policy-Relevant Science.</w:t>
      </w:r>
      <w:r>
        <w:t xml:space="preserve"> </w:t>
      </w:r>
      <w:r>
        <w:rPr>
          <w:i/>
          <w:iCs/>
        </w:rPr>
        <w:t xml:space="preserve">PS: Political Science &amp; Politics</w:t>
      </w:r>
      <w:r>
        <w:t xml:space="preserve">,</w:t>
      </w:r>
      <w:r>
        <w:t xml:space="preserve"> </w:t>
      </w:r>
      <w:r>
        <w:rPr>
          <w:i/>
          <w:iCs/>
        </w:rPr>
        <w:t xml:space="preserve">48</w:t>
      </w:r>
      <w:r>
        <w:t xml:space="preserve">(S1), 58–69.</w:t>
      </w:r>
      <w:r>
        <w:t xml:space="preserve"> </w:t>
      </w:r>
      <w:hyperlink r:id="rId89">
        <w:r>
          <w:rPr>
            <w:rStyle w:val="Hyperlink"/>
          </w:rPr>
          <w:t xml:space="preserve">https://doi.org/10.1017/S1049096515000438</w:t>
        </w:r>
      </w:hyperlink>
    </w:p>
    <w:bookmarkEnd w:id="90"/>
    <w:bookmarkStart w:id="92" w:name="Xc900ab6802c75bf5233fe72972aab9d24342892"/>
    <w:p>
      <w:pPr>
        <w:pStyle w:val="Bibliography"/>
      </w:pPr>
      <w:r>
        <w:t xml:space="preserve">Druckman, J. N. (2022). Threats to Science: Politicization, Misinformation, and Inequalities.</w:t>
      </w:r>
      <w:r>
        <w:t xml:space="preserve"> </w:t>
      </w:r>
      <w:r>
        <w:rPr>
          <w:i/>
          <w:iCs/>
        </w:rPr>
        <w:t xml:space="preserve">The ANNALS of the American Academy of Political and Social Science</w:t>
      </w:r>
      <w:r>
        <w:t xml:space="preserve">,</w:t>
      </w:r>
      <w:r>
        <w:t xml:space="preserve"> </w:t>
      </w:r>
      <w:r>
        <w:rPr>
          <w:i/>
          <w:iCs/>
        </w:rPr>
        <w:t xml:space="preserve">700</w:t>
      </w:r>
      <w:r>
        <w:t xml:space="preserve">(1), 8–24.</w:t>
      </w:r>
      <w:r>
        <w:t xml:space="preserve"> </w:t>
      </w:r>
      <w:hyperlink r:id="rId91">
        <w:r>
          <w:rPr>
            <w:rStyle w:val="Hyperlink"/>
          </w:rPr>
          <w:t xml:space="preserve">https://doi.org/10.1177/00027162221095431</w:t>
        </w:r>
      </w:hyperlink>
    </w:p>
    <w:bookmarkEnd w:id="92"/>
    <w:bookmarkStart w:id="93" w:name="ref-dubourgPeopleUseNested2024"/>
    <w:p>
      <w:pPr>
        <w:pStyle w:val="Bibliography"/>
      </w:pPr>
      <w:r>
        <w:t xml:space="preserve">Dubourg, E., Dheilly, T., Mercier, H., &amp; Morin, O. (n.d.).</w:t>
      </w:r>
      <w:r>
        <w:t xml:space="preserve"> </w:t>
      </w:r>
      <w:r>
        <w:rPr>
          <w:i/>
          <w:iCs/>
        </w:rPr>
        <w:t xml:space="preserve">People use the nested structure of knowledge to infer what others know.</w:t>
      </w:r>
    </w:p>
    <w:bookmarkEnd w:id="93"/>
    <w:bookmarkStart w:id="95" w:name="ref-dubourgUsingNestedStructure2025"/>
    <w:p>
      <w:pPr>
        <w:pStyle w:val="Bibliography"/>
      </w:pPr>
      <w:r>
        <w:t xml:space="preserve">Dubourg, E., Dheilly, T., Mercier, H., &amp; Morin, O. (2025). Using the Nested Structure of Knowledge to Infer What Others Know.</w:t>
      </w:r>
      <w:r>
        <w:t xml:space="preserve"> </w:t>
      </w:r>
      <w:r>
        <w:rPr>
          <w:i/>
          <w:iCs/>
        </w:rPr>
        <w:t xml:space="preserve">Psychological Science</w:t>
      </w:r>
      <w:r>
        <w:t xml:space="preserve">,</w:t>
      </w:r>
      <w:r>
        <w:t xml:space="preserve"> </w:t>
      </w:r>
      <w:r>
        <w:rPr>
          <w:i/>
          <w:iCs/>
        </w:rPr>
        <w:t xml:space="preserve">36</w:t>
      </w:r>
      <w:r>
        <w:t xml:space="preserve">(6), 443–450.</w:t>
      </w:r>
      <w:r>
        <w:t xml:space="preserve"> </w:t>
      </w:r>
      <w:hyperlink r:id="rId94">
        <w:r>
          <w:rPr>
            <w:rStyle w:val="Hyperlink"/>
          </w:rPr>
          <w:t xml:space="preserve">https://doi.org/10.1177/09567976251339633</w:t>
        </w:r>
      </w:hyperlink>
    </w:p>
    <w:bookmarkEnd w:id="95"/>
    <w:bookmarkStart w:id="97" w:name="ref-durantPublicUnderstandingScience1989"/>
    <w:p>
      <w:pPr>
        <w:pStyle w:val="Bibliography"/>
      </w:pPr>
      <w:r>
        <w:t xml:space="preserve">Durant, J. R., Evans, G. A., &amp; Thomas, G. P. (1989). The public understanding of science.</w:t>
      </w:r>
      <w:r>
        <w:t xml:space="preserve"> </w:t>
      </w:r>
      <w:r>
        <w:rPr>
          <w:i/>
          <w:iCs/>
        </w:rPr>
        <w:t xml:space="preserve">Nature</w:t>
      </w:r>
      <w:r>
        <w:t xml:space="preserve">,</w:t>
      </w:r>
      <w:r>
        <w:t xml:space="preserve"> </w:t>
      </w:r>
      <w:r>
        <w:rPr>
          <w:i/>
          <w:iCs/>
        </w:rPr>
        <w:t xml:space="preserve">340</w:t>
      </w:r>
      <w:r>
        <w:t xml:space="preserve">(6228), 11–14.</w:t>
      </w:r>
      <w:r>
        <w:t xml:space="preserve"> </w:t>
      </w:r>
      <w:hyperlink r:id="rId96">
        <w:r>
          <w:rPr>
            <w:rStyle w:val="Hyperlink"/>
          </w:rPr>
          <w:t xml:space="preserve">https://doi.org/10.1038/340011a0</w:t>
        </w:r>
      </w:hyperlink>
    </w:p>
    <w:bookmarkEnd w:id="97"/>
    <w:bookmarkStart w:id="99" w:name="Xafc4ef9444366ad454ed6953e2d8f606e08c4a7"/>
    <w:p>
      <w:pPr>
        <w:pStyle w:val="Bibliography"/>
      </w:pPr>
      <w:r>
        <w:t xml:space="preserve">Evans-Roberts, C. E. Y., &amp; Turnbull, O. H. (2010). Remembering Relationships: Preserved Emotion-Based Learning in Alzheimer’s Disease.</w:t>
      </w:r>
      <w:r>
        <w:t xml:space="preserve"> </w:t>
      </w:r>
      <w:r>
        <w:rPr>
          <w:i/>
          <w:iCs/>
        </w:rPr>
        <w:t xml:space="preserve">Experimental Aging Research</w:t>
      </w:r>
      <w:r>
        <w:t xml:space="preserve">,</w:t>
      </w:r>
      <w:r>
        <w:t xml:space="preserve"> </w:t>
      </w:r>
      <w:r>
        <w:rPr>
          <w:i/>
          <w:iCs/>
        </w:rPr>
        <w:t xml:space="preserve">37</w:t>
      </w:r>
      <w:r>
        <w:t xml:space="preserve">(1), 1–16.</w:t>
      </w:r>
      <w:r>
        <w:t xml:space="preserve"> </w:t>
      </w:r>
      <w:hyperlink r:id="rId98">
        <w:r>
          <w:rPr>
            <w:rStyle w:val="Hyperlink"/>
          </w:rPr>
          <w:t xml:space="preserve">https://doi.org/10.1080/0361073X.2011.536750</w:t>
        </w:r>
      </w:hyperlink>
    </w:p>
    <w:bookmarkEnd w:id="99"/>
    <w:bookmarkStart w:id="101" w:name="Xc059b9a8b6d50c46274e292915624f7a58042f7"/>
    <w:p>
      <w:pPr>
        <w:pStyle w:val="Bibliography"/>
      </w:pPr>
      <w:r>
        <w:t xml:space="preserve">Feinstein, J. S., Duff, M. C., &amp; Tranel, D. (2010). Sustained experience of emotion after loss of memory in patients with amnesia.</w:t>
      </w:r>
      <w:r>
        <w:t xml:space="preserve"> </w:t>
      </w:r>
      <w:r>
        <w:rPr>
          <w:i/>
          <w:iCs/>
        </w:rPr>
        <w:t xml:space="preserve">Proceedings of the National Academy of Sciences</w:t>
      </w:r>
      <w:r>
        <w:t xml:space="preserve">,</w:t>
      </w:r>
      <w:r>
        <w:t xml:space="preserve"> </w:t>
      </w:r>
      <w:r>
        <w:rPr>
          <w:i/>
          <w:iCs/>
        </w:rPr>
        <w:t xml:space="preserve">107</w:t>
      </w:r>
      <w:r>
        <w:t xml:space="preserve">(17), 7674–7679.</w:t>
      </w:r>
      <w:r>
        <w:t xml:space="preserve"> </w:t>
      </w:r>
      <w:hyperlink r:id="rId100">
        <w:r>
          <w:rPr>
            <w:rStyle w:val="Hyperlink"/>
          </w:rPr>
          <w:t xml:space="preserve">https://doi.org/10.1073/pnas.0914054107</w:t>
        </w:r>
      </w:hyperlink>
    </w:p>
    <w:bookmarkEnd w:id="101"/>
    <w:bookmarkStart w:id="103" w:name="ref-fiskeGainingTrustWell2014"/>
    <w:p>
      <w:pPr>
        <w:pStyle w:val="Bibliography"/>
      </w:pPr>
      <w:r>
        <w:t xml:space="preserve">Fiske, S. T., &amp; Dupree, C. (2014). Gaining trust as well as respect in communicating to motivated audiences about science topics.</w:t>
      </w:r>
      <w:r>
        <w:t xml:space="preserve"> </w:t>
      </w:r>
      <w:r>
        <w:rPr>
          <w:i/>
          <w:iCs/>
        </w:rPr>
        <w:t xml:space="preserve">Proceedings of the National Academy of Sciences</w:t>
      </w:r>
      <w:r>
        <w:t xml:space="preserve">,</w:t>
      </w:r>
      <w:r>
        <w:t xml:space="preserve"> </w:t>
      </w:r>
      <w:r>
        <w:rPr>
          <w:i/>
          <w:iCs/>
        </w:rPr>
        <w:t xml:space="preserve">111</w:t>
      </w:r>
      <w:r>
        <w:t xml:space="preserve">(Supplement</w:t>
      </w:r>
      <w:r>
        <w:t xml:space="preserve">_</w:t>
      </w:r>
      <w:r>
        <w:t xml:space="preserve">4), 13593–13597.</w:t>
      </w:r>
      <w:r>
        <w:t xml:space="preserve"> </w:t>
      </w:r>
      <w:hyperlink r:id="rId102">
        <w:r>
          <w:rPr>
            <w:rStyle w:val="Hyperlink"/>
          </w:rPr>
          <w:t xml:space="preserve">https://doi.org/10.1073/pnas.1317505111</w:t>
        </w:r>
      </w:hyperlink>
    </w:p>
    <w:bookmarkEnd w:id="103"/>
    <w:bookmarkStart w:id="105" w:name="ref-fuentesSystemicRacismScience2023"/>
    <w:p>
      <w:pPr>
        <w:pStyle w:val="Bibliography"/>
      </w:pPr>
      <w:r>
        <w:t xml:space="preserve">Fuentes, A. (2023). Systemic racism in science: Reactions matter.</w:t>
      </w:r>
      <w:r>
        <w:t xml:space="preserve"> </w:t>
      </w:r>
      <w:r>
        <w:rPr>
          <w:i/>
          <w:iCs/>
        </w:rPr>
        <w:t xml:space="preserve">Science</w:t>
      </w:r>
      <w:r>
        <w:t xml:space="preserve">,</w:t>
      </w:r>
      <w:r>
        <w:t xml:space="preserve"> </w:t>
      </w:r>
      <w:r>
        <w:rPr>
          <w:i/>
          <w:iCs/>
        </w:rPr>
        <w:t xml:space="preserve">381</w:t>
      </w:r>
      <w:r>
        <w:t xml:space="preserve">(6655), eadj7675.</w:t>
      </w:r>
      <w:r>
        <w:t xml:space="preserve"> </w:t>
      </w:r>
      <w:hyperlink r:id="rId104">
        <w:r>
          <w:rPr>
            <w:rStyle w:val="Hyperlink"/>
          </w:rPr>
          <w:t xml:space="preserve">https://doi.org/10.1126/science.adj7675</w:t>
        </w:r>
      </w:hyperlink>
    </w:p>
    <w:bookmarkEnd w:id="105"/>
    <w:bookmarkStart w:id="107" w:name="ref-funkScienceNewsInformation2017"/>
    <w:p>
      <w:pPr>
        <w:pStyle w:val="Bibliography"/>
      </w:pPr>
      <w:r>
        <w:t xml:space="preserve">Funk, C., Gottfried, J., &amp; Mitchell, A. (2017).</w:t>
      </w:r>
      <w:r>
        <w:t xml:space="preserve"> </w:t>
      </w:r>
      <w:r>
        <w:rPr>
          <w:i/>
          <w:iCs/>
        </w:rPr>
        <w:t xml:space="preserve">Science news and information today</w:t>
      </w:r>
      <w:r>
        <w:t xml:space="preserve">.</w:t>
      </w:r>
      <w:r>
        <w:t xml:space="preserve"> </w:t>
      </w:r>
      <w:hyperlink r:id="rId106">
        <w:r>
          <w:rPr>
            <w:rStyle w:val="Hyperlink"/>
          </w:rPr>
          <w:t xml:space="preserve">https://www.pewresearch.org/science/2017/09/20/science-news-and-information-today/</w:t>
        </w:r>
      </w:hyperlink>
    </w:p>
    <w:bookmarkEnd w:id="107"/>
    <w:bookmarkStart w:id="109" w:name="ref-funkPublicConfidenceScientists2020"/>
    <w:p>
      <w:pPr>
        <w:pStyle w:val="Bibliography"/>
      </w:pPr>
      <w:r>
        <w:t xml:space="preserve">Funk, C., &amp; Kennedy, B. (2020).</w:t>
      </w:r>
      <w:r>
        <w:t xml:space="preserve"> </w:t>
      </w:r>
      <w:r>
        <w:rPr>
          <w:i/>
          <w:iCs/>
        </w:rPr>
        <w:t xml:space="preserve">Public confidence in scientists has remained stable for decades</w:t>
      </w:r>
      <w:r>
        <w:t xml:space="preserve">.</w:t>
      </w:r>
      <w:r>
        <w:t xml:space="preserve"> </w:t>
      </w:r>
      <w:hyperlink r:id="rId108">
        <w:r>
          <w:rPr>
            <w:rStyle w:val="Hyperlink"/>
          </w:rPr>
          <w:t xml:space="preserve">https://www.pewresearch.org/short-reads/2020/08/27/public-confidence-in-scientists-has-remained-stable-for-decades/</w:t>
        </w:r>
      </w:hyperlink>
    </w:p>
    <w:bookmarkEnd w:id="109"/>
    <w:bookmarkStart w:id="111" w:name="ref-funkScienceScientistsHeld2020"/>
    <w:p>
      <w:pPr>
        <w:pStyle w:val="Bibliography"/>
      </w:pPr>
      <w:r>
        <w:t xml:space="preserve">Funk, C., Tyson, A., Kennedy, B., &amp; Johnson, C. (2020).</w:t>
      </w:r>
      <w:r>
        <w:t xml:space="preserve"> </w:t>
      </w:r>
      <w:r>
        <w:rPr>
          <w:i/>
          <w:iCs/>
        </w:rPr>
        <w:t xml:space="preserve">Science and scientists held in high esteem across global publics</w:t>
      </w:r>
      <w:r>
        <w:t xml:space="preserve">.</w:t>
      </w:r>
      <w:r>
        <w:t xml:space="preserve"> </w:t>
      </w:r>
      <w:hyperlink r:id="rId110">
        <w:r>
          <w:rPr>
            <w:rStyle w:val="Hyperlink"/>
          </w:rPr>
          <w:t xml:space="preserve">https://www.pewresearch.org/science/2020/09/29/science-and-scientists-held-in-high-esteem-across-global-publics/</w:t>
        </w:r>
      </w:hyperlink>
    </w:p>
    <w:bookmarkEnd w:id="111"/>
    <w:bookmarkStart w:id="113" w:name="ref-gauchatCulturalAuthorityScience2011"/>
    <w:p>
      <w:pPr>
        <w:pStyle w:val="Bibliography"/>
      </w:pPr>
      <w:r>
        <w:t xml:space="preserve">Gauchat, G. (2011). The cultural authority of science: Public trust and acceptance of organized science.</w:t>
      </w:r>
      <w:r>
        <w:t xml:space="preserve"> </w:t>
      </w:r>
      <w:r>
        <w:rPr>
          <w:i/>
          <w:iCs/>
        </w:rPr>
        <w:t xml:space="preserve">Public Understanding of Science</w:t>
      </w:r>
      <w:r>
        <w:t xml:space="preserve">,</w:t>
      </w:r>
      <w:r>
        <w:t xml:space="preserve"> </w:t>
      </w:r>
      <w:r>
        <w:rPr>
          <w:i/>
          <w:iCs/>
        </w:rPr>
        <w:t xml:space="preserve">20</w:t>
      </w:r>
      <w:r>
        <w:t xml:space="preserve">(6), 751–770.</w:t>
      </w:r>
      <w:r>
        <w:t xml:space="preserve"> </w:t>
      </w:r>
      <w:hyperlink r:id="rId112">
        <w:r>
          <w:rPr>
            <w:rStyle w:val="Hyperlink"/>
          </w:rPr>
          <w:t xml:space="preserve">https://doi.org/10.1177/0963662510365246</w:t>
        </w:r>
      </w:hyperlink>
    </w:p>
    <w:bookmarkEnd w:id="113"/>
    <w:bookmarkStart w:id="115" w:name="ref-gauchatLegitimacyScience2023"/>
    <w:p>
      <w:pPr>
        <w:pStyle w:val="Bibliography"/>
      </w:pPr>
      <w:r>
        <w:t xml:space="preserve">Gauchat, G. (2023). The Legitimacy of Science.</w:t>
      </w:r>
      <w:r>
        <w:t xml:space="preserve"> </w:t>
      </w:r>
      <w:r>
        <w:rPr>
          <w:i/>
          <w:iCs/>
        </w:rPr>
        <w:t xml:space="preserve">Annual Review of Sociology</w:t>
      </w:r>
      <w:r>
        <w:t xml:space="preserve">,</w:t>
      </w:r>
      <w:r>
        <w:t xml:space="preserve"> </w:t>
      </w:r>
      <w:r>
        <w:rPr>
          <w:i/>
          <w:iCs/>
        </w:rPr>
        <w:t xml:space="preserve">49</w:t>
      </w:r>
      <w:r>
        <w:t xml:space="preserve">(1), 263–279.</w:t>
      </w:r>
      <w:r>
        <w:t xml:space="preserve"> </w:t>
      </w:r>
      <w:hyperlink r:id="rId114">
        <w:r>
          <w:rPr>
            <w:rStyle w:val="Hyperlink"/>
          </w:rPr>
          <w:t xml:space="preserve">https://doi.org/10.1146/annurev-soc-030320-035037</w:t>
        </w:r>
      </w:hyperlink>
    </w:p>
    <w:bookmarkEnd w:id="115"/>
    <w:bookmarkStart w:id="117" w:name="X0e47c0694117ec59a2fbb3044ab48a824fedc7d"/>
    <w:p>
      <w:pPr>
        <w:pStyle w:val="Bibliography"/>
      </w:pPr>
      <w:r>
        <w:t xml:space="preserve">Gauchat, G., &amp; Andrews, K. T. (2018). The Cultural-Cognitive Mapping of Scientific Professions.</w:t>
      </w:r>
      <w:r>
        <w:t xml:space="preserve"> </w:t>
      </w:r>
      <w:r>
        <w:rPr>
          <w:i/>
          <w:iCs/>
        </w:rPr>
        <w:t xml:space="preserve">American Sociological Review</w:t>
      </w:r>
      <w:r>
        <w:t xml:space="preserve">,</w:t>
      </w:r>
      <w:r>
        <w:t xml:space="preserve"> </w:t>
      </w:r>
      <w:r>
        <w:rPr>
          <w:i/>
          <w:iCs/>
        </w:rPr>
        <w:t xml:space="preserve">83</w:t>
      </w:r>
      <w:r>
        <w:t xml:space="preserve">(3), 567–595.</w:t>
      </w:r>
      <w:r>
        <w:t xml:space="preserve"> </w:t>
      </w:r>
      <w:hyperlink r:id="rId116">
        <w:r>
          <w:rPr>
            <w:rStyle w:val="Hyperlink"/>
          </w:rPr>
          <w:t xml:space="preserve">https://doi.org/10.1177/0003122418773353</w:t>
        </w:r>
      </w:hyperlink>
    </w:p>
    <w:bookmarkEnd w:id="117"/>
    <w:bookmarkStart w:id="118" w:name="ref-giddensModernitySelfidentitySelf1991"/>
    <w:p>
      <w:pPr>
        <w:pStyle w:val="Bibliography"/>
      </w:pPr>
      <w:r>
        <w:t xml:space="preserve">Giddens, A. (1991).</w:t>
      </w:r>
      <w:r>
        <w:t xml:space="preserve"> </w:t>
      </w:r>
      <w:r>
        <w:rPr>
          <w:i/>
          <w:iCs/>
        </w:rPr>
        <w:t xml:space="preserve">Modernity and self-identity: Self and society in the late modern age</w:t>
      </w:r>
      <w:r>
        <w:t xml:space="preserve">. Stanford University Press.</w:t>
      </w:r>
    </w:p>
    <w:bookmarkEnd w:id="118"/>
    <w:bookmarkStart w:id="119" w:name="ref-habermasJurgenHabermasSociety1989"/>
    <w:p>
      <w:pPr>
        <w:pStyle w:val="Bibliography"/>
      </w:pPr>
      <w:r>
        <w:t xml:space="preserve">Habermas, J. (1989).</w:t>
      </w:r>
      <w:r>
        <w:t xml:space="preserve"> </w:t>
      </w:r>
      <w:r>
        <w:rPr>
          <w:i/>
          <w:iCs/>
        </w:rPr>
        <w:t xml:space="preserve">Jürgen Habermas on society and politics: a reader</w:t>
      </w:r>
      <w:r>
        <w:t xml:space="preserve"> </w:t>
      </w:r>
      <w:r>
        <w:t xml:space="preserve">(S. Seidman, Ed.; 1. [print.]). Beacon Press.</w:t>
      </w:r>
    </w:p>
    <w:bookmarkEnd w:id="119"/>
    <w:bookmarkStart w:id="120" w:name="ref-hacquinDisgustSensitivityPublic2021"/>
    <w:p>
      <w:pPr>
        <w:pStyle w:val="Bibliography"/>
      </w:pPr>
      <w:r>
        <w:t xml:space="preserve">Hacquin, A.-S., Altay, S., Aarøe, L., &amp; Mercier, H. (2021). Disgust sensitivity and public opinion on nuclear energy.</w:t>
      </w:r>
      <w:r>
        <w:t xml:space="preserve"> </w:t>
      </w:r>
      <w:r>
        <w:rPr>
          <w:i/>
          <w:iCs/>
        </w:rPr>
        <w:t xml:space="preserve">Journal of Environmental Psychology</w:t>
      </w:r>
      <w:r>
        <w:t xml:space="preserve">, 101749.</w:t>
      </w:r>
    </w:p>
    <w:bookmarkEnd w:id="120"/>
    <w:bookmarkStart w:id="122" w:name="ref-hastieRobustBeautyMajority2005"/>
    <w:p>
      <w:pPr>
        <w:pStyle w:val="Bibliography"/>
      </w:pPr>
      <w:r>
        <w:t xml:space="preserve">Hastie, R., &amp; Kameda, T. (2005). The Robust Beauty of Majority Rules in Group Decisions.</w:t>
      </w:r>
      <w:r>
        <w:t xml:space="preserve"> </w:t>
      </w:r>
      <w:r>
        <w:rPr>
          <w:i/>
          <w:iCs/>
        </w:rPr>
        <w:t xml:space="preserve">Psychological Review</w:t>
      </w:r>
      <w:r>
        <w:t xml:space="preserve">,</w:t>
      </w:r>
      <w:r>
        <w:t xml:space="preserve"> </w:t>
      </w:r>
      <w:r>
        <w:rPr>
          <w:i/>
          <w:iCs/>
        </w:rPr>
        <w:t xml:space="preserve">112</w:t>
      </w:r>
      <w:r>
        <w:t xml:space="preserve">(2), 494–508.</w:t>
      </w:r>
      <w:r>
        <w:t xml:space="preserve"> </w:t>
      </w:r>
      <w:hyperlink r:id="rId121">
        <w:r>
          <w:rPr>
            <w:rStyle w:val="Hyperlink"/>
          </w:rPr>
          <w:t xml:space="preserve">https://doi.org/10.1037/0033-295X.112.2.494</w:t>
        </w:r>
      </w:hyperlink>
    </w:p>
    <w:bookmarkEnd w:id="122"/>
    <w:bookmarkStart w:id="124" w:name="ref-hendriksMeasuringLaypeoplesTrust2015"/>
    <w:p>
      <w:pPr>
        <w:pStyle w:val="Bibliography"/>
      </w:pPr>
      <w:r>
        <w:t xml:space="preserve">Hendriks, F., Kienhues, D., &amp; Bromme, R. (2015). Measuring Laypeople</w:t>
      </w:r>
      <w:r>
        <w:t xml:space="preserve">’</w:t>
      </w:r>
      <w:r>
        <w:t xml:space="preserve">s Trust in Experts in a Digital Age: The Muenster Epistemic Trustworthiness Inventory (METI).</w:t>
      </w:r>
      <w:r>
        <w:t xml:space="preserve"> </w:t>
      </w:r>
      <w:r>
        <w:rPr>
          <w:i/>
          <w:iCs/>
        </w:rPr>
        <w:t xml:space="preserve">PLOS ONE</w:t>
      </w:r>
      <w:r>
        <w:t xml:space="preserve">,</w:t>
      </w:r>
      <w:r>
        <w:t xml:space="preserve"> </w:t>
      </w:r>
      <w:r>
        <w:rPr>
          <w:i/>
          <w:iCs/>
        </w:rPr>
        <w:t xml:space="preserve">10</w:t>
      </w:r>
      <w:r>
        <w:t xml:space="preserve">(10), e0139309.</w:t>
      </w:r>
      <w:r>
        <w:t xml:space="preserve"> </w:t>
      </w:r>
      <w:hyperlink r:id="rId123">
        <w:r>
          <w:rPr>
            <w:rStyle w:val="Hyperlink"/>
          </w:rPr>
          <w:t xml:space="preserve">https://doi.org/10.1371/journal.pone.0139309</w:t>
        </w:r>
      </w:hyperlink>
    </w:p>
    <w:bookmarkEnd w:id="124"/>
    <w:bookmarkStart w:id="126" w:name="ref-hendriksReplicationCrisisTrust2020"/>
    <w:p>
      <w:pPr>
        <w:pStyle w:val="Bibliography"/>
      </w:pPr>
      <w:r>
        <w:t xml:space="preserve">Hendriks, F., Kienhues, D., &amp; Bromme, R. (2020). Replication crisis = trust crisis? The effect of successful vs failed replications on laypeople</w:t>
      </w:r>
      <w:r>
        <w:t xml:space="preserve">’</w:t>
      </w:r>
      <w:r>
        <w:t xml:space="preserve">s trust in researchers and research.</w:t>
      </w:r>
      <w:r>
        <w:t xml:space="preserve"> </w:t>
      </w:r>
      <w:r>
        <w:rPr>
          <w:i/>
          <w:iCs/>
        </w:rPr>
        <w:t xml:space="preserve">Public Understanding of Science</w:t>
      </w:r>
      <w:r>
        <w:t xml:space="preserve">,</w:t>
      </w:r>
      <w:r>
        <w:t xml:space="preserve"> </w:t>
      </w:r>
      <w:r>
        <w:rPr>
          <w:i/>
          <w:iCs/>
        </w:rPr>
        <w:t xml:space="preserve">29</w:t>
      </w:r>
      <w:r>
        <w:t xml:space="preserve">(3), 270–288.</w:t>
      </w:r>
      <w:r>
        <w:t xml:space="preserve"> </w:t>
      </w:r>
      <w:hyperlink r:id="rId125">
        <w:r>
          <w:rPr>
            <w:rStyle w:val="Hyperlink"/>
          </w:rPr>
          <w:t xml:space="preserve">https://doi.org/10.1177/0963662520902383</w:t>
        </w:r>
      </w:hyperlink>
    </w:p>
    <w:bookmarkEnd w:id="126"/>
    <w:bookmarkStart w:id="128" w:name="ref-hornseyWhyFactsAre2020"/>
    <w:p>
      <w:pPr>
        <w:pStyle w:val="Bibliography"/>
      </w:pPr>
      <w:r>
        <w:t xml:space="preserve">Hornsey, M. J. (2020). Why Facts Are Not Enough: Understanding and Managing the Motivated Rejection of Science.</w:t>
      </w:r>
      <w:r>
        <w:t xml:space="preserve"> </w:t>
      </w:r>
      <w:r>
        <w:rPr>
          <w:i/>
          <w:iCs/>
        </w:rPr>
        <w:t xml:space="preserve">Current Directions in Psychological Science</w:t>
      </w:r>
      <w:r>
        <w:t xml:space="preserve">,</w:t>
      </w:r>
      <w:r>
        <w:t xml:space="preserve"> </w:t>
      </w:r>
      <w:r>
        <w:rPr>
          <w:i/>
          <w:iCs/>
        </w:rPr>
        <w:t xml:space="preserve">29</w:t>
      </w:r>
      <w:r>
        <w:t xml:space="preserve">(6), 583–591.</w:t>
      </w:r>
      <w:r>
        <w:t xml:space="preserve"> </w:t>
      </w:r>
      <w:hyperlink r:id="rId127">
        <w:r>
          <w:rPr>
            <w:rStyle w:val="Hyperlink"/>
          </w:rPr>
          <w:t xml:space="preserve">https://doi.org/10.1177/0963721420969364</w:t>
        </w:r>
      </w:hyperlink>
    </w:p>
    <w:bookmarkEnd w:id="128"/>
    <w:bookmarkStart w:id="130" w:name="ref-hornseyAttitudeRootsJiu2017a"/>
    <w:p>
      <w:pPr>
        <w:pStyle w:val="Bibliography"/>
      </w:pPr>
      <w:r>
        <w:t xml:space="preserve">Hornsey, M. J., &amp; Fielding, K. S. (2017). Attitude roots and Jiu Jitsu persuasion: Understanding and overcoming the motivated rejection of science.</w:t>
      </w:r>
      <w:r>
        <w:t xml:space="preserve"> </w:t>
      </w:r>
      <w:r>
        <w:rPr>
          <w:i/>
          <w:iCs/>
        </w:rPr>
        <w:t xml:space="preserve">American Psychologist</w:t>
      </w:r>
      <w:r>
        <w:t xml:space="preserve">,</w:t>
      </w:r>
      <w:r>
        <w:t xml:space="preserve"> </w:t>
      </w:r>
      <w:r>
        <w:rPr>
          <w:i/>
          <w:iCs/>
        </w:rPr>
        <w:t xml:space="preserve">72</w:t>
      </w:r>
      <w:r>
        <w:t xml:space="preserve">(5), 459–473.</w:t>
      </w:r>
      <w:r>
        <w:t xml:space="preserve"> </w:t>
      </w:r>
      <w:hyperlink r:id="rId129">
        <w:r>
          <w:rPr>
            <w:rStyle w:val="Hyperlink"/>
          </w:rPr>
          <w:t xml:space="preserve">https://doi.org/10.1037/a0040437</w:t>
        </w:r>
      </w:hyperlink>
    </w:p>
    <w:bookmarkEnd w:id="130"/>
    <w:bookmarkStart w:id="132" w:name="X9e57b75284c1d1f383f27761307e2ae9c251b25"/>
    <w:p>
      <w:pPr>
        <w:pStyle w:val="Bibliography"/>
      </w:pPr>
      <w:r>
        <w:t xml:space="preserve">Hornsey, M. J., Harris, E. A., Bain, P. G., &amp; Fielding, K. S. (2016). Meta-analyses of the determinants and outcomes of belief in climate change.</w:t>
      </w:r>
      <w:r>
        <w:t xml:space="preserve"> </w:t>
      </w:r>
      <w:r>
        <w:rPr>
          <w:i/>
          <w:iCs/>
        </w:rPr>
        <w:t xml:space="preserve">Nature Climate Change</w:t>
      </w:r>
      <w:r>
        <w:t xml:space="preserve">,</w:t>
      </w:r>
      <w:r>
        <w:t xml:space="preserve"> </w:t>
      </w:r>
      <w:r>
        <w:rPr>
          <w:i/>
          <w:iCs/>
        </w:rPr>
        <w:t xml:space="preserve">6</w:t>
      </w:r>
      <w:r>
        <w:t xml:space="preserve">(6), 622–626.</w:t>
      </w:r>
      <w:r>
        <w:t xml:space="preserve"> </w:t>
      </w:r>
      <w:hyperlink r:id="rId131">
        <w:r>
          <w:rPr>
            <w:rStyle w:val="Hyperlink"/>
          </w:rPr>
          <w:t xml:space="preserve">https://doi.org/10.1038/nclimate2943</w:t>
        </w:r>
      </w:hyperlink>
    </w:p>
    <w:bookmarkEnd w:id="132"/>
    <w:bookmarkStart w:id="134" w:name="Xa84c5cd4017c126ccfc0f070bb3b60eaf6def12"/>
    <w:p>
      <w:pPr>
        <w:pStyle w:val="Bibliography"/>
      </w:pPr>
      <w:r>
        <w:t xml:space="preserve">Intemann, K. (2023). Science communication and public trust in science.</w:t>
      </w:r>
      <w:r>
        <w:t xml:space="preserve"> </w:t>
      </w:r>
      <w:r>
        <w:rPr>
          <w:i/>
          <w:iCs/>
        </w:rPr>
        <w:t xml:space="preserve">Interdisciplinary Science Reviews</w:t>
      </w:r>
      <w:r>
        <w:t xml:space="preserve">,</w:t>
      </w:r>
      <w:r>
        <w:t xml:space="preserve"> </w:t>
      </w:r>
      <w:r>
        <w:rPr>
          <w:i/>
          <w:iCs/>
        </w:rPr>
        <w:t xml:space="preserve">48</w:t>
      </w:r>
      <w:r>
        <w:t xml:space="preserve">(2), 350–365.</w:t>
      </w:r>
      <w:r>
        <w:t xml:space="preserve"> </w:t>
      </w:r>
      <w:hyperlink r:id="rId133">
        <w:r>
          <w:rPr>
            <w:rStyle w:val="Hyperlink"/>
          </w:rPr>
          <w:t xml:space="preserve">https://doi.org/10.1080/03080188.2022.2152244</w:t>
        </w:r>
      </w:hyperlink>
    </w:p>
    <w:bookmarkEnd w:id="134"/>
    <w:bookmarkStart w:id="136" w:name="ref-kennedyPublicTrustScientists2024"/>
    <w:p>
      <w:pPr>
        <w:pStyle w:val="Bibliography"/>
      </w:pPr>
      <w:r>
        <w:t xml:space="preserve">Kennedy, A. T., &amp; Brian. (2024).</w:t>
      </w:r>
      <w:r>
        <w:t xml:space="preserve"> </w:t>
      </w:r>
      <w:r>
        <w:rPr>
          <w:i/>
          <w:iCs/>
        </w:rPr>
        <w:t xml:space="preserve">Public trust in scientists and views on their role in policymaking</w:t>
      </w:r>
      <w:r>
        <w:t xml:space="preserve">.</w:t>
      </w:r>
      <w:r>
        <w:t xml:space="preserve"> </w:t>
      </w:r>
      <w:hyperlink r:id="rId135">
        <w:r>
          <w:rPr>
            <w:rStyle w:val="Hyperlink"/>
          </w:rPr>
          <w:t xml:space="preserve">https://www.pewresearch.org/science/2024/11/14/public-trust-in-scientists-and-views-on-their-role-in-policymaking/</w:t>
        </w:r>
      </w:hyperlink>
    </w:p>
    <w:bookmarkEnd w:id="136"/>
    <w:bookmarkStart w:id="138" w:name="X7271f27864d8c7d232535c8cd1909148705d1ad"/>
    <w:p>
      <w:pPr>
        <w:pStyle w:val="Bibliography"/>
      </w:pPr>
      <w:r>
        <w:t xml:space="preserve">Kerr, J. R., &amp; Wilson, M. S. (2021). Right-wing authoritarianism and social dominance orientation predict rejection of science and scientists.</w:t>
      </w:r>
      <w:r>
        <w:t xml:space="preserve"> </w:t>
      </w:r>
      <w:r>
        <w:rPr>
          <w:i/>
          <w:iCs/>
        </w:rPr>
        <w:t xml:space="preserve">Group Processes &amp; Intergroup Relations</w:t>
      </w:r>
      <w:r>
        <w:t xml:space="preserve">,</w:t>
      </w:r>
      <w:r>
        <w:t xml:space="preserve"> </w:t>
      </w:r>
      <w:r>
        <w:rPr>
          <w:i/>
          <w:iCs/>
        </w:rPr>
        <w:t xml:space="preserve">24</w:t>
      </w:r>
      <w:r>
        <w:t xml:space="preserve">(4), 550–567.</w:t>
      </w:r>
      <w:r>
        <w:t xml:space="preserve"> </w:t>
      </w:r>
      <w:hyperlink r:id="rId137">
        <w:r>
          <w:rPr>
            <w:rStyle w:val="Hyperlink"/>
          </w:rPr>
          <w:t xml:space="preserve">https://doi.org/10.1177/1368430221992126</w:t>
        </w:r>
      </w:hyperlink>
    </w:p>
    <w:bookmarkEnd w:id="138"/>
    <w:bookmarkStart w:id="140" w:name="ref-koetkeEffectSeeingScientists2024"/>
    <w:p>
      <w:pPr>
        <w:pStyle w:val="Bibliography"/>
      </w:pPr>
      <w:r>
        <w:t xml:space="preserve">Koetke, J., Schumann, K., Bowes, S. M., &amp; Vaupotič, N. (2024). The effect of seeing scientists as intellectually humble on trust in scientists and their research.</w:t>
      </w:r>
      <w:r>
        <w:t xml:space="preserve"> </w:t>
      </w:r>
      <w:r>
        <w:rPr>
          <w:i/>
          <w:iCs/>
        </w:rPr>
        <w:t xml:space="preserve">Nature Human Behaviour</w:t>
      </w:r>
      <w:r>
        <w:t xml:space="preserve">, 1–14.</w:t>
      </w:r>
      <w:r>
        <w:t xml:space="preserve"> </w:t>
      </w:r>
      <w:hyperlink r:id="rId139">
        <w:r>
          <w:rPr>
            <w:rStyle w:val="Hyperlink"/>
          </w:rPr>
          <w:t xml:space="preserve">https://doi.org/10.1038/s41562-024-02060-x</w:t>
        </w:r>
      </w:hyperlink>
    </w:p>
    <w:bookmarkEnd w:id="140"/>
    <w:bookmarkStart w:id="142" w:name="ref-koetkeTrustScienceIncreases2021"/>
    <w:p>
      <w:pPr>
        <w:pStyle w:val="Bibliography"/>
      </w:pPr>
      <w:r>
        <w:t xml:space="preserve">Koetke, J., Schumann, K., &amp; Porter, T. (2021). Trust in science increases conservative support for social distancing.</w:t>
      </w:r>
      <w:r>
        <w:t xml:space="preserve"> </w:t>
      </w:r>
      <w:r>
        <w:rPr>
          <w:i/>
          <w:iCs/>
        </w:rPr>
        <w:t xml:space="preserve">Group Processes &amp; Intergroup Relations</w:t>
      </w:r>
      <w:r>
        <w:t xml:space="preserve">,</w:t>
      </w:r>
      <w:r>
        <w:t xml:space="preserve"> </w:t>
      </w:r>
      <w:r>
        <w:rPr>
          <w:i/>
          <w:iCs/>
        </w:rPr>
        <w:t xml:space="preserve">24</w:t>
      </w:r>
      <w:r>
        <w:t xml:space="preserve">(4), 680–697.</w:t>
      </w:r>
      <w:r>
        <w:t xml:space="preserve"> </w:t>
      </w:r>
      <w:hyperlink r:id="rId141">
        <w:r>
          <w:rPr>
            <w:rStyle w:val="Hyperlink"/>
          </w:rPr>
          <w:t xml:space="preserve">https://doi.org/10.1177/1368430220985918</w:t>
        </w:r>
      </w:hyperlink>
    </w:p>
    <w:bookmarkEnd w:id="142"/>
    <w:bookmarkStart w:id="143" w:name="ref-kurversHowDetectHighperforming2019"/>
    <w:p>
      <w:pPr>
        <w:pStyle w:val="Bibliography"/>
      </w:pPr>
      <w:r>
        <w:t xml:space="preserve">Kurvers, R. H., Herzog, S. M., Hertwig, R., Krause, J., Moussaid, M., Argenziano, G., Zalaudek, I., Carney, P. A., &amp; Wolf, M. (2019). How to detect high-performing individuals and groups: Decision similarity predicts accuracy.</w:t>
      </w:r>
      <w:r>
        <w:t xml:space="preserve"> </w:t>
      </w:r>
      <w:r>
        <w:rPr>
          <w:i/>
          <w:iCs/>
        </w:rPr>
        <w:t xml:space="preserve">Science Advances</w:t>
      </w:r>
      <w:r>
        <w:t xml:space="preserve">,</w:t>
      </w:r>
      <w:r>
        <w:t xml:space="preserve"> </w:t>
      </w:r>
      <w:r>
        <w:rPr>
          <w:i/>
          <w:iCs/>
        </w:rPr>
        <w:t xml:space="preserve">5</w:t>
      </w:r>
      <w:r>
        <w:t xml:space="preserve">(11), eaaw9011.</w:t>
      </w:r>
    </w:p>
    <w:bookmarkEnd w:id="143"/>
    <w:bookmarkStart w:id="144" w:name="ref-lalandSocialLearningStrategies"/>
    <w:p>
      <w:pPr>
        <w:pStyle w:val="Bibliography"/>
      </w:pPr>
      <w:r>
        <w:t xml:space="preserve">Laland, K. N. (n.d.).</w:t>
      </w:r>
      <w:r>
        <w:t xml:space="preserve"> </w:t>
      </w:r>
      <w:r>
        <w:rPr>
          <w:i/>
          <w:iCs/>
        </w:rPr>
        <w:t xml:space="preserve">Social learning strategies</w:t>
      </w:r>
      <w:r>
        <w:t xml:space="preserve">.</w:t>
      </w:r>
    </w:p>
    <w:bookmarkEnd w:id="144"/>
    <w:bookmarkStart w:id="146" w:name="X8cce04bf7726b5fe351c7c2fbe37425a471a11c"/>
    <w:p>
      <w:pPr>
        <w:pStyle w:val="Bibliography"/>
      </w:pPr>
      <w:r>
        <w:t xml:space="preserve">Lewandowsky, S., Gignac, G. E., &amp; Oberauer, K. (2013). The Role of Conspiracist Ideation and Worldviews in Predicting Rejection of Science.</w:t>
      </w:r>
      <w:r>
        <w:t xml:space="preserve"> </w:t>
      </w:r>
      <w:r>
        <w:rPr>
          <w:i/>
          <w:iCs/>
        </w:rPr>
        <w:t xml:space="preserve">PLOS ONE</w:t>
      </w:r>
      <w:r>
        <w:t xml:space="preserve">,</w:t>
      </w:r>
      <w:r>
        <w:t xml:space="preserve"> </w:t>
      </w:r>
      <w:r>
        <w:rPr>
          <w:i/>
          <w:iCs/>
        </w:rPr>
        <w:t xml:space="preserve">8</w:t>
      </w:r>
      <w:r>
        <w:t xml:space="preserve">(10), e75637.</w:t>
      </w:r>
      <w:r>
        <w:t xml:space="preserve"> </w:t>
      </w:r>
      <w:hyperlink r:id="rId145">
        <w:r>
          <w:rPr>
            <w:rStyle w:val="Hyperlink"/>
          </w:rPr>
          <w:t xml:space="preserve">https://doi.org/10.1371/journal.pone.0075637</w:t>
        </w:r>
      </w:hyperlink>
    </w:p>
    <w:bookmarkEnd w:id="146"/>
    <w:bookmarkStart w:id="148" w:name="X5c8108ed84245ea079ad53e9a4cd4476fe94b1b"/>
    <w:p>
      <w:pPr>
        <w:pStyle w:val="Bibliography"/>
      </w:pPr>
      <w:r>
        <w:t xml:space="preserve">Lewandowsky, S., &amp; Oberauer, K. (2016). Motivated Rejection of Science.</w:t>
      </w:r>
      <w:r>
        <w:t xml:space="preserve"> </w:t>
      </w:r>
      <w:r>
        <w:rPr>
          <w:i/>
          <w:iCs/>
        </w:rPr>
        <w:t xml:space="preserve">Current Directions in Psychological Science</w:t>
      </w:r>
      <w:r>
        <w:t xml:space="preserve">,</w:t>
      </w:r>
      <w:r>
        <w:t xml:space="preserve"> </w:t>
      </w:r>
      <w:r>
        <w:rPr>
          <w:i/>
          <w:iCs/>
        </w:rPr>
        <w:t xml:space="preserve">25</w:t>
      </w:r>
      <w:r>
        <w:t xml:space="preserve">(4), 217–222.</w:t>
      </w:r>
      <w:r>
        <w:t xml:space="preserve"> </w:t>
      </w:r>
      <w:hyperlink r:id="rId147">
        <w:r>
          <w:rPr>
            <w:rStyle w:val="Hyperlink"/>
          </w:rPr>
          <w:t xml:space="preserve">https://doi.org/10.1177/0963721416654436</w:t>
        </w:r>
      </w:hyperlink>
    </w:p>
    <w:bookmarkEnd w:id="148"/>
    <w:bookmarkStart w:id="150" w:name="X3451f52acce70bd6874021632b5ca886fc6dda3"/>
    <w:p>
      <w:pPr>
        <w:pStyle w:val="Bibliography"/>
      </w:pPr>
      <w:r>
        <w:t xml:space="preserve">Lewandowsky, S., &amp; Oberauer, K. (2021). Worldview-motivated rejection of science and the norms of science.</w:t>
      </w:r>
      <w:r>
        <w:t xml:space="preserve"> </w:t>
      </w:r>
      <w:r>
        <w:rPr>
          <w:i/>
          <w:iCs/>
        </w:rPr>
        <w:t xml:space="preserve">Cognition</w:t>
      </w:r>
      <w:r>
        <w:t xml:space="preserve">,</w:t>
      </w:r>
      <w:r>
        <w:t xml:space="preserve"> </w:t>
      </w:r>
      <w:r>
        <w:rPr>
          <w:i/>
          <w:iCs/>
        </w:rPr>
        <w:t xml:space="preserve">215</w:t>
      </w:r>
      <w:r>
        <w:t xml:space="preserve">, 104820.</w:t>
      </w:r>
      <w:r>
        <w:t xml:space="preserve"> </w:t>
      </w:r>
      <w:hyperlink r:id="rId149">
        <w:r>
          <w:rPr>
            <w:rStyle w:val="Hyperlink"/>
          </w:rPr>
          <w:t xml:space="preserve">https://doi.org/10.1016/j.cognition.2021.104820</w:t>
        </w:r>
      </w:hyperlink>
    </w:p>
    <w:bookmarkEnd w:id="150"/>
    <w:bookmarkStart w:id="152" w:name="ref-vanderlindenGatewayBeliefModel2021"/>
    <w:p>
      <w:pPr>
        <w:pStyle w:val="Bibliography"/>
      </w:pPr>
      <w:r>
        <w:t xml:space="preserve">Linden, S. van der. (2021). The Gateway Belief Model (GBM): A review and research agenda for communicating the scientific consensus on climate change.</w:t>
      </w:r>
      <w:r>
        <w:t xml:space="preserve"> </w:t>
      </w:r>
      <w:r>
        <w:rPr>
          <w:i/>
          <w:iCs/>
        </w:rPr>
        <w:t xml:space="preserve">Current Opinion in Psychology</w:t>
      </w:r>
      <w:r>
        <w:t xml:space="preserve">,</w:t>
      </w:r>
      <w:r>
        <w:t xml:space="preserve"> </w:t>
      </w:r>
      <w:r>
        <w:rPr>
          <w:i/>
          <w:iCs/>
        </w:rPr>
        <w:t xml:space="preserve">42</w:t>
      </w:r>
      <w:r>
        <w:t xml:space="preserve">, 7–12.</w:t>
      </w:r>
      <w:r>
        <w:t xml:space="preserve"> </w:t>
      </w:r>
      <w:hyperlink r:id="rId151">
        <w:r>
          <w:rPr>
            <w:rStyle w:val="Hyperlink"/>
          </w:rPr>
          <w:t xml:space="preserve">https://doi.org/10.1016/j.copsyc.2021.01.005</w:t>
        </w:r>
      </w:hyperlink>
    </w:p>
    <w:bookmarkEnd w:id="152"/>
    <w:bookmarkStart w:id="154" w:name="ref-lindholtPublicAcceptanceCOVID192021"/>
    <w:p>
      <w:pPr>
        <w:pStyle w:val="Bibliography"/>
      </w:pPr>
      <w:r>
        <w:t xml:space="preserve">Lindholt, M. F., Jørgensen, F., Bor, A., &amp; Petersen, M. B. (2021). Public acceptance of COVID-19 vaccines: cross-national evidence on levels and individual-level predictors using observational data.</w:t>
      </w:r>
      <w:r>
        <w:t xml:space="preserve"> </w:t>
      </w:r>
      <w:r>
        <w:rPr>
          <w:i/>
          <w:iCs/>
        </w:rPr>
        <w:t xml:space="preserve">BMJ Open</w:t>
      </w:r>
      <w:r>
        <w:t xml:space="preserve">,</w:t>
      </w:r>
      <w:r>
        <w:t xml:space="preserve"> </w:t>
      </w:r>
      <w:r>
        <w:rPr>
          <w:i/>
          <w:iCs/>
        </w:rPr>
        <w:t xml:space="preserve">11</w:t>
      </w:r>
      <w:r>
        <w:t xml:space="preserve">(6), e048172.</w:t>
      </w:r>
      <w:r>
        <w:t xml:space="preserve"> </w:t>
      </w:r>
      <w:hyperlink r:id="rId153">
        <w:r>
          <w:rPr>
            <w:rStyle w:val="Hyperlink"/>
          </w:rPr>
          <w:t xml:space="preserve">https://doi.org/10.1136/bmjopen-2020-048172</w:t>
        </w:r>
      </w:hyperlink>
    </w:p>
    <w:bookmarkEnd w:id="154"/>
    <w:bookmarkStart w:id="156" w:name="ref-liquinMotivatedLearnAccount2022"/>
    <w:p>
      <w:pPr>
        <w:pStyle w:val="Bibliography"/>
      </w:pPr>
      <w:r>
        <w:t xml:space="preserve">Liquin, E. G., &amp; Lombrozo, T. (2022). Motivated to learn: An account of explanatory satisfaction.</w:t>
      </w:r>
      <w:r>
        <w:t xml:space="preserve"> </w:t>
      </w:r>
      <w:r>
        <w:rPr>
          <w:i/>
          <w:iCs/>
        </w:rPr>
        <w:t xml:space="preserve">Cognitive Psychology</w:t>
      </w:r>
      <w:r>
        <w:t xml:space="preserve">,</w:t>
      </w:r>
      <w:r>
        <w:t xml:space="preserve"> </w:t>
      </w:r>
      <w:r>
        <w:rPr>
          <w:i/>
          <w:iCs/>
        </w:rPr>
        <w:t xml:space="preserve">132</w:t>
      </w:r>
      <w:r>
        <w:t xml:space="preserve">, 101453.</w:t>
      </w:r>
      <w:r>
        <w:t xml:space="preserve"> </w:t>
      </w:r>
      <w:hyperlink r:id="rId155">
        <w:r>
          <w:rPr>
            <w:rStyle w:val="Hyperlink"/>
          </w:rPr>
          <w:t xml:space="preserve">https://doi.org/10.1016/j.cogpsych.2021.101453</w:t>
        </w:r>
      </w:hyperlink>
    </w:p>
    <w:bookmarkEnd w:id="156"/>
    <w:bookmarkStart w:id="158" w:name="ref-liuSelectiveTrustChildrens2013"/>
    <w:p>
      <w:pPr>
        <w:pStyle w:val="Bibliography"/>
      </w:pPr>
      <w:r>
        <w:t xml:space="preserve">Liu, D., Vanderbilt, K. E., &amp; Heyman, G. D. (2013). Selective trust: Children’s use of intention and outcome of past testimony.</w:t>
      </w:r>
      <w:r>
        <w:t xml:space="preserve"> </w:t>
      </w:r>
      <w:r>
        <w:rPr>
          <w:i/>
          <w:iCs/>
        </w:rPr>
        <w:t xml:space="preserve">Developmental Psychology</w:t>
      </w:r>
      <w:r>
        <w:t xml:space="preserve">,</w:t>
      </w:r>
      <w:r>
        <w:t xml:space="preserve"> </w:t>
      </w:r>
      <w:r>
        <w:rPr>
          <w:i/>
          <w:iCs/>
        </w:rPr>
        <w:t xml:space="preserve">49</w:t>
      </w:r>
      <w:r>
        <w:t xml:space="preserve">(3), 439–445.</w:t>
      </w:r>
      <w:r>
        <w:t xml:space="preserve"> </w:t>
      </w:r>
      <w:hyperlink r:id="rId157">
        <w:r>
          <w:rPr>
            <w:rStyle w:val="Hyperlink"/>
          </w:rPr>
          <w:t xml:space="preserve">https://doi.org/10.1037/a0031615</w:t>
        </w:r>
      </w:hyperlink>
    </w:p>
    <w:bookmarkEnd w:id="158"/>
    <w:bookmarkStart w:id="160" w:name="Xf36e7a3d99416127470c307febc79cf4c457a52"/>
    <w:p>
      <w:pPr>
        <w:pStyle w:val="Bibliography"/>
      </w:pPr>
      <w:r>
        <w:t xml:space="preserve">Lombrozo, T. (2006). The structure and function of explanations.</w:t>
      </w:r>
      <w:r>
        <w:t xml:space="preserve"> </w:t>
      </w:r>
      <w:r>
        <w:rPr>
          <w:i/>
          <w:iCs/>
        </w:rPr>
        <w:t xml:space="preserve">Trends in Cognitive Sciences</w:t>
      </w:r>
      <w:r>
        <w:t xml:space="preserve">,</w:t>
      </w:r>
      <w:r>
        <w:t xml:space="preserve"> </w:t>
      </w:r>
      <w:r>
        <w:rPr>
          <w:i/>
          <w:iCs/>
        </w:rPr>
        <w:t xml:space="preserve">10</w:t>
      </w:r>
      <w:r>
        <w:t xml:space="preserve">(10), 464–470.</w:t>
      </w:r>
      <w:r>
        <w:t xml:space="preserve"> </w:t>
      </w:r>
      <w:hyperlink r:id="rId159">
        <w:r>
          <w:rPr>
            <w:rStyle w:val="Hyperlink"/>
          </w:rPr>
          <w:t xml:space="preserve">https://doi.org/10.1016/j.tics.2006.08.004</w:t>
        </w:r>
      </w:hyperlink>
    </w:p>
    <w:bookmarkEnd w:id="160"/>
    <w:bookmarkStart w:id="162" w:name="Xcc689c35c11fea3ec03b1c6778438231e03ec74"/>
    <w:p>
      <w:pPr>
        <w:pStyle w:val="Bibliography"/>
      </w:pPr>
      <w:r>
        <w:t xml:space="preserve">Lombrozo, T. (2007). Simplicity and probability in causal explanation.</w:t>
      </w:r>
      <w:r>
        <w:t xml:space="preserve"> </w:t>
      </w:r>
      <w:r>
        <w:rPr>
          <w:i/>
          <w:iCs/>
        </w:rPr>
        <w:t xml:space="preserve">Cognitive Psychology</w:t>
      </w:r>
      <w:r>
        <w:t xml:space="preserve">,</w:t>
      </w:r>
      <w:r>
        <w:t xml:space="preserve"> </w:t>
      </w:r>
      <w:r>
        <w:rPr>
          <w:i/>
          <w:iCs/>
        </w:rPr>
        <w:t xml:space="preserve">55</w:t>
      </w:r>
      <w:r>
        <w:t xml:space="preserve">(3), 232–257.</w:t>
      </w:r>
      <w:r>
        <w:t xml:space="preserve"> </w:t>
      </w:r>
      <w:hyperlink r:id="rId161">
        <w:r>
          <w:rPr>
            <w:rStyle w:val="Hyperlink"/>
          </w:rPr>
          <w:t xml:space="preserve">https://doi.org/10.1016/j.cogpsych.2006.09.006</w:t>
        </w:r>
      </w:hyperlink>
    </w:p>
    <w:bookmarkEnd w:id="162"/>
    <w:bookmarkStart w:id="164" w:name="ref-lupiaTrendsUSPublic2024"/>
    <w:p>
      <w:pPr>
        <w:pStyle w:val="Bibliography"/>
      </w:pPr>
      <w:r>
        <w:t xml:space="preserve">Lupia, A., Allison, D. B., Jamieson, K. H., Heimberg, J., Skipper, M., &amp; Wolf, S. M. (2024). Trends in US public confidence in science and opportunities for progress.</w:t>
      </w:r>
      <w:r>
        <w:t xml:space="preserve"> </w:t>
      </w:r>
      <w:r>
        <w:rPr>
          <w:i/>
          <w:iCs/>
        </w:rPr>
        <w:t xml:space="preserve">Proceedings of the National Academy of Sciences</w:t>
      </w:r>
      <w:r>
        <w:t xml:space="preserve">,</w:t>
      </w:r>
      <w:r>
        <w:t xml:space="preserve"> </w:t>
      </w:r>
      <w:r>
        <w:rPr>
          <w:i/>
          <w:iCs/>
        </w:rPr>
        <w:t xml:space="preserve">121</w:t>
      </w:r>
      <w:r>
        <w:t xml:space="preserve">(11), e2319488121.</w:t>
      </w:r>
      <w:r>
        <w:t xml:space="preserve"> </w:t>
      </w:r>
      <w:hyperlink r:id="rId163">
        <w:r>
          <w:rPr>
            <w:rStyle w:val="Hyperlink"/>
          </w:rPr>
          <w:t xml:space="preserve">https://doi.org/10.1073/pnas.2319488121</w:t>
        </w:r>
      </w:hyperlink>
    </w:p>
    <w:bookmarkEnd w:id="164"/>
    <w:bookmarkStart w:id="166" w:name="ref-mahrWhyWeRemember2018"/>
    <w:p>
      <w:pPr>
        <w:pStyle w:val="Bibliography"/>
      </w:pPr>
      <w:r>
        <w:t xml:space="preserve">Mahr, J. B., &amp; Csibra, G. (2018). Why do we remember? The communicative function of episodic memory.</w:t>
      </w:r>
      <w:r>
        <w:t xml:space="preserve"> </w:t>
      </w:r>
      <w:r>
        <w:rPr>
          <w:i/>
          <w:iCs/>
        </w:rPr>
        <w:t xml:space="preserve">Behavioral and Brain Sciences</w:t>
      </w:r>
      <w:r>
        <w:t xml:space="preserve">,</w:t>
      </w:r>
      <w:r>
        <w:t xml:space="preserve"> </w:t>
      </w:r>
      <w:r>
        <w:rPr>
          <w:i/>
          <w:iCs/>
        </w:rPr>
        <w:t xml:space="preserve">41</w:t>
      </w:r>
      <w:r>
        <w:t xml:space="preserve">, e1.</w:t>
      </w:r>
      <w:r>
        <w:t xml:space="preserve"> </w:t>
      </w:r>
      <w:hyperlink r:id="rId165">
        <w:r>
          <w:rPr>
            <w:rStyle w:val="Hyperlink"/>
          </w:rPr>
          <w:t xml:space="preserve">https://doi.org/10.1017/S0140525X17000012</w:t>
        </w:r>
      </w:hyperlink>
    </w:p>
    <w:bookmarkEnd w:id="166"/>
    <w:bookmarkStart w:id="168" w:name="Xf60adf044fc07610415de85807200773c160844"/>
    <w:p>
      <w:pPr>
        <w:pStyle w:val="Bibliography"/>
      </w:pPr>
      <w:r>
        <w:t xml:space="preserve">Mayer, R. C., Davis, J. H., &amp; Schoorman, F. D. (1995). An Integrative Model of Organizational Trust.</w:t>
      </w:r>
      <w:r>
        <w:t xml:space="preserve"> </w:t>
      </w:r>
      <w:r>
        <w:rPr>
          <w:i/>
          <w:iCs/>
        </w:rPr>
        <w:t xml:space="preserve">The Academy of Management Review</w:t>
      </w:r>
      <w:r>
        <w:t xml:space="preserve">,</w:t>
      </w:r>
      <w:r>
        <w:t xml:space="preserve"> </w:t>
      </w:r>
      <w:r>
        <w:rPr>
          <w:i/>
          <w:iCs/>
        </w:rPr>
        <w:t xml:space="preserve">20</w:t>
      </w:r>
      <w:r>
        <w:t xml:space="preserve">(3), 709.</w:t>
      </w:r>
      <w:r>
        <w:t xml:space="preserve"> </w:t>
      </w:r>
      <w:hyperlink r:id="rId167">
        <w:r>
          <w:rPr>
            <w:rStyle w:val="Hyperlink"/>
          </w:rPr>
          <w:t xml:space="preserve">https://doi.org/10.2307/258792</w:t>
        </w:r>
      </w:hyperlink>
    </w:p>
    <w:bookmarkEnd w:id="168"/>
    <w:bookmarkStart w:id="169" w:name="ref-maynard-smithAnimalSignals2003"/>
    <w:p>
      <w:pPr>
        <w:pStyle w:val="Bibliography"/>
      </w:pPr>
      <w:r>
        <w:t xml:space="preserve">Maynard-Smith, J., &amp; Harper, D. (2003).</w:t>
      </w:r>
      <w:r>
        <w:t xml:space="preserve"> </w:t>
      </w:r>
      <w:r>
        <w:rPr>
          <w:i/>
          <w:iCs/>
        </w:rPr>
        <w:t xml:space="preserve">Animal signals</w:t>
      </w:r>
      <w:r>
        <w:t xml:space="preserve">. Oxford University Press.</w:t>
      </w:r>
    </w:p>
    <w:bookmarkEnd w:id="169"/>
    <w:bookmarkStart w:id="170" w:name="ref-mccauleyWhyReligionNatural2011a"/>
    <w:p>
      <w:pPr>
        <w:pStyle w:val="Bibliography"/>
      </w:pPr>
      <w:r>
        <w:t xml:space="preserve">McCauley, R. N. (2011).</w:t>
      </w:r>
      <w:r>
        <w:t xml:space="preserve"> </w:t>
      </w:r>
      <w:r>
        <w:rPr>
          <w:i/>
          <w:iCs/>
        </w:rPr>
        <w:t xml:space="preserve">Why religion is natural and science is not</w:t>
      </w:r>
      <w:r>
        <w:t xml:space="preserve">. Oxford University Press.</w:t>
      </w:r>
    </w:p>
    <w:bookmarkEnd w:id="170"/>
    <w:bookmarkStart w:id="172" w:name="X935e916c7056a235c3389290f9a9c09e9a3880d"/>
    <w:p>
      <w:pPr>
        <w:pStyle w:val="Bibliography"/>
      </w:pPr>
      <w:r>
        <w:t xml:space="preserve">Mellers, B., Stone, E., Murray, T., Minster, A., Rohrbaugh, N., Bishop, M., Chen, E., Baker, J., Hou, Y., Horowitz, M., Ungar, L., &amp; Tetlock, P. (2015). Identifying and Cultivating Superforecasters as a Method of Improving Probabilistic Predictions.</w:t>
      </w:r>
      <w:r>
        <w:t xml:space="preserve"> </w:t>
      </w:r>
      <w:r>
        <w:rPr>
          <w:i/>
          <w:iCs/>
        </w:rPr>
        <w:t xml:space="preserve">Perspectives on Psychological Science</w:t>
      </w:r>
      <w:r>
        <w:t xml:space="preserve">,</w:t>
      </w:r>
      <w:r>
        <w:t xml:space="preserve"> </w:t>
      </w:r>
      <w:r>
        <w:rPr>
          <w:i/>
          <w:iCs/>
        </w:rPr>
        <w:t xml:space="preserve">10</w:t>
      </w:r>
      <w:r>
        <w:t xml:space="preserve">(3), 267–281.</w:t>
      </w:r>
      <w:r>
        <w:t xml:space="preserve"> </w:t>
      </w:r>
      <w:hyperlink r:id="rId171">
        <w:r>
          <w:rPr>
            <w:rStyle w:val="Hyperlink"/>
          </w:rPr>
          <w:t xml:space="preserve">https://doi.org/10.1177/1745691615577794</w:t>
        </w:r>
      </w:hyperlink>
    </w:p>
    <w:bookmarkEnd w:id="172"/>
    <w:bookmarkStart w:id="174" w:name="ref-mercierHowGullibleAre2017"/>
    <w:p>
      <w:pPr>
        <w:pStyle w:val="Bibliography"/>
      </w:pPr>
      <w:r>
        <w:t xml:space="preserve">Mercier, H. (2017). How Gullible are We? A Review of the Evidence from Psychology and Social Science.</w:t>
      </w:r>
      <w:r>
        <w:t xml:space="preserve"> </w:t>
      </w:r>
      <w:r>
        <w:rPr>
          <w:i/>
          <w:iCs/>
        </w:rPr>
        <w:t xml:space="preserve">Review of General Psychology</w:t>
      </w:r>
      <w:r>
        <w:t xml:space="preserve">,</w:t>
      </w:r>
      <w:r>
        <w:t xml:space="preserve"> </w:t>
      </w:r>
      <w:r>
        <w:rPr>
          <w:i/>
          <w:iCs/>
        </w:rPr>
        <w:t xml:space="preserve">21</w:t>
      </w:r>
      <w:r>
        <w:t xml:space="preserve">(2), 103–122.</w:t>
      </w:r>
      <w:r>
        <w:t xml:space="preserve"> </w:t>
      </w:r>
      <w:hyperlink r:id="rId173">
        <w:r>
          <w:rPr>
            <w:rStyle w:val="Hyperlink"/>
          </w:rPr>
          <w:t xml:space="preserve">https://doi.org/10.1037/gpr0000111</w:t>
        </w:r>
      </w:hyperlink>
    </w:p>
    <w:bookmarkEnd w:id="174"/>
    <w:bookmarkStart w:id="176" w:name="ref-mercierNotBornYesterday2020"/>
    <w:p>
      <w:pPr>
        <w:pStyle w:val="Bibliography"/>
      </w:pPr>
      <w:r>
        <w:t xml:space="preserve">Mercier, H. (2020).</w:t>
      </w:r>
      <w:r>
        <w:t xml:space="preserve"> </w:t>
      </w:r>
      <w:r>
        <w:rPr>
          <w:i/>
          <w:iCs/>
        </w:rPr>
        <w:t xml:space="preserve">Not born yesterday: the science of who we trust and what we believe</w:t>
      </w:r>
      <w:r>
        <w:t xml:space="preserve">.</w:t>
      </w:r>
      <w:r>
        <w:t xml:space="preserve"> </w:t>
      </w:r>
      <w:hyperlink r:id="rId175">
        <w:r>
          <w:rPr>
            <w:rStyle w:val="Hyperlink"/>
          </w:rPr>
          <w:t xml:space="preserve">https://doi.org/10.1515/9780691198842</w:t>
        </w:r>
      </w:hyperlink>
    </w:p>
    <w:bookmarkEnd w:id="176"/>
    <w:bookmarkStart w:id="178" w:name="ref-mercierMajorityRulesHow2019"/>
    <w:p>
      <w:pPr>
        <w:pStyle w:val="Bibliography"/>
      </w:pPr>
      <w:r>
        <w:t xml:space="preserve">Mercier, H., &amp; Morin, O. (2019). Majority rules: how good are we at aggregating convergent opinions?</w:t>
      </w:r>
      <w:r>
        <w:t xml:space="preserve"> </w:t>
      </w:r>
      <w:r>
        <w:rPr>
          <w:i/>
          <w:iCs/>
        </w:rPr>
        <w:t xml:space="preserve">Evolutionary Human Sciences</w:t>
      </w:r>
      <w:r>
        <w:t xml:space="preserve">,</w:t>
      </w:r>
      <w:r>
        <w:t xml:space="preserve"> </w:t>
      </w:r>
      <w:r>
        <w:rPr>
          <w:i/>
          <w:iCs/>
        </w:rPr>
        <w:t xml:space="preserve">1</w:t>
      </w:r>
      <w:r>
        <w:t xml:space="preserve">, e6.</w:t>
      </w:r>
      <w:r>
        <w:t xml:space="preserve"> </w:t>
      </w:r>
      <w:hyperlink r:id="rId177">
        <w:r>
          <w:rPr>
            <w:rStyle w:val="Hyperlink"/>
          </w:rPr>
          <w:t xml:space="preserve">https://doi.org/10.1017/ehs.2019.6</w:t>
        </w:r>
      </w:hyperlink>
    </w:p>
    <w:bookmarkEnd w:id="178"/>
    <w:bookmarkStart w:id="180" w:name="Xf55452f37f567501ea552cf1e534ee63bb3cf9f"/>
    <w:p>
      <w:pPr>
        <w:pStyle w:val="Bibliography"/>
      </w:pPr>
      <w:r>
        <w:t xml:space="preserve">Miller, J. D. (1998). The measurement of civic scientific literacy.</w:t>
      </w:r>
      <w:r>
        <w:t xml:space="preserve"> </w:t>
      </w:r>
      <w:r>
        <w:rPr>
          <w:i/>
          <w:iCs/>
        </w:rPr>
        <w:t xml:space="preserve">Public Understanding of Science</w:t>
      </w:r>
      <w:r>
        <w:t xml:space="preserve">,</w:t>
      </w:r>
      <w:r>
        <w:t xml:space="preserve"> </w:t>
      </w:r>
      <w:r>
        <w:rPr>
          <w:i/>
          <w:iCs/>
        </w:rPr>
        <w:t xml:space="preserve">7</w:t>
      </w:r>
      <w:r>
        <w:t xml:space="preserve">(3), 203–223.</w:t>
      </w:r>
      <w:r>
        <w:t xml:space="preserve"> </w:t>
      </w:r>
      <w:hyperlink r:id="rId179">
        <w:r>
          <w:rPr>
            <w:rStyle w:val="Hyperlink"/>
          </w:rPr>
          <w:t xml:space="preserve">https://doi.org/10.1088/0963-6625/7/3/001</w:t>
        </w:r>
      </w:hyperlink>
    </w:p>
    <w:bookmarkEnd w:id="180"/>
    <w:bookmarkStart w:id="182" w:name="X07be609bc667015409764a61501c6b158827b43"/>
    <w:p>
      <w:pPr>
        <w:pStyle w:val="Bibliography"/>
      </w:pPr>
      <w:r>
        <w:t xml:space="preserve">Miller, J. D. (2004). Public Understanding of, and Attitudes toward, Scientific Research: What We Know and What We Need to Know.</w:t>
      </w:r>
      <w:r>
        <w:t xml:space="preserve"> </w:t>
      </w:r>
      <w:r>
        <w:rPr>
          <w:i/>
          <w:iCs/>
        </w:rPr>
        <w:t xml:space="preserve">Public Understanding of Science</w:t>
      </w:r>
      <w:r>
        <w:t xml:space="preserve">,</w:t>
      </w:r>
      <w:r>
        <w:t xml:space="preserve"> </w:t>
      </w:r>
      <w:r>
        <w:rPr>
          <w:i/>
          <w:iCs/>
        </w:rPr>
        <w:t xml:space="preserve">13</w:t>
      </w:r>
      <w:r>
        <w:t xml:space="preserve">(3), 273–294.</w:t>
      </w:r>
      <w:r>
        <w:t xml:space="preserve"> </w:t>
      </w:r>
      <w:hyperlink r:id="rId181">
        <w:r>
          <w:rPr>
            <w:rStyle w:val="Hyperlink"/>
          </w:rPr>
          <w:t xml:space="preserve">https://doi.org/10.1177/0963662504044908</w:t>
        </w:r>
      </w:hyperlink>
    </w:p>
    <w:bookmarkEnd w:id="182"/>
    <w:bookmarkStart w:id="184" w:name="Xae190a4648828df49a0b88dafe4b4473e1faed6"/>
    <w:p>
      <w:pPr>
        <w:pStyle w:val="Bibliography"/>
      </w:pPr>
      <w:r>
        <w:t xml:space="preserve">Miton, H., &amp; Mercier, H. (2015). Cognitive Obstacles to Pro-Vaccination Beliefs.</w:t>
      </w:r>
      <w:r>
        <w:t xml:space="preserve"> </w:t>
      </w:r>
      <w:r>
        <w:rPr>
          <w:i/>
          <w:iCs/>
        </w:rPr>
        <w:t xml:space="preserve">Trends in Cognitive Sciences</w:t>
      </w:r>
      <w:r>
        <w:t xml:space="preserve">,</w:t>
      </w:r>
      <w:r>
        <w:t xml:space="preserve"> </w:t>
      </w:r>
      <w:r>
        <w:rPr>
          <w:i/>
          <w:iCs/>
        </w:rPr>
        <w:t xml:space="preserve">19</w:t>
      </w:r>
      <w:r>
        <w:t xml:space="preserve">(11), 633–636.</w:t>
      </w:r>
      <w:r>
        <w:t xml:space="preserve"> </w:t>
      </w:r>
      <w:hyperlink r:id="rId183">
        <w:r>
          <w:rPr>
            <w:rStyle w:val="Hyperlink"/>
          </w:rPr>
          <w:t xml:space="preserve">https://doi.org/10.1016/j.tics.2015.08.007</w:t>
        </w:r>
      </w:hyperlink>
    </w:p>
    <w:bookmarkEnd w:id="184"/>
    <w:bookmarkStart w:id="186" w:name="ref-mottaEnduringEffectScientific2018"/>
    <w:p>
      <w:pPr>
        <w:pStyle w:val="Bibliography"/>
      </w:pPr>
      <w:r>
        <w:t xml:space="preserve">Motta, M. (2018). The enduring effect of scientific interest on trust in climate scientists in the United States.</w:t>
      </w:r>
      <w:r>
        <w:t xml:space="preserve"> </w:t>
      </w:r>
      <w:r>
        <w:rPr>
          <w:i/>
          <w:iCs/>
        </w:rPr>
        <w:t xml:space="preserve">Nature Climate Change</w:t>
      </w:r>
      <w:r>
        <w:t xml:space="preserve">,</w:t>
      </w:r>
      <w:r>
        <w:t xml:space="preserve"> </w:t>
      </w:r>
      <w:r>
        <w:rPr>
          <w:i/>
          <w:iCs/>
        </w:rPr>
        <w:t xml:space="preserve">8</w:t>
      </w:r>
      <w:r>
        <w:t xml:space="preserve">(6), 485–488.</w:t>
      </w:r>
      <w:r>
        <w:t xml:space="preserve"> </w:t>
      </w:r>
      <w:hyperlink r:id="rId185">
        <w:r>
          <w:rPr>
            <w:rStyle w:val="Hyperlink"/>
          </w:rPr>
          <w:t xml:space="preserve">https://doi.org/10.1038/s41558-018-0126-9</w:t>
        </w:r>
      </w:hyperlink>
    </w:p>
    <w:bookmarkEnd w:id="186"/>
    <w:bookmarkStart w:id="188" w:name="Xeead73113c2c0b63f32282da0a459cb1534d22f"/>
    <w:p>
      <w:pPr>
        <w:pStyle w:val="Bibliography"/>
      </w:pPr>
      <w:r>
        <w:t xml:space="preserve">Murphy, G. L., &amp; Shapiro, A. M. (1994). Forgetting of verbatim information in discourse.</w:t>
      </w:r>
      <w:r>
        <w:t xml:space="preserve"> </w:t>
      </w:r>
      <w:r>
        <w:rPr>
          <w:i/>
          <w:iCs/>
        </w:rPr>
        <w:t xml:space="preserve">Memory &amp; Cognition</w:t>
      </w:r>
      <w:r>
        <w:t xml:space="preserve">,</w:t>
      </w:r>
      <w:r>
        <w:t xml:space="preserve"> </w:t>
      </w:r>
      <w:r>
        <w:rPr>
          <w:i/>
          <w:iCs/>
        </w:rPr>
        <w:t xml:space="preserve">22</w:t>
      </w:r>
      <w:r>
        <w:t xml:space="preserve">(1), 85–94.</w:t>
      </w:r>
      <w:r>
        <w:t xml:space="preserve"> </w:t>
      </w:r>
      <w:hyperlink r:id="rId187">
        <w:r>
          <w:rPr>
            <w:rStyle w:val="Hyperlink"/>
          </w:rPr>
          <w:t xml:space="preserve">https://doi.org/10.3758/BF03202764</w:t>
        </w:r>
      </w:hyperlink>
    </w:p>
    <w:bookmarkEnd w:id="188"/>
    <w:bookmarkStart w:id="189" w:name="X0333fa0217f4e6b211b693cae3be5570d8405be"/>
    <w:p>
      <w:pPr>
        <w:pStyle w:val="Bibliography"/>
      </w:pPr>
      <w:r>
        <w:t xml:space="preserve">National Academies of Sciences, E. (2024).</w:t>
      </w:r>
      <w:r>
        <w:t xml:space="preserve"> </w:t>
      </w:r>
      <w:r>
        <w:rPr>
          <w:i/>
          <w:iCs/>
        </w:rPr>
        <w:t xml:space="preserve">Understanding and addressing misinformation about science</w:t>
      </w:r>
      <w:r>
        <w:t xml:space="preserve">.</w:t>
      </w:r>
    </w:p>
    <w:bookmarkEnd w:id="189"/>
    <w:bookmarkStart w:id="191" w:name="X87ba04d7f6f955d7dab2970dc3ff653de6258ce"/>
    <w:p>
      <w:pPr>
        <w:pStyle w:val="Bibliography"/>
      </w:pPr>
      <w:r>
        <w:t xml:space="preserve">National Academies of Sciences, Engineering, and Medicine. (2016).</w:t>
      </w:r>
      <w:r>
        <w:t xml:space="preserve"> </w:t>
      </w:r>
      <w:r>
        <w:rPr>
          <w:i/>
          <w:iCs/>
        </w:rPr>
        <w:t xml:space="preserve">Science Literacy: Concepts, Contexts, and Consequences</w:t>
      </w:r>
      <w:r>
        <w:t xml:space="preserve"> </w:t>
      </w:r>
      <w:r>
        <w:t xml:space="preserve">(C. E. Snow &amp; K. A. Dibner, Eds.). National Academies Press.</w:t>
      </w:r>
      <w:r>
        <w:t xml:space="preserve"> </w:t>
      </w:r>
      <w:hyperlink r:id="rId190">
        <w:r>
          <w:rPr>
            <w:rStyle w:val="Hyperlink"/>
          </w:rPr>
          <w:t xml:space="preserve">https://doi.org/10.17226/23595</w:t>
        </w:r>
      </w:hyperlink>
    </w:p>
    <w:bookmarkEnd w:id="191"/>
    <w:bookmarkStart w:id="193" w:name="Xf94c1ae30e44c0c5543a332c0c3fc1ad332789c"/>
    <w:p>
      <w:pPr>
        <w:pStyle w:val="Bibliography"/>
      </w:pPr>
      <w:r>
        <w:t xml:space="preserve">National Science Board, National Science Foundation. (2024).</w:t>
      </w:r>
      <w:r>
        <w:t xml:space="preserve"> </w:t>
      </w:r>
      <w:r>
        <w:rPr>
          <w:i/>
          <w:iCs/>
        </w:rPr>
        <w:t xml:space="preserve">Science and technology: Public perceptions, awareness, and information sources.</w:t>
      </w:r>
      <w:r>
        <w:t xml:space="preserve"> </w:t>
      </w:r>
      <w:hyperlink r:id="rId192">
        <w:r>
          <w:rPr>
            <w:rStyle w:val="Hyperlink"/>
          </w:rPr>
          <w:t xml:space="preserve">https://ncses.nsf.gov/pubs/nsb20244</w:t>
        </w:r>
      </w:hyperlink>
    </w:p>
    <w:bookmarkEnd w:id="193"/>
    <w:bookmarkStart w:id="194" w:name="ref-newmanDigitalNewsReport2023"/>
    <w:p>
      <w:pPr>
        <w:pStyle w:val="Bibliography"/>
      </w:pPr>
      <w:r>
        <w:t xml:space="preserve">Newman, N., Fletcher, R., Eddy, K., Robertson, C. T., &amp; Nielsen, R. K. (2023).</w:t>
      </w:r>
      <w:r>
        <w:t xml:space="preserve"> </w:t>
      </w:r>
      <w:r>
        <w:rPr>
          <w:i/>
          <w:iCs/>
        </w:rPr>
        <w:t xml:space="preserve">Digital news report 2023</w:t>
      </w:r>
      <w:r>
        <w:t xml:space="preserve">.</w:t>
      </w:r>
    </w:p>
    <w:bookmarkEnd w:id="194"/>
    <w:bookmarkStart w:id="196" w:name="ref-noblesScienceMustOvercome2022"/>
    <w:p>
      <w:pPr>
        <w:pStyle w:val="Bibliography"/>
      </w:pPr>
      <w:r>
        <w:t xml:space="preserve">Nobles, M., Womack, C., Wonkam, A., &amp; Wathuti, E. (2022). Science must overcome its racist legacy: Nature</w:t>
      </w:r>
      <w:r>
        <w:t xml:space="preserve">’</w:t>
      </w:r>
      <w:r>
        <w:t xml:space="preserve">s guest editors speak.</w:t>
      </w:r>
      <w:r>
        <w:t xml:space="preserve"> </w:t>
      </w:r>
      <w:r>
        <w:rPr>
          <w:i/>
          <w:iCs/>
        </w:rPr>
        <w:t xml:space="preserve">Nature</w:t>
      </w:r>
      <w:r>
        <w:t xml:space="preserve">,</w:t>
      </w:r>
      <w:r>
        <w:t xml:space="preserve"> </w:t>
      </w:r>
      <w:r>
        <w:rPr>
          <w:i/>
          <w:iCs/>
        </w:rPr>
        <w:t xml:space="preserve">606</w:t>
      </w:r>
      <w:r>
        <w:t xml:space="preserve">(7913), 225–227.</w:t>
      </w:r>
      <w:r>
        <w:t xml:space="preserve"> </w:t>
      </w:r>
      <w:hyperlink r:id="rId195">
        <w:r>
          <w:rPr>
            <w:rStyle w:val="Hyperlink"/>
          </w:rPr>
          <w:t xml:space="preserve">https://doi.org/10.1038/d41586-022-01527-z</w:t>
        </w:r>
      </w:hyperlink>
    </w:p>
    <w:bookmarkEnd w:id="196"/>
    <w:bookmarkStart w:id="198" w:name="ref-noyScienceGoodEffects2019"/>
    <w:p>
      <w:pPr>
        <w:pStyle w:val="Bibliography"/>
      </w:pPr>
      <w:r>
        <w:t xml:space="preserve">Noy, S., &amp; O’Brien, T. L. (2019). Science for good? The effects of education and national context on perceptions of science.</w:t>
      </w:r>
      <w:r>
        <w:t xml:space="preserve"> </w:t>
      </w:r>
      <w:r>
        <w:rPr>
          <w:i/>
          <w:iCs/>
        </w:rPr>
        <w:t xml:space="preserve">Public Understanding of Science</w:t>
      </w:r>
      <w:r>
        <w:t xml:space="preserve">,</w:t>
      </w:r>
      <w:r>
        <w:t xml:space="preserve"> </w:t>
      </w:r>
      <w:r>
        <w:rPr>
          <w:i/>
          <w:iCs/>
        </w:rPr>
        <w:t xml:space="preserve">28</w:t>
      </w:r>
      <w:r>
        <w:t xml:space="preserve">(8), 897–916.</w:t>
      </w:r>
      <w:r>
        <w:t xml:space="preserve"> </w:t>
      </w:r>
      <w:hyperlink r:id="rId197">
        <w:r>
          <w:rPr>
            <w:rStyle w:val="Hyperlink"/>
          </w:rPr>
          <w:t xml:space="preserve">https://doi.org/10.1177/0963662519863575</w:t>
        </w:r>
      </w:hyperlink>
    </w:p>
    <w:bookmarkEnd w:id="198"/>
    <w:bookmarkStart w:id="199" w:name="ref-oreskesWhyTrustScience2019"/>
    <w:p>
      <w:pPr>
        <w:pStyle w:val="Bibliography"/>
      </w:pPr>
      <w:r>
        <w:t xml:space="preserve">Oreskes, N. (2019).</w:t>
      </w:r>
      <w:r>
        <w:t xml:space="preserve"> </w:t>
      </w:r>
      <w:r>
        <w:rPr>
          <w:i/>
          <w:iCs/>
        </w:rPr>
        <w:t xml:space="preserve">Why trust science?</w:t>
      </w:r>
      <w:r>
        <w:t xml:space="preserve"> Princeton University Press.</w:t>
      </w:r>
    </w:p>
    <w:bookmarkEnd w:id="199"/>
    <w:bookmarkStart w:id="201" w:name="ref-pardoCognitiveDimensionPublic2004"/>
    <w:p>
      <w:pPr>
        <w:pStyle w:val="Bibliography"/>
      </w:pPr>
      <w:r>
        <w:t xml:space="preserve">Pardo, R., &amp; Calvo, F. (2004). The Cognitive Dimension of Public Perceptions of Science: Methodological Issues.</w:t>
      </w:r>
      <w:r>
        <w:t xml:space="preserve"> </w:t>
      </w:r>
      <w:r>
        <w:rPr>
          <w:i/>
          <w:iCs/>
        </w:rPr>
        <w:t xml:space="preserve">Public Understanding of Science</w:t>
      </w:r>
      <w:r>
        <w:t xml:space="preserve">,</w:t>
      </w:r>
      <w:r>
        <w:t xml:space="preserve"> </w:t>
      </w:r>
      <w:r>
        <w:rPr>
          <w:i/>
          <w:iCs/>
        </w:rPr>
        <w:t xml:space="preserve">13</w:t>
      </w:r>
      <w:r>
        <w:t xml:space="preserve">(3), 203–227.</w:t>
      </w:r>
      <w:r>
        <w:t xml:space="preserve"> </w:t>
      </w:r>
      <w:hyperlink r:id="rId200">
        <w:r>
          <w:rPr>
            <w:rStyle w:val="Hyperlink"/>
          </w:rPr>
          <w:t xml:space="preserve">https://doi.org/10.1177/0963662504045002</w:t>
        </w:r>
      </w:hyperlink>
    </w:p>
    <w:bookmarkEnd w:id="201"/>
    <w:bookmarkStart w:id="203" w:name="ref-parkinDifferentialNatureImplicit1990"/>
    <w:p>
      <w:pPr>
        <w:pStyle w:val="Bibliography"/>
      </w:pPr>
      <w:r>
        <w:t xml:space="preserve">Parkin, A. J., Reid, T. K., &amp; Russo, R. (1990). On the differential nature of implicit and explicit memory.</w:t>
      </w:r>
      <w:r>
        <w:t xml:space="preserve"> </w:t>
      </w:r>
      <w:r>
        <w:rPr>
          <w:i/>
          <w:iCs/>
        </w:rPr>
        <w:t xml:space="preserve">Memory &amp; Cognition</w:t>
      </w:r>
      <w:r>
        <w:t xml:space="preserve">,</w:t>
      </w:r>
      <w:r>
        <w:t xml:space="preserve"> </w:t>
      </w:r>
      <w:r>
        <w:rPr>
          <w:i/>
          <w:iCs/>
        </w:rPr>
        <w:t xml:space="preserve">18</w:t>
      </w:r>
      <w:r>
        <w:t xml:space="preserve">(5), 507–514.</w:t>
      </w:r>
      <w:r>
        <w:t xml:space="preserve"> </w:t>
      </w:r>
      <w:hyperlink r:id="rId202">
        <w:r>
          <w:rPr>
            <w:rStyle w:val="Hyperlink"/>
          </w:rPr>
          <w:t xml:space="preserve">https://doi.org/10.3758/BF03198483</w:t>
        </w:r>
      </w:hyperlink>
    </w:p>
    <w:bookmarkEnd w:id="203"/>
    <w:bookmarkStart w:id="205" w:name="X5fca18bbce45052f147313c0f16b550f0a4adbb"/>
    <w:p>
      <w:pPr>
        <w:pStyle w:val="Bibliography"/>
      </w:pPr>
      <w:r>
        <w:t xml:space="preserve">Petersen, M. B., Bor, A., Jørgensen, F., &amp; Lindholt, M. F. (2021). Transparent communication about negative features of COVID-19 vaccines decreases acceptance but increases trust.</w:t>
      </w:r>
      <w:r>
        <w:t xml:space="preserve"> </w:t>
      </w:r>
      <w:r>
        <w:rPr>
          <w:i/>
          <w:iCs/>
        </w:rPr>
        <w:t xml:space="preserve">Proceedings of the National Academy of Sciences</w:t>
      </w:r>
      <w:r>
        <w:t xml:space="preserve">,</w:t>
      </w:r>
      <w:r>
        <w:t xml:space="preserve"> </w:t>
      </w:r>
      <w:r>
        <w:rPr>
          <w:i/>
          <w:iCs/>
        </w:rPr>
        <w:t xml:space="preserve">118</w:t>
      </w:r>
      <w:r>
        <w:t xml:space="preserve">(29), e2024597118.</w:t>
      </w:r>
      <w:r>
        <w:t xml:space="preserve"> </w:t>
      </w:r>
      <w:hyperlink r:id="rId204">
        <w:r>
          <w:rPr>
            <w:rStyle w:val="Hyperlink"/>
          </w:rPr>
          <w:t xml:space="preserve">https://doi.org/10.1073/pnas.2024597118</w:t>
        </w:r>
      </w:hyperlink>
    </w:p>
    <w:bookmarkEnd w:id="205"/>
    <w:bookmarkStart w:id="207" w:name="ref-pfanderSpottingFalseNews2025"/>
    <w:p>
      <w:pPr>
        <w:pStyle w:val="Bibliography"/>
      </w:pPr>
      <w:r>
        <w:t xml:space="preserve">Pfänder, J., &amp; Altay, S. (2025). Spotting false news and doubting true news: a systematic review and meta-analysis of news judgements.</w:t>
      </w:r>
      <w:r>
        <w:t xml:space="preserve"> </w:t>
      </w:r>
      <w:r>
        <w:rPr>
          <w:i/>
          <w:iCs/>
        </w:rPr>
        <w:t xml:space="preserve">Nature Human Behaviour</w:t>
      </w:r>
      <w:r>
        <w:t xml:space="preserve">, 1–12.</w:t>
      </w:r>
      <w:r>
        <w:t xml:space="preserve"> </w:t>
      </w:r>
      <w:hyperlink r:id="rId206">
        <w:r>
          <w:rPr>
            <w:rStyle w:val="Hyperlink"/>
          </w:rPr>
          <w:t xml:space="preserve">https://doi.org/10.1038/s41562-024-02086-1</w:t>
        </w:r>
      </w:hyperlink>
    </w:p>
    <w:bookmarkEnd w:id="207"/>
    <w:bookmarkStart w:id="209" w:name="ref-pfanderHowWiseCrowd2025"/>
    <w:p>
      <w:pPr>
        <w:pStyle w:val="Bibliography"/>
      </w:pPr>
      <w:r>
        <w:t xml:space="preserve">Pfänder, J., De Courson, B., &amp; Mercier, H. (2025). How wise is the crowd: Can we infer people are accurate and competent merely because they agree with each other?</w:t>
      </w:r>
      <w:r>
        <w:t xml:space="preserve"> </w:t>
      </w:r>
      <w:r>
        <w:rPr>
          <w:i/>
          <w:iCs/>
        </w:rPr>
        <w:t xml:space="preserve">Cognition</w:t>
      </w:r>
      <w:r>
        <w:t xml:space="preserve">,</w:t>
      </w:r>
      <w:r>
        <w:t xml:space="preserve"> </w:t>
      </w:r>
      <w:r>
        <w:rPr>
          <w:i/>
          <w:iCs/>
        </w:rPr>
        <w:t xml:space="preserve">255</w:t>
      </w:r>
      <w:r>
        <w:t xml:space="preserve">, 106005.</w:t>
      </w:r>
      <w:r>
        <w:t xml:space="preserve"> </w:t>
      </w:r>
      <w:hyperlink r:id="rId208">
        <w:r>
          <w:rPr>
            <w:rStyle w:val="Hyperlink"/>
          </w:rPr>
          <w:t xml:space="preserve">https://doi.org/10.1016/j.cognition.2024.106005</w:t>
        </w:r>
      </w:hyperlink>
    </w:p>
    <w:bookmarkEnd w:id="209"/>
    <w:bookmarkStart w:id="211" w:name="Xfdf5f5e5a3ff098ae71e069383ded41b505995c"/>
    <w:p>
      <w:pPr>
        <w:pStyle w:val="Bibliography"/>
      </w:pPr>
      <w:r>
        <w:t xml:space="preserve">Pfänder, J., De Rouilhan, S., &amp; Mercier, H. (2025).</w:t>
      </w:r>
      <w:r>
        <w:t xml:space="preserve"> </w:t>
      </w:r>
      <w:r>
        <w:rPr>
          <w:i/>
          <w:iCs/>
        </w:rPr>
        <w:t xml:space="preserve">Trusting but forgetting impressive science</w:t>
      </w:r>
      <w:r>
        <w:t xml:space="preserve">.</w:t>
      </w:r>
      <w:r>
        <w:t xml:space="preserve"> </w:t>
      </w:r>
      <w:hyperlink r:id="rId210">
        <w:r>
          <w:rPr>
            <w:rStyle w:val="Hyperlink"/>
          </w:rPr>
          <w:t xml:space="preserve">https://doi.org/10.31219/osf.io/argq5_v1</w:t>
        </w:r>
      </w:hyperlink>
    </w:p>
    <w:bookmarkEnd w:id="211"/>
    <w:bookmarkStart w:id="213" w:name="X3aa345bc55a1b443f83628a0a523e7a5d8269dd"/>
    <w:p>
      <w:pPr>
        <w:pStyle w:val="Bibliography"/>
      </w:pPr>
      <w:r>
        <w:t xml:space="preserve">Pfänder, J., Kerzreho, L., &amp; Mercier, H. (2025).</w:t>
      </w:r>
      <w:r>
        <w:t xml:space="preserve"> </w:t>
      </w:r>
      <w:r>
        <w:rPr>
          <w:i/>
          <w:iCs/>
        </w:rPr>
        <w:t xml:space="preserve">Quasi-universal acceptance of basic science in the US</w:t>
      </w:r>
      <w:r>
        <w:t xml:space="preserve">.</w:t>
      </w:r>
      <w:r>
        <w:t xml:space="preserve"> </w:t>
      </w:r>
      <w:hyperlink r:id="rId212">
        <w:r>
          <w:rPr>
            <w:rStyle w:val="Hyperlink"/>
          </w:rPr>
          <w:t xml:space="preserve">https://doi.org/10.31219/osf.io/qc43v_v2</w:t>
        </w:r>
      </w:hyperlink>
    </w:p>
    <w:bookmarkEnd w:id="213"/>
    <w:bookmarkStart w:id="215" w:name="ref-pfanderFrenchTrustMore2025"/>
    <w:p>
      <w:pPr>
        <w:pStyle w:val="Bibliography"/>
      </w:pPr>
      <w:r>
        <w:t xml:space="preserve">Pfänder, J., &amp; Mercier, H. (2025).</w:t>
      </w:r>
      <w:r>
        <w:t xml:space="preserve"> </w:t>
      </w:r>
      <w:r>
        <w:rPr>
          <w:i/>
          <w:iCs/>
        </w:rPr>
        <w:t xml:space="preserve">The french trust more the sciences they perceive as precise and consensual</w:t>
      </w:r>
      <w:r>
        <w:t xml:space="preserve">.</w:t>
      </w:r>
      <w:r>
        <w:t xml:space="preserve"> </w:t>
      </w:r>
      <w:hyperlink r:id="rId214">
        <w:r>
          <w:rPr>
            <w:rStyle w:val="Hyperlink"/>
          </w:rPr>
          <w:t xml:space="preserve">https://doi.org/10.31219/osf.io/k9m6e_v1</w:t>
        </w:r>
      </w:hyperlink>
    </w:p>
    <w:bookmarkEnd w:id="215"/>
    <w:bookmarkStart w:id="217" w:name="ref-readExplanatoryCoherenceSocial1993"/>
    <w:p>
      <w:pPr>
        <w:pStyle w:val="Bibliography"/>
      </w:pPr>
      <w:r>
        <w:t xml:space="preserve">Read, S. J., &amp; Marcus-Newhall, A. (1993). Explanatory coherence in social explanations: A parallel distributed processing account.</w:t>
      </w:r>
      <w:r>
        <w:t xml:space="preserve"> </w:t>
      </w:r>
      <w:r>
        <w:rPr>
          <w:i/>
          <w:iCs/>
        </w:rPr>
        <w:t xml:space="preserve">Journal of Personality and Social Psychology</w:t>
      </w:r>
      <w:r>
        <w:t xml:space="preserve">,</w:t>
      </w:r>
      <w:r>
        <w:t xml:space="preserve"> </w:t>
      </w:r>
      <w:r>
        <w:rPr>
          <w:i/>
          <w:iCs/>
        </w:rPr>
        <w:t xml:space="preserve">65</w:t>
      </w:r>
      <w:r>
        <w:t xml:space="preserve">(3), 429–447.</w:t>
      </w:r>
      <w:r>
        <w:t xml:space="preserve"> </w:t>
      </w:r>
      <w:hyperlink r:id="rId216">
        <w:r>
          <w:rPr>
            <w:rStyle w:val="Hyperlink"/>
          </w:rPr>
          <w:t xml:space="preserve">https://doi.org/10.1037/0022-3514.65.3.429</w:t>
        </w:r>
      </w:hyperlink>
    </w:p>
    <w:bookmarkEnd w:id="217"/>
    <w:bookmarkStart w:id="218" w:name="ref-reimerUseHeuristicsPersuasion2004"/>
    <w:p>
      <w:pPr>
        <w:pStyle w:val="Bibliography"/>
      </w:pPr>
      <w:r>
        <w:t xml:space="preserve">Reimer, T., Mata, R., &amp; Stoecklin, M. (2004). The use of heuristics in persuasion: Deriving cues on source expertise from argument quality.</w:t>
      </w:r>
      <w:r>
        <w:t xml:space="preserve"> </w:t>
      </w:r>
      <w:r>
        <w:rPr>
          <w:i/>
          <w:iCs/>
        </w:rPr>
        <w:t xml:space="preserve">Current Research in Social Psychology</w:t>
      </w:r>
      <w:r>
        <w:t xml:space="preserve">,</w:t>
      </w:r>
      <w:r>
        <w:t xml:space="preserve"> </w:t>
      </w:r>
      <w:r>
        <w:rPr>
          <w:i/>
          <w:iCs/>
        </w:rPr>
        <w:t xml:space="preserve">10</w:t>
      </w:r>
      <w:r>
        <w:t xml:space="preserve">(6), 69–84.</w:t>
      </w:r>
    </w:p>
    <w:bookmarkEnd w:id="218"/>
    <w:bookmarkStart w:id="220" w:name="X1939e4785e87aa4939a264f47c439d5964c8bad"/>
    <w:p>
      <w:pPr>
        <w:pStyle w:val="Bibliography"/>
      </w:pPr>
      <w:r>
        <w:t xml:space="preserve">Research!America. (2021).</w:t>
      </w:r>
      <w:r>
        <w:t xml:space="preserve"> </w:t>
      </w:r>
      <w:r>
        <w:rPr>
          <w:i/>
          <w:iCs/>
        </w:rPr>
        <w:t xml:space="preserve">Most americans cannot name a living scientist or a research institution</w:t>
      </w:r>
      <w:r>
        <w:t xml:space="preserve">.</w:t>
      </w:r>
      <w:r>
        <w:t xml:space="preserve"> </w:t>
      </w:r>
      <w:hyperlink r:id="rId219">
        <w:r>
          <w:rPr>
            <w:rStyle w:val="Hyperlink"/>
          </w:rPr>
          <w:t xml:space="preserve">https://www.researchamerica.org/blog/survey-most-americans-cannot-name-a-living-scientist-or-a-research-institution/</w:t>
        </w:r>
      </w:hyperlink>
    </w:p>
    <w:bookmarkEnd w:id="220"/>
    <w:bookmarkStart w:id="222" w:name="ref-reynaScientificTheoryGist2021"/>
    <w:p>
      <w:pPr>
        <w:pStyle w:val="Bibliography"/>
      </w:pPr>
      <w:r>
        <w:t xml:space="preserve">Reyna, V. F. (2021). A scientific theory of gist communication and misinformation resistance, with implications for health, education, and policy.</w:t>
      </w:r>
      <w:r>
        <w:t xml:space="preserve"> </w:t>
      </w:r>
      <w:r>
        <w:rPr>
          <w:i/>
          <w:iCs/>
        </w:rPr>
        <w:t xml:space="preserve">Proceedings of the National Academy of Sciences</w:t>
      </w:r>
      <w:r>
        <w:t xml:space="preserve">,</w:t>
      </w:r>
      <w:r>
        <w:t xml:space="preserve"> </w:t>
      </w:r>
      <w:r>
        <w:rPr>
          <w:i/>
          <w:iCs/>
        </w:rPr>
        <w:t xml:space="preserve">118</w:t>
      </w:r>
      <w:r>
        <w:t xml:space="preserve">(15), e1912441117.</w:t>
      </w:r>
      <w:r>
        <w:t xml:space="preserve"> </w:t>
      </w:r>
      <w:hyperlink r:id="rId221">
        <w:r>
          <w:rPr>
            <w:rStyle w:val="Hyperlink"/>
          </w:rPr>
          <w:t xml:space="preserve">https://doi.org/10.1073/pnas.1912441117</w:t>
        </w:r>
      </w:hyperlink>
    </w:p>
    <w:bookmarkEnd w:id="222"/>
    <w:bookmarkStart w:id="224" w:name="ref-rousseauIntroductionSpecialTopic1998"/>
    <w:p>
      <w:pPr>
        <w:pStyle w:val="Bibliography"/>
      </w:pPr>
      <w:r>
        <w:t xml:space="preserve">Rousseau, D. M., Sitkin, S. B., Burt, R. S., &amp; Camerer, C. (1998). Introduction to Special Topic Forum: Not so Different after All: A Cross-Discipline View of Trust.</w:t>
      </w:r>
      <w:r>
        <w:t xml:space="preserve"> </w:t>
      </w:r>
      <w:r>
        <w:rPr>
          <w:i/>
          <w:iCs/>
        </w:rPr>
        <w:t xml:space="preserve">The Academy of Management Review</w:t>
      </w:r>
      <w:r>
        <w:t xml:space="preserve">,</w:t>
      </w:r>
      <w:r>
        <w:t xml:space="preserve"> </w:t>
      </w:r>
      <w:r>
        <w:rPr>
          <w:i/>
          <w:iCs/>
        </w:rPr>
        <w:t xml:space="preserve">23</w:t>
      </w:r>
      <w:r>
        <w:t xml:space="preserve">(3), 393–404.</w:t>
      </w:r>
      <w:r>
        <w:t xml:space="preserve"> </w:t>
      </w:r>
      <w:hyperlink r:id="rId223">
        <w:r>
          <w:rPr>
            <w:rStyle w:val="Hyperlink"/>
          </w:rPr>
          <w:t xml:space="preserve">http://www.jstor.org/stable/259285</w:t>
        </w:r>
      </w:hyperlink>
    </w:p>
    <w:bookmarkEnd w:id="224"/>
    <w:bookmarkStart w:id="226" w:name="ref-rutjensConspiracyBeliefsScience2022"/>
    <w:p>
      <w:pPr>
        <w:pStyle w:val="Bibliography"/>
      </w:pPr>
      <w:r>
        <w:t xml:space="preserve">Rutjens, B. T., &amp; Većkalov, B. (2022). Conspiracy beliefs and science rejection.</w:t>
      </w:r>
      <w:r>
        <w:t xml:space="preserve"> </w:t>
      </w:r>
      <w:r>
        <w:rPr>
          <w:i/>
          <w:iCs/>
        </w:rPr>
        <w:t xml:space="preserve">Current Opinion in Psychology</w:t>
      </w:r>
      <w:r>
        <w:t xml:space="preserve">,</w:t>
      </w:r>
      <w:r>
        <w:t xml:space="preserve"> </w:t>
      </w:r>
      <w:r>
        <w:rPr>
          <w:i/>
          <w:iCs/>
        </w:rPr>
        <w:t xml:space="preserve">46</w:t>
      </w:r>
      <w:r>
        <w:t xml:space="preserve">, 101392.</w:t>
      </w:r>
      <w:r>
        <w:t xml:space="preserve"> </w:t>
      </w:r>
      <w:hyperlink r:id="rId225">
        <w:r>
          <w:rPr>
            <w:rStyle w:val="Hyperlink"/>
          </w:rPr>
          <w:t xml:space="preserve">https://doi.org/10.1016/j.copsyc.2022.101392</w:t>
        </w:r>
      </w:hyperlink>
    </w:p>
    <w:bookmarkEnd w:id="226"/>
    <w:bookmarkStart w:id="228" w:name="ref-scharffMoreTuskegeeUnderstanding2010"/>
    <w:p>
      <w:pPr>
        <w:pStyle w:val="Bibliography"/>
      </w:pPr>
      <w:r>
        <w:t xml:space="preserve">Scharff, D. P., Mathews, K. J., Jackson, P., Hoffsuemmer, J., Martin, E., &amp; Edwards, D. (2010). More than Tuskegee: Understanding Mistrust about Research Participation.</w:t>
      </w:r>
      <w:r>
        <w:t xml:space="preserve"> </w:t>
      </w:r>
      <w:r>
        <w:rPr>
          <w:i/>
          <w:iCs/>
        </w:rPr>
        <w:t xml:space="preserve">Journal of Health Care for the Poor and Underserved</w:t>
      </w:r>
      <w:r>
        <w:t xml:space="preserve">,</w:t>
      </w:r>
      <w:r>
        <w:t xml:space="preserve"> </w:t>
      </w:r>
      <w:r>
        <w:rPr>
          <w:i/>
          <w:iCs/>
        </w:rPr>
        <w:t xml:space="preserve">21</w:t>
      </w:r>
      <w:r>
        <w:t xml:space="preserve">(3), 879–897.</w:t>
      </w:r>
      <w:r>
        <w:t xml:space="preserve"> </w:t>
      </w:r>
      <w:hyperlink r:id="rId227">
        <w:r>
          <w:rPr>
            <w:rStyle w:val="Hyperlink"/>
          </w:rPr>
          <w:t xml:space="preserve">https://doi.org/10.1353/hpu.0.0323</w:t>
        </w:r>
      </w:hyperlink>
    </w:p>
    <w:bookmarkEnd w:id="228"/>
    <w:bookmarkStart w:id="230" w:name="ref-scheufeleThirtyYearsScience2022"/>
    <w:p>
      <w:pPr>
        <w:pStyle w:val="Bibliography"/>
      </w:pPr>
      <w:r>
        <w:t xml:space="preserve">Scheufele, D. A. (2022). Thirty years of science</w:t>
      </w:r>
      <w:r>
        <w:t xml:space="preserve">society interfaces: What</w:t>
      </w:r>
      <w:r>
        <w:t xml:space="preserve">’</w:t>
      </w:r>
      <w:r>
        <w:t xml:space="preserve">s next?</w:t>
      </w:r>
      <w:r>
        <w:t xml:space="preserve"> </w:t>
      </w:r>
      <w:r>
        <w:rPr>
          <w:i/>
          <w:iCs/>
        </w:rPr>
        <w:t xml:space="preserve">Public Understanding of Science</w:t>
      </w:r>
      <w:r>
        <w:t xml:space="preserve">,</w:t>
      </w:r>
      <w:r>
        <w:t xml:space="preserve"> </w:t>
      </w:r>
      <w:r>
        <w:rPr>
          <w:i/>
          <w:iCs/>
        </w:rPr>
        <w:t xml:space="preserve">31</w:t>
      </w:r>
      <w:r>
        <w:t xml:space="preserve">(3), 297–304.</w:t>
      </w:r>
      <w:r>
        <w:t xml:space="preserve"> </w:t>
      </w:r>
      <w:hyperlink r:id="rId229">
        <w:r>
          <w:rPr>
            <w:rStyle w:val="Hyperlink"/>
          </w:rPr>
          <w:t xml:space="preserve">https://doi.org/10.1177/09636625221075947</w:t>
        </w:r>
      </w:hyperlink>
    </w:p>
    <w:bookmarkEnd w:id="230"/>
    <w:bookmarkStart w:id="232" w:name="Xce4e5bd21842652d9d0efddb020e78438aef38c"/>
    <w:p>
      <w:pPr>
        <w:pStyle w:val="Bibliography"/>
      </w:pPr>
      <w:r>
        <w:t xml:space="preserve">Scheufele, D. A., &amp; Krause, N. M. (2019). Science audiences, misinformation, and fake news.</w:t>
      </w:r>
      <w:r>
        <w:t xml:space="preserve"> </w:t>
      </w:r>
      <w:r>
        <w:rPr>
          <w:i/>
          <w:iCs/>
        </w:rPr>
        <w:t xml:space="preserve">Proceedings of the National Academy of Sciences</w:t>
      </w:r>
      <w:r>
        <w:t xml:space="preserve">,</w:t>
      </w:r>
      <w:r>
        <w:t xml:space="preserve"> </w:t>
      </w:r>
      <w:r>
        <w:rPr>
          <w:i/>
          <w:iCs/>
        </w:rPr>
        <w:t xml:space="preserve">116</w:t>
      </w:r>
      <w:r>
        <w:t xml:space="preserve">(16), 7662–7669.</w:t>
      </w:r>
      <w:r>
        <w:t xml:space="preserve"> </w:t>
      </w:r>
      <w:hyperlink r:id="rId231">
        <w:r>
          <w:rPr>
            <w:rStyle w:val="Hyperlink"/>
          </w:rPr>
          <w:t xml:space="preserve">https://doi.org/10.1073/pnas.1805871115</w:t>
        </w:r>
      </w:hyperlink>
    </w:p>
    <w:bookmarkEnd w:id="232"/>
    <w:bookmarkStart w:id="233" w:name="ref-shtulmanScienceblindWhyOur2017"/>
    <w:p>
      <w:pPr>
        <w:pStyle w:val="Bibliography"/>
      </w:pPr>
      <w:r>
        <w:t xml:space="preserve">Shtulman, A. (2017).</w:t>
      </w:r>
      <w:r>
        <w:t xml:space="preserve"> </w:t>
      </w:r>
      <w:r>
        <w:rPr>
          <w:i/>
          <w:iCs/>
        </w:rPr>
        <w:t xml:space="preserve">Scienceblind: why our intuitive theories about the world are so often wrong</w:t>
      </w:r>
      <w:r>
        <w:t xml:space="preserve">. Basic Books.</w:t>
      </w:r>
    </w:p>
    <w:bookmarkEnd w:id="233"/>
    <w:bookmarkStart w:id="234" w:name="ref-slomanForgettingPrimedFragment1988"/>
    <w:p>
      <w:pPr>
        <w:pStyle w:val="Bibliography"/>
      </w:pPr>
      <w:r>
        <w:t xml:space="preserve">Sloman, S. A., Hayman, C. A., Ohta, N., Law, J., &amp; Tulving, E. (1988). Forgetting in primed fragment completion.</w:t>
      </w:r>
      <w:r>
        <w:t xml:space="preserve"> </w:t>
      </w:r>
      <w:r>
        <w:rPr>
          <w:i/>
          <w:iCs/>
        </w:rPr>
        <w:t xml:space="preserve">Journal of Experimental Psychology: Learning, Memory, and Cognition</w:t>
      </w:r>
      <w:r>
        <w:t xml:space="preserve">,</w:t>
      </w:r>
      <w:r>
        <w:t xml:space="preserve"> </w:t>
      </w:r>
      <w:r>
        <w:rPr>
          <w:i/>
          <w:iCs/>
        </w:rPr>
        <w:t xml:space="preserve">14</w:t>
      </w:r>
      <w:r>
        <w:t xml:space="preserve">(2), 223.</w:t>
      </w:r>
    </w:p>
    <w:bookmarkEnd w:id="234"/>
    <w:bookmarkStart w:id="235" w:name="ref-smithTrendsPublicAttitudes2013"/>
    <w:p>
      <w:pPr>
        <w:pStyle w:val="Bibliography"/>
      </w:pPr>
      <w:r>
        <w:t xml:space="preserve">Smith, T. W., &amp; Son, J. (2013). Trends in public attitudes about confidence in institutions.</w:t>
      </w:r>
      <w:r>
        <w:t xml:space="preserve"> </w:t>
      </w:r>
      <w:r>
        <w:rPr>
          <w:i/>
          <w:iCs/>
        </w:rPr>
        <w:t xml:space="preserve">General Social Survey Final Report</w:t>
      </w:r>
      <w:r>
        <w:t xml:space="preserve">.</w:t>
      </w:r>
    </w:p>
    <w:bookmarkEnd w:id="235"/>
    <w:bookmarkStart w:id="237" w:name="ref-songTrustingShouldersOpen2022"/>
    <w:p>
      <w:pPr>
        <w:pStyle w:val="Bibliography"/>
      </w:pPr>
      <w:r>
        <w:t xml:space="preserve">Song, H., Markowitz, D. M., &amp; Taylor, S. H. (2022). Trusting on the shoulders of open giants? Open science increases trust in science for the public and academics.</w:t>
      </w:r>
      <w:r>
        <w:t xml:space="preserve"> </w:t>
      </w:r>
      <w:r>
        <w:rPr>
          <w:i/>
          <w:iCs/>
        </w:rPr>
        <w:t xml:space="preserve">Journal of Communication</w:t>
      </w:r>
      <w:r>
        <w:t xml:space="preserve">,</w:t>
      </w:r>
      <w:r>
        <w:t xml:space="preserve"> </w:t>
      </w:r>
      <w:r>
        <w:rPr>
          <w:i/>
          <w:iCs/>
        </w:rPr>
        <w:t xml:space="preserve">72</w:t>
      </w:r>
      <w:r>
        <w:t xml:space="preserve">(4), 497–510.</w:t>
      </w:r>
      <w:r>
        <w:t xml:space="preserve"> </w:t>
      </w:r>
      <w:hyperlink r:id="rId236">
        <w:r>
          <w:rPr>
            <w:rStyle w:val="Hyperlink"/>
          </w:rPr>
          <w:t xml:space="preserve">https://doi.org/10.1093/joc/jqac017</w:t>
        </w:r>
      </w:hyperlink>
    </w:p>
    <w:bookmarkEnd w:id="237"/>
    <w:bookmarkStart w:id="238" w:name="ref-sperberEpistemicVigilance2010"/>
    <w:p>
      <w:pPr>
        <w:pStyle w:val="Bibliography"/>
      </w:pPr>
      <w:r>
        <w:t xml:space="preserve">Sperber, D., Clément, F., Heintz, C., Mascaro, O., Mercier, H., Origgi, G., &amp; Wilson, D. (2010). Epistemic vigilance.</w:t>
      </w:r>
      <w:r>
        <w:t xml:space="preserve"> </w:t>
      </w:r>
      <w:r>
        <w:rPr>
          <w:i/>
          <w:iCs/>
        </w:rPr>
        <w:t xml:space="preserve">Mind &amp; Language</w:t>
      </w:r>
      <w:r>
        <w:t xml:space="preserve">,</w:t>
      </w:r>
      <w:r>
        <w:t xml:space="preserve"> </w:t>
      </w:r>
      <w:r>
        <w:rPr>
          <w:i/>
          <w:iCs/>
        </w:rPr>
        <w:t xml:space="preserve">25</w:t>
      </w:r>
      <w:r>
        <w:t xml:space="preserve">(4), 359–393.</w:t>
      </w:r>
    </w:p>
    <w:bookmarkEnd w:id="238"/>
    <w:bookmarkStart w:id="240" w:name="Xe774f493601ec5fa2b1ca29c52adfcb7eeef42c"/>
    <w:p>
      <w:pPr>
        <w:pStyle w:val="Bibliography"/>
      </w:pPr>
      <w:r>
        <w:t xml:space="preserve">Sturgis, P., &amp; Allum, N. (2004). Science in Society: Re-Evaluating the Deficit Model of Public Attitudes.</w:t>
      </w:r>
      <w:r>
        <w:t xml:space="preserve"> </w:t>
      </w:r>
      <w:r>
        <w:rPr>
          <w:i/>
          <w:iCs/>
        </w:rPr>
        <w:t xml:space="preserve">Public Understanding of Science</w:t>
      </w:r>
      <w:r>
        <w:t xml:space="preserve">,</w:t>
      </w:r>
      <w:r>
        <w:t xml:space="preserve"> </w:t>
      </w:r>
      <w:r>
        <w:rPr>
          <w:i/>
          <w:iCs/>
        </w:rPr>
        <w:t xml:space="preserve">13</w:t>
      </w:r>
      <w:r>
        <w:t xml:space="preserve">(1), 55–74.</w:t>
      </w:r>
      <w:r>
        <w:t xml:space="preserve"> </w:t>
      </w:r>
      <w:hyperlink r:id="rId239">
        <w:r>
          <w:rPr>
            <w:rStyle w:val="Hyperlink"/>
          </w:rPr>
          <w:t xml:space="preserve">https://doi.org/10.1177/0963662504042690</w:t>
        </w:r>
      </w:hyperlink>
    </w:p>
    <w:bookmarkEnd w:id="240"/>
    <w:bookmarkStart w:id="242" w:name="ref-sturgisTrustScienceSocial2021"/>
    <w:p>
      <w:pPr>
        <w:pStyle w:val="Bibliography"/>
      </w:pPr>
      <w:r>
        <w:t xml:space="preserve">Sturgis, P., Brunton-Smith, I., &amp; Jackson, J. (2021). Trust in science, social consensus and vaccine confidence.</w:t>
      </w:r>
      <w:r>
        <w:t xml:space="preserve"> </w:t>
      </w:r>
      <w:r>
        <w:rPr>
          <w:i/>
          <w:iCs/>
        </w:rPr>
        <w:t xml:space="preserve">Nature Human Behaviour</w:t>
      </w:r>
      <w:r>
        <w:t xml:space="preserve">,</w:t>
      </w:r>
      <w:r>
        <w:t xml:space="preserve"> </w:t>
      </w:r>
      <w:r>
        <w:rPr>
          <w:i/>
          <w:iCs/>
        </w:rPr>
        <w:t xml:space="preserve">5</w:t>
      </w:r>
      <w:r>
        <w:t xml:space="preserve">(11), 1528–1534.</w:t>
      </w:r>
      <w:r>
        <w:t xml:space="preserve"> </w:t>
      </w:r>
      <w:hyperlink r:id="rId241">
        <w:r>
          <w:rPr>
            <w:rStyle w:val="Hyperlink"/>
          </w:rPr>
          <w:t xml:space="preserve">https://doi.org/10.1038/s41562-021-01115-7</w:t>
        </w:r>
      </w:hyperlink>
    </w:p>
    <w:bookmarkEnd w:id="242"/>
    <w:bookmarkStart w:id="244" w:name="Xcc0de030c8853fbad21104bfcc41f5194e80b6c"/>
    <w:p>
      <w:pPr>
        <w:pStyle w:val="Bibliography"/>
      </w:pPr>
      <w:r>
        <w:t xml:space="preserve">Todorov, A., Said, C. P., Engell, A. D., &amp; Oosterhof, N. N. (2008). Understanding evaluation of faces on social dimensions.</w:t>
      </w:r>
      <w:r>
        <w:t xml:space="preserve"> </w:t>
      </w:r>
      <w:r>
        <w:rPr>
          <w:i/>
          <w:iCs/>
        </w:rPr>
        <w:t xml:space="preserve">Trends in Cognitive Sciences</w:t>
      </w:r>
      <w:r>
        <w:t xml:space="preserve">,</w:t>
      </w:r>
      <w:r>
        <w:t xml:space="preserve"> </w:t>
      </w:r>
      <w:r>
        <w:rPr>
          <w:i/>
          <w:iCs/>
        </w:rPr>
        <w:t xml:space="preserve">12</w:t>
      </w:r>
      <w:r>
        <w:t xml:space="preserve">(12), 455–460.</w:t>
      </w:r>
      <w:r>
        <w:t xml:space="preserve"> </w:t>
      </w:r>
      <w:hyperlink r:id="rId243">
        <w:r>
          <w:rPr>
            <w:rStyle w:val="Hyperlink"/>
          </w:rPr>
          <w:t xml:space="preserve">https://doi.org/10.1016/j.tics.2008.10.001</w:t>
        </w:r>
      </w:hyperlink>
    </w:p>
    <w:bookmarkEnd w:id="244"/>
    <w:bookmarkStart w:id="246" w:name="X53cb156802d58c8b92afbb362c605775cfb5b91"/>
    <w:p>
      <w:pPr>
        <w:pStyle w:val="Bibliography"/>
      </w:pPr>
      <w:r>
        <w:t xml:space="preserve">Van Stekelenburg, A., Schaap, G., Veling, H., Van ’T Riet, J., &amp; Buijzen, M. (2022). Scientific-Consensus Communication About Contested Science: A Preregistered Meta-Analysis.</w:t>
      </w:r>
      <w:r>
        <w:t xml:space="preserve"> </w:t>
      </w:r>
      <w:r>
        <w:rPr>
          <w:i/>
          <w:iCs/>
        </w:rPr>
        <w:t xml:space="preserve">Psychological Science</w:t>
      </w:r>
      <w:r>
        <w:t xml:space="preserve">,</w:t>
      </w:r>
      <w:r>
        <w:t xml:space="preserve"> </w:t>
      </w:r>
      <w:r>
        <w:rPr>
          <w:i/>
          <w:iCs/>
        </w:rPr>
        <w:t xml:space="preserve">33</w:t>
      </w:r>
      <w:r>
        <w:t xml:space="preserve">(12), 1989–2008.</w:t>
      </w:r>
      <w:r>
        <w:t xml:space="preserve"> </w:t>
      </w:r>
      <w:hyperlink r:id="rId245">
        <w:r>
          <w:rPr>
            <w:rStyle w:val="Hyperlink"/>
          </w:rPr>
          <w:t xml:space="preserve">https://doi.org/10.1177/09567976221083219</w:t>
        </w:r>
      </w:hyperlink>
    </w:p>
    <w:bookmarkEnd w:id="246"/>
    <w:bookmarkStart w:id="248" w:name="X808a4748ee81d443dd06ba2436fe069ac792afd"/>
    <w:p>
      <w:pPr>
        <w:pStyle w:val="Bibliography"/>
      </w:pPr>
      <w:r>
        <w:t xml:space="preserve">Većkalov, B., Geiger, S. J., Bartoš, F., White, M. P., Rutjens, B. T., Harreveld, F. van, Stablum, F., Akın, B., Aldoh, A., Bai, J., Berglund, F., Bratina Zimic, A., Broyles, M., Catania, A., Chen, A., Chorzępa, M., Farahat, E., Götz, J., Hoter-Ishay, B., … Linden, S. van der. (2024). A 27-country test of communicating the scientific consensus on climate change.</w:t>
      </w:r>
      <w:r>
        <w:t xml:space="preserve"> </w:t>
      </w:r>
      <w:r>
        <w:rPr>
          <w:i/>
          <w:iCs/>
        </w:rPr>
        <w:t xml:space="preserve">Nature Human Behaviour</w:t>
      </w:r>
      <w:r>
        <w:t xml:space="preserve">, 1–14.</w:t>
      </w:r>
      <w:r>
        <w:t xml:space="preserve"> </w:t>
      </w:r>
      <w:hyperlink r:id="rId247">
        <w:r>
          <w:rPr>
            <w:rStyle w:val="Hyperlink"/>
          </w:rPr>
          <w:t xml:space="preserve">https://doi.org/10.1038/s41562-024-01928-2</w:t>
        </w:r>
      </w:hyperlink>
    </w:p>
    <w:bookmarkEnd w:id="248"/>
    <w:bookmarkStart w:id="250" w:name="X02cb954775672ff7129fb691e9fce8f78cf2ad5"/>
    <w:p>
      <w:pPr>
        <w:pStyle w:val="Bibliography"/>
      </w:pPr>
      <w:r>
        <w:t xml:space="preserve">Wellcome Global Monitor. (2018).</w:t>
      </w:r>
      <w:r>
        <w:t xml:space="preserve"> </w:t>
      </w:r>
      <w:r>
        <w:rPr>
          <w:i/>
          <w:iCs/>
        </w:rPr>
        <w:t xml:space="preserve">Wellcome Global Monitor 2018</w:t>
      </w:r>
      <w:r>
        <w:t xml:space="preserve">.</w:t>
      </w:r>
      <w:r>
        <w:t xml:space="preserve"> </w:t>
      </w:r>
      <w:hyperlink r:id="rId249">
        <w:r>
          <w:rPr>
            <w:rStyle w:val="Hyperlink"/>
          </w:rPr>
          <w:t xml:space="preserve">https://wellcome.org/reports/wellcome-global-monitor/2018</w:t>
        </w:r>
      </w:hyperlink>
    </w:p>
    <w:bookmarkEnd w:id="250"/>
    <w:bookmarkStart w:id="252" w:name="X1228c58a1af7bd8622fc2077f37041e3a35d250"/>
    <w:p>
      <w:pPr>
        <w:pStyle w:val="Bibliography"/>
      </w:pPr>
      <w:r>
        <w:t xml:space="preserve">Wellcome Global Monitor. (2020).</w:t>
      </w:r>
      <w:r>
        <w:t xml:space="preserve"> </w:t>
      </w:r>
      <w:r>
        <w:rPr>
          <w:i/>
          <w:iCs/>
        </w:rPr>
        <w:t xml:space="preserve">Wellcome Global Monitor 2020: Covid-19</w:t>
      </w:r>
      <w:r>
        <w:t xml:space="preserve">.</w:t>
      </w:r>
      <w:r>
        <w:t xml:space="preserve"> </w:t>
      </w:r>
      <w:hyperlink r:id="rId251">
        <w:r>
          <w:rPr>
            <w:rStyle w:val="Hyperlink"/>
          </w:rPr>
          <w:t xml:space="preserve">https://wellcome.org/reports/wellcome-global-monitor-covid-19/2020</w:t>
        </w:r>
      </w:hyperlink>
    </w:p>
    <w:bookmarkEnd w:id="252"/>
    <w:bookmarkStart w:id="254" w:name="X2a7f34c2b2647fd3274b4981cb581c254c5c6ac"/>
    <w:p>
      <w:pPr>
        <w:pStyle w:val="Bibliography"/>
      </w:pPr>
      <w:r>
        <w:t xml:space="preserve">Wellcome Global Monitor. (2021).</w:t>
      </w:r>
      <w:r>
        <w:t xml:space="preserve"> </w:t>
      </w:r>
      <w:r>
        <w:rPr>
          <w:i/>
          <w:iCs/>
        </w:rPr>
        <w:t xml:space="preserve">Public trust in scientists rose during the Covid-19 pandemic | News</w:t>
      </w:r>
      <w:r>
        <w:t xml:space="preserve">.</w:t>
      </w:r>
      <w:r>
        <w:t xml:space="preserve"> </w:t>
      </w:r>
      <w:hyperlink r:id="rId253">
        <w:r>
          <w:rPr>
            <w:rStyle w:val="Hyperlink"/>
          </w:rPr>
          <w:t xml:space="preserve">https://wellcome.org/news/public-trust-scientists-rose-during-covid-19-pandemic</w:t>
        </w:r>
      </w:hyperlink>
    </w:p>
    <w:bookmarkEnd w:id="254"/>
    <w:bookmarkStart w:id="256" w:name="ref-wintterlinPredictingPublicTrust2022"/>
    <w:p>
      <w:pPr>
        <w:pStyle w:val="Bibliography"/>
      </w:pPr>
      <w:r>
        <w:t xml:space="preserve">Wintterlin, F., Hendriks, F., Mede, N. G., Bromme, R., Metag, J., &amp; Schäfer, M. S. (2022). Predicting public trust in science: The role of basic orientations toward science, perceived trustworthiness of scientists, and experiences with science.</w:t>
      </w:r>
      <w:r>
        <w:t xml:space="preserve"> </w:t>
      </w:r>
      <w:r>
        <w:rPr>
          <w:i/>
          <w:iCs/>
        </w:rPr>
        <w:t xml:space="preserve">Frontiers in Communication</w:t>
      </w:r>
      <w:r>
        <w:t xml:space="preserve">,</w:t>
      </w:r>
      <w:r>
        <w:t xml:space="preserve"> </w:t>
      </w:r>
      <w:r>
        <w:rPr>
          <w:i/>
          <w:iCs/>
        </w:rPr>
        <w:t xml:space="preserve">6</w:t>
      </w:r>
      <w:r>
        <w:t xml:space="preserve">.</w:t>
      </w:r>
      <w:r>
        <w:t xml:space="preserve"> </w:t>
      </w:r>
      <w:hyperlink r:id="rId255">
        <w:r>
          <w:rPr>
            <w:rStyle w:val="Hyperlink"/>
          </w:rPr>
          <w:t xml:space="preserve">https://doi.org/10.3389/fcomm.2021.822757</w:t>
        </w:r>
      </w:hyperlink>
    </w:p>
    <w:bookmarkEnd w:id="256"/>
    <w:bookmarkStart w:id="257" w:name="ref-wolpertUnnaturalNatureScience1994"/>
    <w:p>
      <w:pPr>
        <w:pStyle w:val="Bibliography"/>
      </w:pPr>
      <w:r>
        <w:t xml:space="preserve">Wolpert, L. (1994).</w:t>
      </w:r>
      <w:r>
        <w:t xml:space="preserve"> </w:t>
      </w:r>
      <w:r>
        <w:rPr>
          <w:i/>
          <w:iCs/>
        </w:rPr>
        <w:t xml:space="preserve">The unnatural nature of science</w:t>
      </w:r>
      <w:r>
        <w:t xml:space="preserve"> </w:t>
      </w:r>
      <w:r>
        <w:t xml:space="preserve">(1st pbk ed., 2nd print). Harvard University Press.</w:t>
      </w:r>
    </w:p>
    <w:bookmarkEnd w:id="257"/>
    <w:bookmarkEnd w:id="258"/>
    <w:bookmarkEnd w:id="25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Numbers are based on our own calculations using on the publicly available GSS cumulative 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223" Target="http://www.jstor.org/stable/259285" TargetMode="External" /><Relationship Type="http://schemas.openxmlformats.org/officeDocument/2006/relationships/hyperlink" Id="rId260" Target="https://credit.niso.org" TargetMode="External" /><Relationship Type="http://schemas.openxmlformats.org/officeDocument/2006/relationships/hyperlink" Id="rId56" Target="https://doi.org/10.1002/tea.21227" TargetMode="External" /><Relationship Type="http://schemas.openxmlformats.org/officeDocument/2006/relationships/hyperlink" Id="rId149" Target="https://doi.org/10.1016/j.cognition.2021.104820" TargetMode="External" /><Relationship Type="http://schemas.openxmlformats.org/officeDocument/2006/relationships/hyperlink" Id="rId208" Target="https://doi.org/10.1016/j.cognition.2024.106005" TargetMode="External" /><Relationship Type="http://schemas.openxmlformats.org/officeDocument/2006/relationships/hyperlink" Id="rId161" Target="https://doi.org/10.1016/j.cogpsych.2006.09.006" TargetMode="External" /><Relationship Type="http://schemas.openxmlformats.org/officeDocument/2006/relationships/hyperlink" Id="rId155" Target="https://doi.org/10.1016/j.cogpsych.2021.101453" TargetMode="External" /><Relationship Type="http://schemas.openxmlformats.org/officeDocument/2006/relationships/hyperlink" Id="rId151" Target="https://doi.org/10.1016/j.copsyc.2021.01.005" TargetMode="External" /><Relationship Type="http://schemas.openxmlformats.org/officeDocument/2006/relationships/hyperlink" Id="rId225" Target="https://doi.org/10.1016/j.copsyc.2022.101392" TargetMode="External" /><Relationship Type="http://schemas.openxmlformats.org/officeDocument/2006/relationships/hyperlink" Id="rId54" Target="https://doi.org/10.1016/j.evolhumbehav.2020.03.004" TargetMode="External" /><Relationship Type="http://schemas.openxmlformats.org/officeDocument/2006/relationships/hyperlink" Id="rId83" Target="https://doi.org/10.1016/j.jenvp.2020.101428" TargetMode="External" /><Relationship Type="http://schemas.openxmlformats.org/officeDocument/2006/relationships/hyperlink" Id="rId159" Target="https://doi.org/10.1016/j.tics.2006.08.004" TargetMode="External" /><Relationship Type="http://schemas.openxmlformats.org/officeDocument/2006/relationships/hyperlink" Id="rId243" Target="https://doi.org/10.1016/j.tics.2008.10.001" TargetMode="External" /><Relationship Type="http://schemas.openxmlformats.org/officeDocument/2006/relationships/hyperlink" Id="rId183" Target="https://doi.org/10.1016/j.tics.2015.08.007" TargetMode="External" /><Relationship Type="http://schemas.openxmlformats.org/officeDocument/2006/relationships/hyperlink" Id="rId67" Target="https://doi.org/10.1016/j.tplants.2015.03.011" TargetMode="External" /><Relationship Type="http://schemas.openxmlformats.org/officeDocument/2006/relationships/hyperlink" Id="rId73" Target="https://doi.org/10.1017/CBO9780511812507" TargetMode="External" /><Relationship Type="http://schemas.openxmlformats.org/officeDocument/2006/relationships/hyperlink" Id="rId165" Target="https://doi.org/10.1017/S0140525X17000012" TargetMode="External" /><Relationship Type="http://schemas.openxmlformats.org/officeDocument/2006/relationships/hyperlink" Id="rId89" Target="https://doi.org/10.1017/S1049096515000438" TargetMode="External" /><Relationship Type="http://schemas.openxmlformats.org/officeDocument/2006/relationships/hyperlink" Id="rId63" Target="https://doi.org/10.1017/S1755773919000080" TargetMode="External" /><Relationship Type="http://schemas.openxmlformats.org/officeDocument/2006/relationships/hyperlink" Id="rId177" Target="https://doi.org/10.1017/ehs.2019.6" TargetMode="External" /><Relationship Type="http://schemas.openxmlformats.org/officeDocument/2006/relationships/hyperlink" Id="rId216" Target="https://doi.org/10.1037/0022-3514.65.3.429" TargetMode="External" /><Relationship Type="http://schemas.openxmlformats.org/officeDocument/2006/relationships/hyperlink" Id="rId87" Target="https://doi.org/10.1037/0022-3514.92.4.631" TargetMode="External" /><Relationship Type="http://schemas.openxmlformats.org/officeDocument/2006/relationships/hyperlink" Id="rId121" Target="https://doi.org/10.1037/0033-295X.112.2.494" TargetMode="External" /><Relationship Type="http://schemas.openxmlformats.org/officeDocument/2006/relationships/hyperlink" Id="rId157" Target="https://doi.org/10.1037/a0031615" TargetMode="External" /><Relationship Type="http://schemas.openxmlformats.org/officeDocument/2006/relationships/hyperlink" Id="rId129" Target="https://doi.org/10.1037/a0040437" TargetMode="External" /><Relationship Type="http://schemas.openxmlformats.org/officeDocument/2006/relationships/hyperlink" Id="rId173" Target="https://doi.org/10.1037/gpr0000111" TargetMode="External" /><Relationship Type="http://schemas.openxmlformats.org/officeDocument/2006/relationships/hyperlink" Id="rId96" Target="https://doi.org/10.1038/340011a0" TargetMode="External" /><Relationship Type="http://schemas.openxmlformats.org/officeDocument/2006/relationships/hyperlink" Id="rId195" Target="https://doi.org/10.1038/d41586-022-01527-z" TargetMode="External" /><Relationship Type="http://schemas.openxmlformats.org/officeDocument/2006/relationships/hyperlink" Id="rId131" Target="https://doi.org/10.1038/nclimate2943" TargetMode="External" /><Relationship Type="http://schemas.openxmlformats.org/officeDocument/2006/relationships/hyperlink" Id="rId185" Target="https://doi.org/10.1038/s41558-018-0126-9" TargetMode="External" /><Relationship Type="http://schemas.openxmlformats.org/officeDocument/2006/relationships/hyperlink" Id="rId241" Target="https://doi.org/10.1038/s41562-021-01115-7" TargetMode="External" /><Relationship Type="http://schemas.openxmlformats.org/officeDocument/2006/relationships/hyperlink" Id="rId247" Target="https://doi.org/10.1038/s41562-024-01928-2" TargetMode="External" /><Relationship Type="http://schemas.openxmlformats.org/officeDocument/2006/relationships/hyperlink" Id="rId139" Target="https://doi.org/10.1038/s41562-024-02060-x" TargetMode="External" /><Relationship Type="http://schemas.openxmlformats.org/officeDocument/2006/relationships/hyperlink" Id="rId206" Target="https://doi.org/10.1038/s41562-024-02086-1" TargetMode="External" /><Relationship Type="http://schemas.openxmlformats.org/officeDocument/2006/relationships/hyperlink" Id="rId81" Target="https://doi.org/10.1038/s41562-024-02090-5" TargetMode="External" /><Relationship Type="http://schemas.openxmlformats.org/officeDocument/2006/relationships/hyperlink" Id="rId100" Target="https://doi.org/10.1073/pnas.0914054107" TargetMode="External" /><Relationship Type="http://schemas.openxmlformats.org/officeDocument/2006/relationships/hyperlink" Id="rId102" Target="https://doi.org/10.1073/pnas.1317505111" TargetMode="External" /><Relationship Type="http://schemas.openxmlformats.org/officeDocument/2006/relationships/hyperlink" Id="rId231" Target="https://doi.org/10.1073/pnas.1805871115" TargetMode="External" /><Relationship Type="http://schemas.openxmlformats.org/officeDocument/2006/relationships/hyperlink" Id="rId221" Target="https://doi.org/10.1073/pnas.1912441117" TargetMode="External" /><Relationship Type="http://schemas.openxmlformats.org/officeDocument/2006/relationships/hyperlink" Id="rId204" Target="https://doi.org/10.1073/pnas.2024597118" TargetMode="External" /><Relationship Type="http://schemas.openxmlformats.org/officeDocument/2006/relationships/hyperlink" Id="rId50" Target="https://doi.org/10.1073/pnas.2108576118" TargetMode="External" /><Relationship Type="http://schemas.openxmlformats.org/officeDocument/2006/relationships/hyperlink" Id="rId163" Target="https://doi.org/10.1073/pnas.2319488121" TargetMode="External" /><Relationship Type="http://schemas.openxmlformats.org/officeDocument/2006/relationships/hyperlink" Id="rId71" Target="https://doi.org/10.1080/00131881.2019.1596036" TargetMode="External" /><Relationship Type="http://schemas.openxmlformats.org/officeDocument/2006/relationships/hyperlink" Id="rId133" Target="https://doi.org/10.1080/03080188.2022.2152244" TargetMode="External" /><Relationship Type="http://schemas.openxmlformats.org/officeDocument/2006/relationships/hyperlink" Id="rId98" Target="https://doi.org/10.1080/0361073X.2011.536750" TargetMode="External" /><Relationship Type="http://schemas.openxmlformats.org/officeDocument/2006/relationships/hyperlink" Id="rId69" Target="https://doi.org/10.1080/17524032.2023.2280749" TargetMode="External" /><Relationship Type="http://schemas.openxmlformats.org/officeDocument/2006/relationships/hyperlink" Id="rId179" Target="https://doi.org/10.1088/0963-6625/7/3/001" TargetMode="External" /><Relationship Type="http://schemas.openxmlformats.org/officeDocument/2006/relationships/hyperlink" Id="rId236" Target="https://doi.org/10.1093/joc/jqac017" TargetMode="External" /><Relationship Type="http://schemas.openxmlformats.org/officeDocument/2006/relationships/hyperlink" Id="rId58" Target="https://doi.org/10.1111/0038-4941.00059" TargetMode="External" /><Relationship Type="http://schemas.openxmlformats.org/officeDocument/2006/relationships/hyperlink" Id="rId78" Target="https://doi.org/10.1111/infa.12202" TargetMode="External" /><Relationship Type="http://schemas.openxmlformats.org/officeDocument/2006/relationships/hyperlink" Id="rId104" Target="https://doi.org/10.1126/science.adj7675" TargetMode="External" /><Relationship Type="http://schemas.openxmlformats.org/officeDocument/2006/relationships/hyperlink" Id="rId153" Target="https://doi.org/10.1136/bmjopen-2020-048172" TargetMode="External" /><Relationship Type="http://schemas.openxmlformats.org/officeDocument/2006/relationships/hyperlink" Id="rId114" Target="https://doi.org/10.1146/annurev-soc-030320-035037" TargetMode="External" /><Relationship Type="http://schemas.openxmlformats.org/officeDocument/2006/relationships/hyperlink" Id="rId91" Target="https://doi.org/10.1177/00027162221095431" TargetMode="External" /><Relationship Type="http://schemas.openxmlformats.org/officeDocument/2006/relationships/hyperlink" Id="rId116" Target="https://doi.org/10.1177/0003122418773353" TargetMode="External" /><Relationship Type="http://schemas.openxmlformats.org/officeDocument/2006/relationships/hyperlink" Id="rId245" Target="https://doi.org/10.1177/09567976221083219" TargetMode="External" /><Relationship Type="http://schemas.openxmlformats.org/officeDocument/2006/relationships/hyperlink" Id="rId94" Target="https://doi.org/10.1177/09567976251339633" TargetMode="External" /><Relationship Type="http://schemas.openxmlformats.org/officeDocument/2006/relationships/hyperlink" Id="rId239" Target="https://doi.org/10.1177/0963662504042690" TargetMode="External" /><Relationship Type="http://schemas.openxmlformats.org/officeDocument/2006/relationships/hyperlink" Id="rId181" Target="https://doi.org/10.1177/0963662504044908" TargetMode="External" /><Relationship Type="http://schemas.openxmlformats.org/officeDocument/2006/relationships/hyperlink" Id="rId200" Target="https://doi.org/10.1177/0963662504045002" TargetMode="External" /><Relationship Type="http://schemas.openxmlformats.org/officeDocument/2006/relationships/hyperlink" Id="rId52" Target="https://doi.org/10.1177/0963662506070159" TargetMode="External" /><Relationship Type="http://schemas.openxmlformats.org/officeDocument/2006/relationships/hyperlink" Id="rId60" Target="https://doi.org/10.1177/0963662506071287" TargetMode="External" /><Relationship Type="http://schemas.openxmlformats.org/officeDocument/2006/relationships/hyperlink" Id="rId112" Target="https://doi.org/10.1177/0963662510365246" TargetMode="External" /><Relationship Type="http://schemas.openxmlformats.org/officeDocument/2006/relationships/hyperlink" Id="rId197" Target="https://doi.org/10.1177/0963662519863575" TargetMode="External" /><Relationship Type="http://schemas.openxmlformats.org/officeDocument/2006/relationships/hyperlink" Id="rId125" Target="https://doi.org/10.1177/0963662520902383" TargetMode="External" /><Relationship Type="http://schemas.openxmlformats.org/officeDocument/2006/relationships/hyperlink" Id="rId229" Target="https://doi.org/10.1177/09636625221075947" TargetMode="External" /><Relationship Type="http://schemas.openxmlformats.org/officeDocument/2006/relationships/hyperlink" Id="rId147" Target="https://doi.org/10.1177/0963721416654436" TargetMode="External" /><Relationship Type="http://schemas.openxmlformats.org/officeDocument/2006/relationships/hyperlink" Id="rId127" Target="https://doi.org/10.1177/0963721420969364" TargetMode="External" /><Relationship Type="http://schemas.openxmlformats.org/officeDocument/2006/relationships/hyperlink" Id="rId65" Target="https://doi.org/10.1177/1075547020949547" TargetMode="External" /><Relationship Type="http://schemas.openxmlformats.org/officeDocument/2006/relationships/hyperlink" Id="rId141" Target="https://doi.org/10.1177/1368430220985918" TargetMode="External" /><Relationship Type="http://schemas.openxmlformats.org/officeDocument/2006/relationships/hyperlink" Id="rId137" Target="https://doi.org/10.1177/1368430221992126" TargetMode="External" /><Relationship Type="http://schemas.openxmlformats.org/officeDocument/2006/relationships/hyperlink" Id="rId171" Target="https://doi.org/10.1177/1745691615577794" TargetMode="External" /><Relationship Type="http://schemas.openxmlformats.org/officeDocument/2006/relationships/hyperlink" Id="rId227" Target="https://doi.org/10.1353/hpu.0.0323" TargetMode="External" /><Relationship Type="http://schemas.openxmlformats.org/officeDocument/2006/relationships/hyperlink" Id="rId145" Target="https://doi.org/10.1371/journal.pone.0075637" TargetMode="External" /><Relationship Type="http://schemas.openxmlformats.org/officeDocument/2006/relationships/hyperlink" Id="rId123" Target="https://doi.org/10.1371/journal.pone.0139309" TargetMode="External" /><Relationship Type="http://schemas.openxmlformats.org/officeDocument/2006/relationships/hyperlink" Id="rId175" Target="https://doi.org/10.1515/9780691198842" TargetMode="External" /><Relationship Type="http://schemas.openxmlformats.org/officeDocument/2006/relationships/hyperlink" Id="rId190" Target="https://doi.org/10.17226/23595" TargetMode="External" /><Relationship Type="http://schemas.openxmlformats.org/officeDocument/2006/relationships/hyperlink" Id="rId167" Target="https://doi.org/10.2307/258792" TargetMode="External" /><Relationship Type="http://schemas.openxmlformats.org/officeDocument/2006/relationships/hyperlink" Id="rId75" Target="https://doi.org/10.2307/3561468" TargetMode="External" /><Relationship Type="http://schemas.openxmlformats.org/officeDocument/2006/relationships/hyperlink" Id="rId210" Target="https://doi.org/10.31219/osf.io/argq5_v1" TargetMode="External" /><Relationship Type="http://schemas.openxmlformats.org/officeDocument/2006/relationships/hyperlink" Id="rId214" Target="https://doi.org/10.31219/osf.io/k9m6e_v1" TargetMode="External" /><Relationship Type="http://schemas.openxmlformats.org/officeDocument/2006/relationships/hyperlink" Id="rId212" Target="https://doi.org/10.31219/osf.io/qc43v_v2" TargetMode="External" /><Relationship Type="http://schemas.openxmlformats.org/officeDocument/2006/relationships/hyperlink" Id="rId255" Target="https://doi.org/10.3389/fcomm.2021.822757" TargetMode="External" /><Relationship Type="http://schemas.openxmlformats.org/officeDocument/2006/relationships/hyperlink" Id="rId48" Target="https://doi.org/10.37016/mr-2020-87" TargetMode="External" /><Relationship Type="http://schemas.openxmlformats.org/officeDocument/2006/relationships/hyperlink" Id="rId202" Target="https://doi.org/10.3758/BF03198483" TargetMode="External" /><Relationship Type="http://schemas.openxmlformats.org/officeDocument/2006/relationships/hyperlink" Id="rId187" Target="https://doi.org/10.3758/BF03202764" TargetMode="External" /><Relationship Type="http://schemas.openxmlformats.org/officeDocument/2006/relationships/hyperlink" Id="rId40" Target="https://imagine.gsfc.nasa.gov/features/cosmic/milkyway_info.html" TargetMode="External" /><Relationship Type="http://schemas.openxmlformats.org/officeDocument/2006/relationships/hyperlink" Id="rId192" Target="https://ncses.nsf.gov/pubs/nsb20244" TargetMode="External" /><Relationship Type="http://schemas.openxmlformats.org/officeDocument/2006/relationships/hyperlink" Id="rId29" Target="https://orcid.org/0000-0002-0575-7913" TargetMode="External" /><Relationship Type="http://schemas.openxmlformats.org/officeDocument/2006/relationships/hyperlink" Id="rId25" Target="https://orcid.org/0009-0009-4389-2807" TargetMode="External" /><Relationship Type="http://schemas.openxmlformats.org/officeDocument/2006/relationships/hyperlink" Id="rId253" Target="https://wellcome.org/news/public-trust-scientists-rose-during-covid-19-pandemic" TargetMode="External" /><Relationship Type="http://schemas.openxmlformats.org/officeDocument/2006/relationships/hyperlink" Id="rId251" Target="https://wellcome.org/reports/wellcome-global-monitor-covid-19/2020" TargetMode="External" /><Relationship Type="http://schemas.openxmlformats.org/officeDocument/2006/relationships/hyperlink" Id="rId249" Target="https://wellcome.org/reports/wellcome-global-monitor/2018" TargetMode="External" /><Relationship Type="http://schemas.openxmlformats.org/officeDocument/2006/relationships/hyperlink" Id="rId106" Target="https://www.pewresearch.org/science/2017/09/20/science-news-and-information-today/" TargetMode="External" /><Relationship Type="http://schemas.openxmlformats.org/officeDocument/2006/relationships/hyperlink" Id="rId110" Target="https://www.pewresearch.org/science/2020/09/29/science-and-scientists-held-in-high-esteem-across-global-publics/" TargetMode="External" /><Relationship Type="http://schemas.openxmlformats.org/officeDocument/2006/relationships/hyperlink" Id="rId135" Target="https://www.pewresearch.org/science/2024/11/14/public-trust-in-scientists-and-views-on-their-role-in-policymaking/" TargetMode="External" /><Relationship Type="http://schemas.openxmlformats.org/officeDocument/2006/relationships/hyperlink" Id="rId108" Target="https://www.pewresearch.org/short-reads/2020/08/27/public-confidence-in-scientists-has-remained-stable-for-decades/" TargetMode="External" /><Relationship Type="http://schemas.openxmlformats.org/officeDocument/2006/relationships/hyperlink" Id="rId219" Target="https://www.researchamerica.org/blog/survey-most-americans-cannot-name-a-living-scientist-or-a-research-institution/" TargetMode="External" /><Relationship Type="http://schemas.openxmlformats.org/officeDocument/2006/relationships/hyperlink" Id="rId30" Target="mailto:hugo.mercier@gmail.com" TargetMode="External" /></Relationships>
</file>

<file path=word/_rels/footnotes.xml.rels><?xml version="1.0" encoding="UTF-8"?><Relationships xmlns="http://schemas.openxmlformats.org/package/2006/relationships"><Relationship Type="http://schemas.openxmlformats.org/officeDocument/2006/relationships/hyperlink" Id="rId223" Target="http://www.jstor.org/stable/259285" TargetMode="External" /><Relationship Type="http://schemas.openxmlformats.org/officeDocument/2006/relationships/hyperlink" Id="rId260" Target="https://credit.niso.org" TargetMode="External" /><Relationship Type="http://schemas.openxmlformats.org/officeDocument/2006/relationships/hyperlink" Id="rId56" Target="https://doi.org/10.1002/tea.21227" TargetMode="External" /><Relationship Type="http://schemas.openxmlformats.org/officeDocument/2006/relationships/hyperlink" Id="rId149" Target="https://doi.org/10.1016/j.cognition.2021.104820" TargetMode="External" /><Relationship Type="http://schemas.openxmlformats.org/officeDocument/2006/relationships/hyperlink" Id="rId208" Target="https://doi.org/10.1016/j.cognition.2024.106005" TargetMode="External" /><Relationship Type="http://schemas.openxmlformats.org/officeDocument/2006/relationships/hyperlink" Id="rId161" Target="https://doi.org/10.1016/j.cogpsych.2006.09.006" TargetMode="External" /><Relationship Type="http://schemas.openxmlformats.org/officeDocument/2006/relationships/hyperlink" Id="rId155" Target="https://doi.org/10.1016/j.cogpsych.2021.101453" TargetMode="External" /><Relationship Type="http://schemas.openxmlformats.org/officeDocument/2006/relationships/hyperlink" Id="rId151" Target="https://doi.org/10.1016/j.copsyc.2021.01.005" TargetMode="External" /><Relationship Type="http://schemas.openxmlformats.org/officeDocument/2006/relationships/hyperlink" Id="rId225" Target="https://doi.org/10.1016/j.copsyc.2022.101392" TargetMode="External" /><Relationship Type="http://schemas.openxmlformats.org/officeDocument/2006/relationships/hyperlink" Id="rId54" Target="https://doi.org/10.1016/j.evolhumbehav.2020.03.004" TargetMode="External" /><Relationship Type="http://schemas.openxmlformats.org/officeDocument/2006/relationships/hyperlink" Id="rId83" Target="https://doi.org/10.1016/j.jenvp.2020.101428" TargetMode="External" /><Relationship Type="http://schemas.openxmlformats.org/officeDocument/2006/relationships/hyperlink" Id="rId159" Target="https://doi.org/10.1016/j.tics.2006.08.004" TargetMode="External" /><Relationship Type="http://schemas.openxmlformats.org/officeDocument/2006/relationships/hyperlink" Id="rId243" Target="https://doi.org/10.1016/j.tics.2008.10.001" TargetMode="External" /><Relationship Type="http://schemas.openxmlformats.org/officeDocument/2006/relationships/hyperlink" Id="rId183" Target="https://doi.org/10.1016/j.tics.2015.08.007" TargetMode="External" /><Relationship Type="http://schemas.openxmlformats.org/officeDocument/2006/relationships/hyperlink" Id="rId67" Target="https://doi.org/10.1016/j.tplants.2015.03.011" TargetMode="External" /><Relationship Type="http://schemas.openxmlformats.org/officeDocument/2006/relationships/hyperlink" Id="rId73" Target="https://doi.org/10.1017/CBO9780511812507" TargetMode="External" /><Relationship Type="http://schemas.openxmlformats.org/officeDocument/2006/relationships/hyperlink" Id="rId165" Target="https://doi.org/10.1017/S0140525X17000012" TargetMode="External" /><Relationship Type="http://schemas.openxmlformats.org/officeDocument/2006/relationships/hyperlink" Id="rId89" Target="https://doi.org/10.1017/S1049096515000438" TargetMode="External" /><Relationship Type="http://schemas.openxmlformats.org/officeDocument/2006/relationships/hyperlink" Id="rId63" Target="https://doi.org/10.1017/S1755773919000080" TargetMode="External" /><Relationship Type="http://schemas.openxmlformats.org/officeDocument/2006/relationships/hyperlink" Id="rId177" Target="https://doi.org/10.1017/ehs.2019.6" TargetMode="External" /><Relationship Type="http://schemas.openxmlformats.org/officeDocument/2006/relationships/hyperlink" Id="rId216" Target="https://doi.org/10.1037/0022-3514.65.3.429" TargetMode="External" /><Relationship Type="http://schemas.openxmlformats.org/officeDocument/2006/relationships/hyperlink" Id="rId87" Target="https://doi.org/10.1037/0022-3514.92.4.631" TargetMode="External" /><Relationship Type="http://schemas.openxmlformats.org/officeDocument/2006/relationships/hyperlink" Id="rId121" Target="https://doi.org/10.1037/0033-295X.112.2.494" TargetMode="External" /><Relationship Type="http://schemas.openxmlformats.org/officeDocument/2006/relationships/hyperlink" Id="rId157" Target="https://doi.org/10.1037/a0031615" TargetMode="External" /><Relationship Type="http://schemas.openxmlformats.org/officeDocument/2006/relationships/hyperlink" Id="rId129" Target="https://doi.org/10.1037/a0040437" TargetMode="External" /><Relationship Type="http://schemas.openxmlformats.org/officeDocument/2006/relationships/hyperlink" Id="rId173" Target="https://doi.org/10.1037/gpr0000111" TargetMode="External" /><Relationship Type="http://schemas.openxmlformats.org/officeDocument/2006/relationships/hyperlink" Id="rId96" Target="https://doi.org/10.1038/340011a0" TargetMode="External" /><Relationship Type="http://schemas.openxmlformats.org/officeDocument/2006/relationships/hyperlink" Id="rId195" Target="https://doi.org/10.1038/d41586-022-01527-z" TargetMode="External" /><Relationship Type="http://schemas.openxmlformats.org/officeDocument/2006/relationships/hyperlink" Id="rId131" Target="https://doi.org/10.1038/nclimate2943" TargetMode="External" /><Relationship Type="http://schemas.openxmlformats.org/officeDocument/2006/relationships/hyperlink" Id="rId185" Target="https://doi.org/10.1038/s41558-018-0126-9" TargetMode="External" /><Relationship Type="http://schemas.openxmlformats.org/officeDocument/2006/relationships/hyperlink" Id="rId241" Target="https://doi.org/10.1038/s41562-021-01115-7" TargetMode="External" /><Relationship Type="http://schemas.openxmlformats.org/officeDocument/2006/relationships/hyperlink" Id="rId247" Target="https://doi.org/10.1038/s41562-024-01928-2" TargetMode="External" /><Relationship Type="http://schemas.openxmlformats.org/officeDocument/2006/relationships/hyperlink" Id="rId139" Target="https://doi.org/10.1038/s41562-024-02060-x" TargetMode="External" /><Relationship Type="http://schemas.openxmlformats.org/officeDocument/2006/relationships/hyperlink" Id="rId206" Target="https://doi.org/10.1038/s41562-024-02086-1" TargetMode="External" /><Relationship Type="http://schemas.openxmlformats.org/officeDocument/2006/relationships/hyperlink" Id="rId81" Target="https://doi.org/10.1038/s41562-024-02090-5" TargetMode="External" /><Relationship Type="http://schemas.openxmlformats.org/officeDocument/2006/relationships/hyperlink" Id="rId100" Target="https://doi.org/10.1073/pnas.0914054107" TargetMode="External" /><Relationship Type="http://schemas.openxmlformats.org/officeDocument/2006/relationships/hyperlink" Id="rId102" Target="https://doi.org/10.1073/pnas.1317505111" TargetMode="External" /><Relationship Type="http://schemas.openxmlformats.org/officeDocument/2006/relationships/hyperlink" Id="rId231" Target="https://doi.org/10.1073/pnas.1805871115" TargetMode="External" /><Relationship Type="http://schemas.openxmlformats.org/officeDocument/2006/relationships/hyperlink" Id="rId221" Target="https://doi.org/10.1073/pnas.1912441117" TargetMode="External" /><Relationship Type="http://schemas.openxmlformats.org/officeDocument/2006/relationships/hyperlink" Id="rId204" Target="https://doi.org/10.1073/pnas.2024597118" TargetMode="External" /><Relationship Type="http://schemas.openxmlformats.org/officeDocument/2006/relationships/hyperlink" Id="rId50" Target="https://doi.org/10.1073/pnas.2108576118" TargetMode="External" /><Relationship Type="http://schemas.openxmlformats.org/officeDocument/2006/relationships/hyperlink" Id="rId163" Target="https://doi.org/10.1073/pnas.2319488121" TargetMode="External" /><Relationship Type="http://schemas.openxmlformats.org/officeDocument/2006/relationships/hyperlink" Id="rId71" Target="https://doi.org/10.1080/00131881.2019.1596036" TargetMode="External" /><Relationship Type="http://schemas.openxmlformats.org/officeDocument/2006/relationships/hyperlink" Id="rId133" Target="https://doi.org/10.1080/03080188.2022.2152244" TargetMode="External" /><Relationship Type="http://schemas.openxmlformats.org/officeDocument/2006/relationships/hyperlink" Id="rId98" Target="https://doi.org/10.1080/0361073X.2011.536750" TargetMode="External" /><Relationship Type="http://schemas.openxmlformats.org/officeDocument/2006/relationships/hyperlink" Id="rId69" Target="https://doi.org/10.1080/17524032.2023.2280749" TargetMode="External" /><Relationship Type="http://schemas.openxmlformats.org/officeDocument/2006/relationships/hyperlink" Id="rId179" Target="https://doi.org/10.1088/0963-6625/7/3/001" TargetMode="External" /><Relationship Type="http://schemas.openxmlformats.org/officeDocument/2006/relationships/hyperlink" Id="rId236" Target="https://doi.org/10.1093/joc/jqac017" TargetMode="External" /><Relationship Type="http://schemas.openxmlformats.org/officeDocument/2006/relationships/hyperlink" Id="rId58" Target="https://doi.org/10.1111/0038-4941.00059" TargetMode="External" /><Relationship Type="http://schemas.openxmlformats.org/officeDocument/2006/relationships/hyperlink" Id="rId78" Target="https://doi.org/10.1111/infa.12202" TargetMode="External" /><Relationship Type="http://schemas.openxmlformats.org/officeDocument/2006/relationships/hyperlink" Id="rId104" Target="https://doi.org/10.1126/science.adj7675" TargetMode="External" /><Relationship Type="http://schemas.openxmlformats.org/officeDocument/2006/relationships/hyperlink" Id="rId153" Target="https://doi.org/10.1136/bmjopen-2020-048172" TargetMode="External" /><Relationship Type="http://schemas.openxmlformats.org/officeDocument/2006/relationships/hyperlink" Id="rId114" Target="https://doi.org/10.1146/annurev-soc-030320-035037" TargetMode="External" /><Relationship Type="http://schemas.openxmlformats.org/officeDocument/2006/relationships/hyperlink" Id="rId91" Target="https://doi.org/10.1177/00027162221095431" TargetMode="External" /><Relationship Type="http://schemas.openxmlformats.org/officeDocument/2006/relationships/hyperlink" Id="rId116" Target="https://doi.org/10.1177/0003122418773353" TargetMode="External" /><Relationship Type="http://schemas.openxmlformats.org/officeDocument/2006/relationships/hyperlink" Id="rId245" Target="https://doi.org/10.1177/09567976221083219" TargetMode="External" /><Relationship Type="http://schemas.openxmlformats.org/officeDocument/2006/relationships/hyperlink" Id="rId94" Target="https://doi.org/10.1177/09567976251339633" TargetMode="External" /><Relationship Type="http://schemas.openxmlformats.org/officeDocument/2006/relationships/hyperlink" Id="rId239" Target="https://doi.org/10.1177/0963662504042690" TargetMode="External" /><Relationship Type="http://schemas.openxmlformats.org/officeDocument/2006/relationships/hyperlink" Id="rId181" Target="https://doi.org/10.1177/0963662504044908" TargetMode="External" /><Relationship Type="http://schemas.openxmlformats.org/officeDocument/2006/relationships/hyperlink" Id="rId200" Target="https://doi.org/10.1177/0963662504045002" TargetMode="External" /><Relationship Type="http://schemas.openxmlformats.org/officeDocument/2006/relationships/hyperlink" Id="rId52" Target="https://doi.org/10.1177/0963662506070159" TargetMode="External" /><Relationship Type="http://schemas.openxmlformats.org/officeDocument/2006/relationships/hyperlink" Id="rId60" Target="https://doi.org/10.1177/0963662506071287" TargetMode="External" /><Relationship Type="http://schemas.openxmlformats.org/officeDocument/2006/relationships/hyperlink" Id="rId112" Target="https://doi.org/10.1177/0963662510365246" TargetMode="External" /><Relationship Type="http://schemas.openxmlformats.org/officeDocument/2006/relationships/hyperlink" Id="rId197" Target="https://doi.org/10.1177/0963662519863575" TargetMode="External" /><Relationship Type="http://schemas.openxmlformats.org/officeDocument/2006/relationships/hyperlink" Id="rId125" Target="https://doi.org/10.1177/0963662520902383" TargetMode="External" /><Relationship Type="http://schemas.openxmlformats.org/officeDocument/2006/relationships/hyperlink" Id="rId229" Target="https://doi.org/10.1177/09636625221075947" TargetMode="External" /><Relationship Type="http://schemas.openxmlformats.org/officeDocument/2006/relationships/hyperlink" Id="rId147" Target="https://doi.org/10.1177/0963721416654436" TargetMode="External" /><Relationship Type="http://schemas.openxmlformats.org/officeDocument/2006/relationships/hyperlink" Id="rId127" Target="https://doi.org/10.1177/0963721420969364" TargetMode="External" /><Relationship Type="http://schemas.openxmlformats.org/officeDocument/2006/relationships/hyperlink" Id="rId65" Target="https://doi.org/10.1177/1075547020949547" TargetMode="External" /><Relationship Type="http://schemas.openxmlformats.org/officeDocument/2006/relationships/hyperlink" Id="rId141" Target="https://doi.org/10.1177/1368430220985918" TargetMode="External" /><Relationship Type="http://schemas.openxmlformats.org/officeDocument/2006/relationships/hyperlink" Id="rId137" Target="https://doi.org/10.1177/1368430221992126" TargetMode="External" /><Relationship Type="http://schemas.openxmlformats.org/officeDocument/2006/relationships/hyperlink" Id="rId171" Target="https://doi.org/10.1177/1745691615577794" TargetMode="External" /><Relationship Type="http://schemas.openxmlformats.org/officeDocument/2006/relationships/hyperlink" Id="rId227" Target="https://doi.org/10.1353/hpu.0.0323" TargetMode="External" /><Relationship Type="http://schemas.openxmlformats.org/officeDocument/2006/relationships/hyperlink" Id="rId145" Target="https://doi.org/10.1371/journal.pone.0075637" TargetMode="External" /><Relationship Type="http://schemas.openxmlformats.org/officeDocument/2006/relationships/hyperlink" Id="rId123" Target="https://doi.org/10.1371/journal.pone.0139309" TargetMode="External" /><Relationship Type="http://schemas.openxmlformats.org/officeDocument/2006/relationships/hyperlink" Id="rId175" Target="https://doi.org/10.1515/9780691198842" TargetMode="External" /><Relationship Type="http://schemas.openxmlformats.org/officeDocument/2006/relationships/hyperlink" Id="rId190" Target="https://doi.org/10.17226/23595" TargetMode="External" /><Relationship Type="http://schemas.openxmlformats.org/officeDocument/2006/relationships/hyperlink" Id="rId167" Target="https://doi.org/10.2307/258792" TargetMode="External" /><Relationship Type="http://schemas.openxmlformats.org/officeDocument/2006/relationships/hyperlink" Id="rId75" Target="https://doi.org/10.2307/3561468" TargetMode="External" /><Relationship Type="http://schemas.openxmlformats.org/officeDocument/2006/relationships/hyperlink" Id="rId210" Target="https://doi.org/10.31219/osf.io/argq5_v1" TargetMode="External" /><Relationship Type="http://schemas.openxmlformats.org/officeDocument/2006/relationships/hyperlink" Id="rId214" Target="https://doi.org/10.31219/osf.io/k9m6e_v1" TargetMode="External" /><Relationship Type="http://schemas.openxmlformats.org/officeDocument/2006/relationships/hyperlink" Id="rId212" Target="https://doi.org/10.31219/osf.io/qc43v_v2" TargetMode="External" /><Relationship Type="http://schemas.openxmlformats.org/officeDocument/2006/relationships/hyperlink" Id="rId255" Target="https://doi.org/10.3389/fcomm.2021.822757" TargetMode="External" /><Relationship Type="http://schemas.openxmlformats.org/officeDocument/2006/relationships/hyperlink" Id="rId48" Target="https://doi.org/10.37016/mr-2020-87" TargetMode="External" /><Relationship Type="http://schemas.openxmlformats.org/officeDocument/2006/relationships/hyperlink" Id="rId202" Target="https://doi.org/10.3758/BF03198483" TargetMode="External" /><Relationship Type="http://schemas.openxmlformats.org/officeDocument/2006/relationships/hyperlink" Id="rId187" Target="https://doi.org/10.3758/BF03202764" TargetMode="External" /><Relationship Type="http://schemas.openxmlformats.org/officeDocument/2006/relationships/hyperlink" Id="rId40" Target="https://imagine.gsfc.nasa.gov/features/cosmic/milkyway_info.html" TargetMode="External" /><Relationship Type="http://schemas.openxmlformats.org/officeDocument/2006/relationships/hyperlink" Id="rId192" Target="https://ncses.nsf.gov/pubs/nsb20244" TargetMode="External" /><Relationship Type="http://schemas.openxmlformats.org/officeDocument/2006/relationships/hyperlink" Id="rId29" Target="https://orcid.org/0000-0002-0575-7913" TargetMode="External" /><Relationship Type="http://schemas.openxmlformats.org/officeDocument/2006/relationships/hyperlink" Id="rId25" Target="https://orcid.org/0009-0009-4389-2807" TargetMode="External" /><Relationship Type="http://schemas.openxmlformats.org/officeDocument/2006/relationships/hyperlink" Id="rId253" Target="https://wellcome.org/news/public-trust-scientists-rose-during-covid-19-pandemic" TargetMode="External" /><Relationship Type="http://schemas.openxmlformats.org/officeDocument/2006/relationships/hyperlink" Id="rId251" Target="https://wellcome.org/reports/wellcome-global-monitor-covid-19/2020" TargetMode="External" /><Relationship Type="http://schemas.openxmlformats.org/officeDocument/2006/relationships/hyperlink" Id="rId249" Target="https://wellcome.org/reports/wellcome-global-monitor/2018" TargetMode="External" /><Relationship Type="http://schemas.openxmlformats.org/officeDocument/2006/relationships/hyperlink" Id="rId106" Target="https://www.pewresearch.org/science/2017/09/20/science-news-and-information-today/" TargetMode="External" /><Relationship Type="http://schemas.openxmlformats.org/officeDocument/2006/relationships/hyperlink" Id="rId110" Target="https://www.pewresearch.org/science/2020/09/29/science-and-scientists-held-in-high-esteem-across-global-publics/" TargetMode="External" /><Relationship Type="http://schemas.openxmlformats.org/officeDocument/2006/relationships/hyperlink" Id="rId135" Target="https://www.pewresearch.org/science/2024/11/14/public-trust-in-scientists-and-views-on-their-role-in-policymaking/" TargetMode="External" /><Relationship Type="http://schemas.openxmlformats.org/officeDocument/2006/relationships/hyperlink" Id="rId108" Target="https://www.pewresearch.org/short-reads/2020/08/27/public-confidence-in-scientists-has-remained-stable-for-decades/" TargetMode="External" /><Relationship Type="http://schemas.openxmlformats.org/officeDocument/2006/relationships/hyperlink" Id="rId219" Target="https://www.researchamerica.org/blog/survey-most-americans-cannot-name-a-living-scientist-or-a-research-institution/" TargetMode="External" /><Relationship Type="http://schemas.openxmlformats.org/officeDocument/2006/relationships/hyperlink" Id="rId30" Target="mailto:hugo.merci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THE RATIONAL IMPRESSION ACCOUNT OF TRUST IN SCIENCE</dc:description>
  <dc:language>en</dc:language>
  <cp:keywords>trust in science, science literacy, deficit model</cp:keywords>
  <dcterms:created xsi:type="dcterms:W3CDTF">2025-08-22T18:19:04Z</dcterms:created>
  <dcterms:modified xsi:type="dcterms:W3CDTF">2025-08-22T18:19:04Z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lways_allow_html">
    <vt:lpwstr>True</vt:lpwstr>
  </property>
  <property fmtid="{D5CDD505-2E9C-101B-9397-08002B2CF9AE}" pid="5" name="apaabstract">
    <vt:lpwstr>Trust in science plays a crucial role in addressing major societal challenges, from climate change to global health crises. Across the globe most people tend to trust science, but this trust appears broadly irrational, as people tend to know little about science. Here, we argue that people need not possess detailed scientific knowledge or profound understanding of science to rationally view it as trustworthy. We propose a cognitive model of trust in science–the rational impression account–according to which people come to trust science by relying on a suite of basic cognitive mechanisms: First, people infer competence from possessing rare knowledge; second, people infer accuracy from consensus; third, people’s impressions can persist they forget what generated them. [TO BE COMPLETED AND EDITED]</vt:lpwstr>
  </property>
  <property fmtid="{D5CDD505-2E9C-101B-9397-08002B2CF9AE}" pid="6" name="apaauthor">
    <vt:lpwstr/>
  </property>
  <property fmtid="{D5CDD505-2E9C-101B-9397-08002B2CF9AE}" pid="7" name="apatitle">
    <vt:lpwstr>THE RATIONAL IMPRESSION ACCOUNT OF TRUST IN SCIENCE</vt:lpwstr>
  </property>
  <property fmtid="{D5CDD505-2E9C-101B-9397-08002B2CF9AE}" pid="8" name="apatitledisplay">
    <vt:lpwstr>The rational impression account of trust in science</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lank-lines-above-author-note">
    <vt:lpwstr>2</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rossref">
    <vt:lpwstr/>
  </property>
  <property fmtid="{D5CDD505-2E9C-101B-9397-08002B2CF9AE}" pid="17" name="csl">
    <vt:lpwstr>_extensions/wjschne/apaquarto/apa.csl</vt:lpwstr>
  </property>
  <property fmtid="{D5CDD505-2E9C-101B-9397-08002B2CF9AE}" pid="18" name="documentmode">
    <vt:lpwstr>man</vt:lpwstr>
  </property>
  <property fmtid="{D5CDD505-2E9C-101B-9397-08002B2CF9AE}" pid="19" name="draft-date">
    <vt:lpwstr>True</vt:lpwstr>
  </property>
  <property fmtid="{D5CDD505-2E9C-101B-9397-08002B2CF9AE}" pid="20" name="fig-cap-location">
    <vt:lpwstr>top</vt:lpwstr>
  </property>
  <property fmtid="{D5CDD505-2E9C-101B-9397-08002B2CF9AE}" pid="21" name="floatsintext">
    <vt:lpwstr>True</vt:lpwstr>
  </property>
  <property fmtid="{D5CDD505-2E9C-101B-9397-08002B2CF9AE}" pid="22" name="header-includes">
    <vt:lpwstr/>
  </property>
  <property fmtid="{D5CDD505-2E9C-101B-9397-08002B2CF9AE}" pid="23" name="impact-statement">
    <vt:lpwstr/>
  </property>
  <property fmtid="{D5CDD505-2E9C-101B-9397-08002B2CF9AE}" pid="24" name="include-after">
    <vt:lpwstr/>
  </property>
  <property fmtid="{D5CDD505-2E9C-101B-9397-08002B2CF9AE}" pid="25" name="include-before">
    <vt:lpwstr/>
  </property>
  <property fmtid="{D5CDD505-2E9C-101B-9397-08002B2CF9AE}" pid="26" name="knitr">
    <vt:lpwstr/>
  </property>
  <property fmtid="{D5CDD505-2E9C-101B-9397-08002B2CF9AE}" pid="27" name="labels">
    <vt:lpwstr/>
  </property>
  <property fmtid="{D5CDD505-2E9C-101B-9397-08002B2CF9AE}" pid="28" name="language">
    <vt:lpwstr/>
  </property>
  <property fmtid="{D5CDD505-2E9C-101B-9397-08002B2CF9AE}" pid="29" name="link-citations">
    <vt:lpwstr>True</vt:lpwstr>
  </property>
  <property fmtid="{D5CDD505-2E9C-101B-9397-08002B2CF9AE}" pid="30" name="mask">
    <vt:lpwstr>False</vt:lpwstr>
  </property>
  <property fmtid="{D5CDD505-2E9C-101B-9397-08002B2CF9AE}" pid="31" name="masked-citations">
    <vt:lpwstr/>
  </property>
  <property fmtid="{D5CDD505-2E9C-101B-9397-08002B2CF9AE}" pid="32" name="no-ampersand-parenthetical">
    <vt:lpwstr>False</vt:lpwstr>
  </property>
  <property fmtid="{D5CDD505-2E9C-101B-9397-08002B2CF9AE}" pid="33" name="numbered-lines">
    <vt:lpwstr>False</vt:lpwstr>
  </property>
  <property fmtid="{D5CDD505-2E9C-101B-9397-08002B2CF9AE}" pid="34" name="oneaffiliation">
    <vt:lpwstr>True</vt:lpwstr>
  </property>
  <property fmtid="{D5CDD505-2E9C-101B-9397-08002B2CF9AE}" pid="35" name="oneauthor">
    <vt:lpwstr>False</vt:lpwstr>
  </property>
  <property fmtid="{D5CDD505-2E9C-101B-9397-08002B2CF9AE}" pid="36" name="references">
    <vt:lpwstr/>
  </property>
  <property fmtid="{D5CDD505-2E9C-101B-9397-08002B2CF9AE}" pid="37" name="revealjs-plugins">
    <vt:lpwstr/>
  </property>
  <property fmtid="{D5CDD505-2E9C-101B-9397-08002B2CF9AE}" pid="38" name="shorttitle">
    <vt:lpwstr/>
  </property>
  <property fmtid="{D5CDD505-2E9C-101B-9397-08002B2CF9AE}" pid="39" name="suppress-abstract">
    <vt:lpwstr>False</vt:lpwstr>
  </property>
  <property fmtid="{D5CDD505-2E9C-101B-9397-08002B2CF9AE}" pid="40" name="suppress-affiliation">
    <vt:lpwstr>False</vt:lpwstr>
  </property>
  <property fmtid="{D5CDD505-2E9C-101B-9397-08002B2CF9AE}" pid="41" name="suppress-author">
    <vt:lpwstr>False</vt:lpwstr>
  </property>
  <property fmtid="{D5CDD505-2E9C-101B-9397-08002B2CF9AE}" pid="42" name="suppress-author-note">
    <vt:lpwstr>False</vt:lpwstr>
  </property>
  <property fmtid="{D5CDD505-2E9C-101B-9397-08002B2CF9AE}" pid="43" name="suppress-corresponding-address">
    <vt:lpwstr>False</vt:lpwstr>
  </property>
  <property fmtid="{D5CDD505-2E9C-101B-9397-08002B2CF9AE}" pid="44" name="suppress-corresponding-affiliation-name">
    <vt:lpwstr>False</vt:lpwstr>
  </property>
  <property fmtid="{D5CDD505-2E9C-101B-9397-08002B2CF9AE}" pid="45" name="suppress-corresponding-city">
    <vt:lpwstr>False</vt:lpwstr>
  </property>
  <property fmtid="{D5CDD505-2E9C-101B-9397-08002B2CF9AE}" pid="46" name="suppress-corresponding-department">
    <vt:lpwstr>False</vt:lpwstr>
  </property>
  <property fmtid="{D5CDD505-2E9C-101B-9397-08002B2CF9AE}" pid="47" name="suppress-corresponding-email">
    <vt:lpwstr>False</vt:lpwstr>
  </property>
  <property fmtid="{D5CDD505-2E9C-101B-9397-08002B2CF9AE}" pid="48" name="suppress-corresponding-group">
    <vt:lpwstr>False</vt:lpwstr>
  </property>
  <property fmtid="{D5CDD505-2E9C-101B-9397-08002B2CF9AE}" pid="49" name="suppress-corresponding-paragraph">
    <vt:lpwstr>False</vt:lpwstr>
  </property>
  <property fmtid="{D5CDD505-2E9C-101B-9397-08002B2CF9AE}" pid="50" name="suppress-corresponding-postal-code">
    <vt:lpwstr>False</vt:lpwstr>
  </property>
  <property fmtid="{D5CDD505-2E9C-101B-9397-08002B2CF9AE}" pid="51" name="suppress-corresponding-region">
    <vt:lpwstr>False</vt:lpwstr>
  </property>
  <property fmtid="{D5CDD505-2E9C-101B-9397-08002B2CF9AE}" pid="52" name="suppress-credit-statement">
    <vt:lpwstr>False</vt:lpwstr>
  </property>
  <property fmtid="{D5CDD505-2E9C-101B-9397-08002B2CF9AE}" pid="53" name="suppress-disclosures-paragraph">
    <vt:lpwstr>False</vt:lpwstr>
  </property>
  <property fmtid="{D5CDD505-2E9C-101B-9397-08002B2CF9AE}" pid="54" name="suppress-impact-statement">
    <vt:lpwstr>False</vt:lpwstr>
  </property>
  <property fmtid="{D5CDD505-2E9C-101B-9397-08002B2CF9AE}" pid="55" name="suppress-keywords">
    <vt:lpwstr>False</vt:lpwstr>
  </property>
  <property fmtid="{D5CDD505-2E9C-101B-9397-08002B2CF9AE}" pid="56" name="suppress-orcid">
    <vt:lpwstr>False</vt:lpwstr>
  </property>
  <property fmtid="{D5CDD505-2E9C-101B-9397-08002B2CF9AE}" pid="57" name="suppress-short-title">
    <vt:lpwstr>False</vt:lpwstr>
  </property>
  <property fmtid="{D5CDD505-2E9C-101B-9397-08002B2CF9AE}" pid="58" name="suppress-status-change-paragraph">
    <vt:lpwstr>False</vt:lpwstr>
  </property>
  <property fmtid="{D5CDD505-2E9C-101B-9397-08002B2CF9AE}" pid="59" name="suppress-title">
    <vt:lpwstr>False</vt:lpwstr>
  </property>
  <property fmtid="{D5CDD505-2E9C-101B-9397-08002B2CF9AE}" pid="60" name="suppress-title-introduction">
    <vt:lpwstr>False</vt:lpwstr>
  </property>
  <property fmtid="{D5CDD505-2E9C-101B-9397-08002B2CF9AE}" pid="61" name="suppress-title-page">
    <vt:lpwstr>False</vt:lpwstr>
  </property>
  <property fmtid="{D5CDD505-2E9C-101B-9397-08002B2CF9AE}" pid="62" name="suppress-title-page-number">
    <vt:lpwstr>False</vt:lpwstr>
  </property>
  <property fmtid="{D5CDD505-2E9C-101B-9397-08002B2CF9AE}" pid="63" name="tbl-cap-location">
    <vt:lpwstr>top</vt:lpwstr>
  </property>
  <property fmtid="{D5CDD505-2E9C-101B-9397-08002B2CF9AE}" pid="64" name="toc-title">
    <vt:lpwstr>Table of contents</vt:lpwstr>
  </property>
  <property fmtid="{D5CDD505-2E9C-101B-9397-08002B2CF9AE}" pid="65" name="word-count">
    <vt:lpwstr>True</vt:lpwstr>
  </property>
  <property fmtid="{D5CDD505-2E9C-101B-9397-08002B2CF9AE}" pid="66" name="wordn">
    <vt:lpwstr>6499</vt:lpwstr>
  </property>
  <property fmtid="{D5CDD505-2E9C-101B-9397-08002B2CF9AE}" pid="67" name="zerocitations">
    <vt:lpwstr>False</vt:lpwstr>
  </property>
</Properties>
</file>