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61.png" ContentType="image/png"/>
  <Override PartName="/word/media/rId39.png" ContentType="image/png"/>
  <Override PartName="/word/media/rId43.png" ContentType="image/png"/>
  <Override PartName="/word/media/rId31.png" ContentType="image/png"/>
  <Override PartName="/word/media/rId35.png" ContentType="image/png"/>
  <Override PartName="/word/media/rId74.png" ContentType="image/png"/>
  <Override PartName="/word/media/rId70.png" ContentType="image/png"/>
  <Override PartName="/word/media/rId66.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pPr>
        <w:pStyle w:val="Author"/>
      </w:pPr>
      <w:r>
        <w:t xml:space="preserve"> </w:t>
      </w:r>
    </w:p>
    <w:p>
      <w:pPr>
        <w:pStyle w:val="Author"/>
      </w:pPr>
      <w:r>
        <w:t xml:space="preserve">Jan Pfänder</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Correspondence concerning this article should be addressed to Jan Pfänder</w:t>
      </w:r>
    </w:p>
    <w:p>
      <w:r>
        <w:br w:type="page"/>
      </w:r>
    </w:p>
    <w:bookmarkEnd w:id="21"/>
    <w:bookmarkStart w:id="22" w:name="abstract"/>
    <w:p>
      <w:pPr>
        <w:pStyle w:val="Heading1"/>
      </w:pPr>
      <w:r>
        <w:t xml:space="preserve">Abstract</w:t>
      </w:r>
    </w:p>
    <w:p>
      <w:pPr>
        <w:pStyle w:val="AbstractFirstParagraph"/>
      </w:pPr>
      <w:r>
        <w:t xml:space="preserve">This report analyses surveys for four different cohorts of Cité-Unis volunteers who did their service civique (2020-2024).</w:t>
      </w:r>
    </w:p>
    <w:p>
      <w:r>
        <w:br w:type="page"/>
      </w:r>
    </w:p>
    <w:bookmarkEnd w:id="22"/>
    <w:bookmarkStart w:id="23" w:name="firstheader"/>
    <w:p>
      <w:pPr>
        <w:pStyle w:val="Heading1"/>
      </w:pPr>
      <w:r>
        <w:t xml:space="preserve">Volunteer Report Cité-Unis</w:t>
      </w:r>
    </w:p>
    <w:p>
      <w:pPr>
        <w:pStyle w:val="FirstParagraph"/>
      </w:pPr>
      <w:r>
        <w:t xml:space="preserve">In this report, we evaluate three main questions regarding young vounteers who do there service civique in France:</w:t>
      </w:r>
    </w:p>
    <w:p>
      <w:pPr>
        <w:pStyle w:val="Compact"/>
        <w:numPr>
          <w:ilvl w:val="0"/>
          <w:numId w:val="1001"/>
        </w:numPr>
      </w:pPr>
      <w:r>
        <w:t xml:space="preserve">Who are the volunteers? (</w:t>
      </w:r>
      <w:hyperlink w:anchor="sec-who">
        <w:r>
          <w:rPr>
            <w:rStyle w:val="Hyperlink"/>
          </w:rPr>
          <w:t xml:space="preserve">Section 1</w:t>
        </w:r>
      </w:hyperlink>
      <w:r>
        <w:t xml:space="preserve">)</w:t>
      </w:r>
    </w:p>
    <w:p>
      <w:pPr>
        <w:pStyle w:val="Compact"/>
        <w:numPr>
          <w:ilvl w:val="0"/>
          <w:numId w:val="1001"/>
        </w:numPr>
      </w:pPr>
      <w:r>
        <w:t xml:space="preserve">How does the service civique change their attitudes and views? (</w:t>
      </w:r>
      <w:hyperlink w:anchor="sec-within-change">
        <w:r>
          <w:rPr>
            <w:rStyle w:val="Hyperlink"/>
          </w:rPr>
          <w:t xml:space="preserve">Section 2</w:t>
        </w:r>
      </w:hyperlink>
      <w:r>
        <w:t xml:space="preserve">)</w:t>
      </w:r>
    </w:p>
    <w:p>
      <w:pPr>
        <w:pStyle w:val="Compact"/>
        <w:numPr>
          <w:ilvl w:val="0"/>
          <w:numId w:val="1001"/>
        </w:numPr>
      </w:pPr>
      <w:r>
        <w:t xml:space="preserve">Are there trends between different cohorts of volunteers? (</w:t>
      </w:r>
      <w:hyperlink w:anchor="sec-between-change">
        <w:r>
          <w:rPr>
            <w:rStyle w:val="Hyperlink"/>
          </w:rPr>
          <w:t xml:space="preserve">Section 3</w:t>
        </w:r>
      </w:hyperlink>
      <w:r>
        <w:t xml:space="preserve">)</w:t>
      </w:r>
    </w:p>
    <w:p>
      <w:pPr>
        <w:pStyle w:val="FirstParagraph"/>
      </w:pPr>
      <w:r>
        <w:t xml:space="preserve">We rely on questionnaires collected by Cité-Unis for four different cohorts of volunteers who did their service civique for a year (2020-2024). These questionnaires are very extensive. For the present analyses, we selected a subset of key questions (a full list can be found</w:t>
      </w:r>
      <w:r>
        <w:t xml:space="preserve"> </w:t>
      </w:r>
      <w:r>
        <w:rPr>
          <w:b/>
          <w:bCs/>
        </w:rPr>
        <w:t xml:space="preserve">?@tbl-codebook</w:t>
      </w:r>
      <w:r>
        <w:t xml:space="preserve">). Note that this selection of variables was based only on the questionnaire of the first cohort (2020/21). As a result, potentially interesting variables that only appear in later questionnaires will not appear here.</w:t>
      </w:r>
    </w:p>
    <w:bookmarkEnd w:id="23"/>
    <w:bookmarkStart w:id="24" w:name="sec-who"/>
    <w:p>
      <w:pPr>
        <w:pStyle w:val="Heading1"/>
      </w:pPr>
      <w:r>
        <w:t xml:space="preserve">Who are the volunteers ?</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r>
        <w:rPr>
          <w:b/>
          <w:bCs/>
        </w:rPr>
        <w:t xml:space="preserve">?@tbl-trend-departements</w:t>
      </w:r>
      <w:r>
        <w:t xml:space="preserve">.</w:t>
      </w:r>
    </w:p>
    <w:p>
      <w:pPr>
        <w:pStyle w:val="BodyText"/>
      </w:pPr>
      <w:r>
        <w:t xml:space="preserve">A summary of several other sample demographics across the different cohorts can be found in</w:t>
      </w:r>
      <w:r>
        <w:t xml:space="preserve"> </w:t>
      </w:r>
      <w:r>
        <w:rPr>
          <w:b/>
          <w:bCs/>
        </w:rPr>
        <w:t xml:space="preserve">?@tbl-demographics</w:t>
      </w:r>
      <w:r>
        <w:t xml:space="preserve">.</w:t>
      </w:r>
    </w:p>
    <w:bookmarkEnd w:id="24"/>
    <w:bookmarkStart w:id="25" w:name="sec-within-change"/>
    <w:p>
      <w:pPr>
        <w:pStyle w:val="Heading1"/>
      </w:pPr>
      <w:r>
        <w:t xml:space="preserve">How have volunteers changed their attitudes?</w:t>
      </w:r>
    </w:p>
    <w:p>
      <w:pPr>
        <w:pStyle w:val="FirstParagraph"/>
      </w:pPr>
      <w:r>
        <w:t xml:space="preserve">First, this analysis is restricted by attrition, i.e. volunteers dropping out of the surveys over time (see</w:t>
      </w:r>
      <w:r>
        <w:t xml:space="preserve"> </w:t>
      </w:r>
      <w:hyperlink w:anchor="fig-attrition">
        <w:r>
          <w:rPr>
            <w:rStyle w:val="Hyperlink"/>
          </w:rPr>
          <w:t xml:space="preserve">Figure 3</w:t>
        </w:r>
      </w:hyperlink>
      <w:r>
        <w:t xml:space="preserve">). Second, there are only two questions that volunteers of the same promo have been asked at different time points (</w:t>
      </w:r>
      <w:r>
        <w:rPr>
          <w:b/>
          <w:bCs/>
        </w:rPr>
        <w:t xml:space="preserve">?@tbl-within-variables</w:t>
      </w:r>
      <w:r>
        <w:t xml:space="preserve">).</w:t>
      </w:r>
      <w:r>
        <w:t xml:space="preserve"> </w:t>
      </w:r>
      <w:hyperlink w:anchor="fig-vote_derniers_elections">
        <w:r>
          <w:rPr>
            <w:rStyle w:val="Hyperlink"/>
          </w:rPr>
          <w:t xml:space="preserve">Figure 4</w:t>
        </w:r>
      </w:hyperlink>
      <w:r>
        <w:t xml:space="preserve"> </w:t>
      </w:r>
      <w:r>
        <w:t xml:space="preserve">shows all volunteers who answered at both time points (q1 and q2), with either</w:t>
      </w:r>
      <w:r>
        <w:t xml:space="preserve"> </w:t>
      </w:r>
      <w:r>
        <w:t xml:space="preserve">“yes”</w:t>
      </w:r>
      <w:r>
        <w:t xml:space="preserve"> </w:t>
      </w:r>
      <w:r>
        <w:t xml:space="preserve">or</w:t>
      </w:r>
      <w:r>
        <w:t xml:space="preserve"> </w:t>
      </w:r>
      <w:r>
        <w:t xml:space="preserve">“no”</w:t>
      </w:r>
      <w:r>
        <w:t xml:space="preserve">. This descriptive analysis suggests that the service civique did not have an impact on voting behavior, on average. However, this analysis is pooled across different cohorts, not all of which would have had the chance to change their voting behavior during their year volunteering, simply because there were no elections.</w:t>
      </w:r>
      <w:r>
        <w:t xml:space="preserve"> </w:t>
      </w:r>
      <w:hyperlink w:anchor="fig-action_individuelle_societe">
        <w:r>
          <w:rPr>
            <w:rStyle w:val="Hyperlink"/>
          </w:rPr>
          <w:t xml:space="preserve">Figure 5</w:t>
        </w:r>
      </w:hyperlink>
      <w:r>
        <w:t xml:space="preserve"> </w:t>
      </w:r>
      <w:r>
        <w:t xml:space="preserve">shows changes in volunteers perception on whether their individual action can contribute to changing society. Descriptively, there is no clear positive or negative trend either.</w:t>
      </w:r>
    </w:p>
    <w:bookmarkEnd w:id="25"/>
    <w:bookmarkStart w:id="26" w:name="sec-between-change"/>
    <w:p>
      <w:pPr>
        <w:pStyle w:val="Heading1"/>
      </w:pPr>
      <w:r>
        <w:t xml:space="preserve">Are there trends between different cohorts of volunteers?</w:t>
      </w:r>
    </w:p>
    <w:p>
      <w:pPr>
        <w:pStyle w:val="FirstParagraph"/>
      </w:pPr>
      <w:r>
        <w:t xml:space="preserve">There are many possible variables to look at regarding between-cohort differences. As an example,</w:t>
      </w:r>
      <w:r>
        <w:t xml:space="preserve"> </w:t>
      </w:r>
      <w:hyperlink w:anchor="fig-satisfaction">
        <w:r>
          <w:rPr>
            <w:rStyle w:val="Hyperlink"/>
          </w:rPr>
          <w:t xml:space="preserve">Figure 6</w:t>
        </w:r>
      </w:hyperlink>
      <w:r>
        <w:t xml:space="preserve"> </w:t>
      </w:r>
      <w:r>
        <w:t xml:space="preserve">shows how different cohorts evaluated their satisfaction with the service civique.</w:t>
      </w:r>
    </w:p>
    <w:bookmarkEnd w:id="26"/>
    <w:bookmarkStart w:id="79" w:name="sec-rupture"/>
    <w:p>
      <w:pPr>
        <w:pStyle w:val="Heading1"/>
      </w:pPr>
      <w:r>
        <w:t xml:space="preserve">Who are the volunteers ending a contract early (rupture)?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There are various motives for ending one’s contract early (see</w:t>
      </w:r>
      <w:r>
        <w:t xml:space="preserve"> </w:t>
      </w:r>
      <w:hyperlink w:anchor="tbl-rupture">
        <w:r>
          <w:rPr>
            <w:rStyle w:val="Hyperlink"/>
          </w:rPr>
          <w:t xml:space="preserve">Table 1</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 For our analyses, we focus only on volunteers who ended their contract early for apparently negative reasons.</w:t>
      </w:r>
    </w:p>
    <w:p>
      <w:pPr>
        <w:pStyle w:val="BodyText"/>
      </w:pPr>
      <w:r>
        <w:t xml:space="preserve">To see whether there are differences in different groups, we ran separate logistic regressions for a selection of variables. The results are shown in</w:t>
      </w:r>
      <w:r>
        <w:t xml:space="preserve"> </w:t>
      </w:r>
      <w:hyperlink w:anchor="fig-rupture-model">
        <w:r>
          <w:rPr>
            <w:rStyle w:val="Hyperlink"/>
          </w:rPr>
          <w:t xml:space="preserve">Figure 7</w:t>
        </w:r>
      </w:hyperlink>
      <w:r>
        <w:t xml:space="preserve">. Because the magnitude of the odds ratios (OR) are not straightforward to interpret,</w:t>
      </w:r>
      <w:r>
        <w:t xml:space="preserve"> </w:t>
      </w:r>
      <w:hyperlink w:anchor="fig-rupture-descriptive">
        <w:r>
          <w:rPr>
            <w:rStyle w:val="Hyperlink"/>
          </w:rPr>
          <w:t xml:space="preserve">Figure 8</w:t>
        </w:r>
      </w:hyperlink>
      <w:r>
        <w:t xml:space="preserve"> </w:t>
      </w:r>
      <w:r>
        <w:t xml:space="preserve">shows descriptive differences in contract terminations for some groups.</w:t>
      </w:r>
    </w:p>
    <w:p>
      <w:pPr>
        <w:pStyle w:val="BodyText"/>
      </w:pPr>
      <w:r>
        <w:t xml:space="preserve">How to make sense of the odds ratios? Take the example of the type of volunteers (</w:t>
      </w:r>
      <w:r>
        <w:rPr>
          <w:rStyle w:val="VerbatimChar"/>
        </w:rPr>
        <w:t xml:space="preserve">type_volontaire</w:t>
      </w:r>
      <w:r>
        <w:t xml:space="preserve">).</w:t>
      </w:r>
      <w:r>
        <w:t xml:space="preserve"> </w:t>
      </w:r>
      <w:hyperlink w:anchor="tbl-OR-example">
        <w:r>
          <w:rPr>
            <w:rStyle w:val="Hyperlink"/>
          </w:rPr>
          <w:t xml:space="preserve">Table 2</w:t>
        </w:r>
      </w:hyperlink>
      <w:r>
        <w:t xml:space="preserve"> </w:t>
      </w:r>
      <w:r>
        <w:t xml:space="preserve">shows the count, odds and share for rupture vs. no rupture for a negative motive.</w:t>
      </w:r>
    </w:p>
    <w:p>
      <w:pPr>
        <w:pStyle w:val="BodyText"/>
      </w:pPr>
      <w:r>
        <w:t xml:space="preserve">In this case the OR is odds of</w:t>
      </w:r>
      <w:r>
        <w:t xml:space="preserve"> </w:t>
      </w:r>
      <w:r>
        <w:t xml:space="preserve">“CŒUR”</w:t>
      </w:r>
      <w:r>
        <w:t xml:space="preserve"> </w:t>
      </w:r>
      <w:r>
        <w:t xml:space="preserve">divided by odds of</w:t>
      </w:r>
      <w:r>
        <w:t xml:space="preserve"> </w:t>
      </w:r>
      <w:r>
        <w:t xml:space="preserve">“RELAIS”</w:t>
      </w:r>
      <w:r>
        <w:t xml:space="preserve"> </w:t>
      </w:r>
      <w:r>
        <w:t xml:space="preserve">(OR = 1.5114392).</w:t>
      </w:r>
    </w:p>
    <w:bookmarkStart w:id="78" w:name="how-about-non-demographic-variables"/>
    <w:p>
      <w:pPr>
        <w:pStyle w:val="Heading2"/>
      </w:pPr>
      <w:r>
        <w:t xml:space="preserve">How about non-demographic variables?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3</w:t>
        </w:r>
      </w:hyperlink>
      <w:r>
        <w:t xml:space="preserve">). Only for the two variables that have been asked at</w:t>
      </w:r>
      <w:r>
        <w:t xml:space="preserve"> </w:t>
      </w:r>
      <w:r>
        <w:t xml:space="preserve">“q1”</w:t>
      </w:r>
      <w:r>
        <w:t xml:space="preserve"> </w:t>
      </w:r>
      <w:r>
        <w:t xml:space="preserve">(</w:t>
      </w:r>
      <w:r>
        <w:rPr>
          <w:rStyle w:val="VerbatimChar"/>
        </w:rPr>
        <w:t xml:space="preserve">perception_avenir</w:t>
      </w:r>
      <w:r>
        <w:t xml:space="preserve"> </w:t>
      </w:r>
      <w:r>
        <w:t xml:space="preserve">and</w:t>
      </w:r>
      <w:r>
        <w:t xml:space="preserve"> </w:t>
      </w:r>
      <w:r>
        <w:rPr>
          <w:rStyle w:val="VerbatimChar"/>
        </w:rPr>
        <w:t xml:space="preserve">action_individuelle_societe</w:t>
      </w:r>
      <w:r>
        <w:t xml:space="preserve">) we can look at their relationship with rupture (</w:t>
      </w:r>
      <w:hyperlink w:anchor="fig-rupture-model">
        <w:r>
          <w:rPr>
            <w:rStyle w:val="Hyperlink"/>
          </w:rPr>
          <w:t xml:space="preserve">Figure 7</w:t>
        </w:r>
      </w:hyperlink>
      <w:r>
        <w:t xml:space="preserve">).</w:t>
      </w:r>
    </w:p>
    <w:p>
      <w:pPr>
        <w:pStyle w:val="BodyText"/>
      </w:pPr>
      <w:r>
        <w:t xml:space="preserve">However, for the two variables that have been asked at</w:t>
      </w:r>
      <w:r>
        <w:t xml:space="preserve"> </w:t>
      </w:r>
      <w:r>
        <w:t xml:space="preserve">“q1”</w:t>
      </w:r>
      <w:r>
        <w:t xml:space="preserve">,</w:t>
      </w:r>
      <w:r>
        <w:t xml:space="preserve"> </w:t>
      </w:r>
      <w:r>
        <w:rPr>
          <w:rStyle w:val="VerbatimChar"/>
        </w:rPr>
        <w:t xml:space="preserve">perception_avenir</w:t>
      </w:r>
      <w:r>
        <w:t xml:space="preserve"> </w:t>
      </w:r>
      <w:r>
        <w:t xml:space="preserve">and</w:t>
      </w:r>
      <w:r>
        <w:t xml:space="preserve"> </w:t>
      </w:r>
      <w:r>
        <w:rPr>
          <w:rStyle w:val="VerbatimChar"/>
        </w:rPr>
        <w:t xml:space="preserve">action_individuelle_societe</w:t>
      </w:r>
      <w:r>
        <w:t xml:space="preserve">.</w:t>
      </w:r>
    </w:p>
    <w:p>
      <w:pPr>
        <w:pStyle w:val="BodyText"/>
      </w:pPr>
      <w:r>
        <w:t xml:space="preserve">This suggests that volunteers who abandon either do so (i) before filling out the</w:t>
      </w:r>
      <w:r>
        <w:t xml:space="preserve"> </w:t>
      </w:r>
      <w:r>
        <w:t xml:space="preserve">“q1”</w:t>
      </w:r>
      <w:r>
        <w:t xml:space="preserve"> </w:t>
      </w:r>
      <w:r>
        <w:t xml:space="preserve">questionnaire, or already can’t be bothered filling out the questionnaire even while still enrolled in the program.</w:t>
      </w:r>
    </w:p>
    <w:bookmarkStart w:id="27" w:name="tbl-rupture"/>
    <w:p>
      <w:pPr>
        <w:pStyle w:val="FigureTitle"/>
      </w:pPr>
      <w:r>
        <w:t xml:space="preserve">Table 1</w:t>
      </w:r>
    </w:p>
    <w:p>
      <w:pPr>
        <w:pStyle w:val="Caption"/>
      </w:pPr>
      <w:r>
        <w:t xml:space="preserve">Different motives for</w:t>
      </w:r>
      <w:r>
        <w:t xml:space="preserve"> </w:t>
      </w:r>
      <w:r>
        <w:t xml:space="preserve">“rupture”</w:t>
      </w:r>
      <w:r>
        <w:t xml:space="preserve"> </w:t>
      </w:r>
      <w:r>
        <w:t xml:space="preserve">and whether they were coded as negative, positive, or external reasons.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motif_rupture</w:t>
            </w:r>
          </w:p>
        </w:tc>
        <w:tc>
          <w:tcPr/>
          <w:p>
            <w:pPr>
              <w:pStyle w:val="Compact"/>
              <w:jc w:val="left"/>
            </w:pPr>
            <w:r>
              <w:t xml:space="preserve">rupture_valence</w:t>
            </w:r>
          </w:p>
        </w:tc>
        <w:tc>
          <w:tcPr/>
          <w:p>
            <w:pPr>
              <w:pStyle w:val="Compact"/>
              <w:jc w:val="right"/>
            </w:pPr>
            <w:r>
              <w:t xml:space="preserve">n</w:t>
            </w:r>
          </w:p>
        </w:tc>
      </w:tr>
      <w:tr>
        <w:tc>
          <w:tcPr/>
          <w:p>
            <w:pPr>
              <w:pStyle w:val="Compact"/>
              <w:jc w:val="left"/>
            </w:pPr>
            <w:r>
              <w:t xml:space="preserve">01 - Abandon de poste</w:t>
            </w:r>
          </w:p>
        </w:tc>
        <w:tc>
          <w:tcPr/>
          <w:p>
            <w:pPr>
              <w:pStyle w:val="Compact"/>
              <w:jc w:val="left"/>
            </w:pPr>
            <w:r>
              <w:t xml:space="preserve">negative</w:t>
            </w:r>
          </w:p>
        </w:tc>
        <w:tc>
          <w:tcPr/>
          <w:p>
            <w:pPr>
              <w:pStyle w:val="Compact"/>
              <w:jc w:val="right"/>
            </w:pPr>
            <w:r>
              <w:t xml:space="preserve">1444</w:t>
            </w:r>
          </w:p>
        </w:tc>
      </w:tr>
      <w:tr>
        <w:tc>
          <w:tcPr/>
          <w:p>
            <w:pPr>
              <w:pStyle w:val="Compact"/>
              <w:jc w:val="left"/>
            </w:pPr>
            <w:r>
              <w:t xml:space="preserve">02 - Faute grave d'une des parties</w:t>
            </w:r>
          </w:p>
        </w:tc>
        <w:tc>
          <w:tcPr/>
          <w:p>
            <w:pPr>
              <w:pStyle w:val="Compact"/>
              <w:jc w:val="left"/>
            </w:pPr>
            <w:r>
              <w:t xml:space="preserve">negative</w:t>
            </w:r>
          </w:p>
        </w:tc>
        <w:tc>
          <w:tcPr/>
          <w:p>
            <w:pPr>
              <w:pStyle w:val="Compact"/>
              <w:jc w:val="right"/>
            </w:pPr>
            <w:r>
              <w:t xml:space="preserve">455</w:t>
            </w:r>
          </w:p>
        </w:tc>
      </w:tr>
      <w:tr>
        <w:tc>
          <w:tcPr/>
          <w:p>
            <w:pPr>
              <w:pStyle w:val="Compact"/>
              <w:jc w:val="left"/>
            </w:pPr>
            <w:r>
              <w:t xml:space="preserve">03 - Force majeure</w:t>
            </w:r>
          </w:p>
        </w:tc>
        <w:tc>
          <w:tcPr/>
          <w:p>
            <w:pPr>
              <w:pStyle w:val="Compact"/>
              <w:jc w:val="left"/>
            </w:pPr>
            <w:r>
              <w:t xml:space="preserve">raisons externes</w:t>
            </w:r>
          </w:p>
        </w:tc>
        <w:tc>
          <w:tcPr/>
          <w:p>
            <w:pPr>
              <w:pStyle w:val="Compact"/>
              <w:jc w:val="right"/>
            </w:pPr>
            <w:r>
              <w:t xml:space="preserve">280</w:t>
            </w:r>
          </w:p>
        </w:tc>
      </w:tr>
      <w:tr>
        <w:tc>
          <w:tcPr/>
          <w:p>
            <w:pPr>
              <w:pStyle w:val="Compact"/>
              <w:jc w:val="left"/>
            </w:pPr>
            <w:r>
              <w:t xml:space="preserve">04 - Embauche en CDD d'au moins 6 mois ou CDI</w:t>
            </w:r>
          </w:p>
        </w:tc>
        <w:tc>
          <w:tcPr/>
          <w:p>
            <w:pPr>
              <w:pStyle w:val="Compact"/>
              <w:jc w:val="left"/>
            </w:pPr>
            <w:r>
              <w:t xml:space="preserve">positive</w:t>
            </w:r>
          </w:p>
        </w:tc>
        <w:tc>
          <w:tcPr/>
          <w:p>
            <w:pPr>
              <w:pStyle w:val="Compact"/>
              <w:jc w:val="right"/>
            </w:pPr>
            <w:r>
              <w:t xml:space="preserve">621</w:t>
            </w:r>
          </w:p>
        </w:tc>
      </w:tr>
      <w:tr>
        <w:tc>
          <w:tcPr/>
          <w:p>
            <w:pPr>
              <w:pStyle w:val="Compact"/>
              <w:jc w:val="left"/>
            </w:pPr>
            <w:r>
              <w:t xml:space="preserve">05 - Embauche en CDD moins de 6 mois</w:t>
            </w:r>
          </w:p>
        </w:tc>
        <w:tc>
          <w:tcPr/>
          <w:p>
            <w:pPr>
              <w:pStyle w:val="Compact"/>
              <w:jc w:val="left"/>
            </w:pPr>
            <w:r>
              <w:t xml:space="preserve">positive</w:t>
            </w:r>
          </w:p>
        </w:tc>
        <w:tc>
          <w:tcPr/>
          <w:p>
            <w:pPr>
              <w:pStyle w:val="Compact"/>
              <w:jc w:val="right"/>
            </w:pPr>
            <w:r>
              <w:t xml:space="preserve">383</w:t>
            </w:r>
          </w:p>
        </w:tc>
      </w:tr>
      <w:tr>
        <w:tc>
          <w:tcPr/>
          <w:p>
            <w:pPr>
              <w:pStyle w:val="Compact"/>
              <w:jc w:val="left"/>
            </w:pPr>
            <w:r>
              <w:t xml:space="preserve">06 - Commun accord entre les parties</w:t>
            </w:r>
          </w:p>
        </w:tc>
        <w:tc>
          <w:tcPr/>
          <w:p>
            <w:pPr>
              <w:pStyle w:val="Compact"/>
              <w:jc w:val="left"/>
            </w:pPr>
            <w:r>
              <w:t xml:space="preserve">negative</w:t>
            </w:r>
          </w:p>
        </w:tc>
        <w:tc>
          <w:tcPr/>
          <w:p>
            <w:pPr>
              <w:pStyle w:val="Compact"/>
              <w:jc w:val="right"/>
            </w:pPr>
            <w:r>
              <w:t xml:space="preserve">2761</w:t>
            </w:r>
          </w:p>
        </w:tc>
      </w:tr>
      <w:tr>
        <w:tc>
          <w:tcPr/>
          <w:p>
            <w:pPr>
              <w:pStyle w:val="Compact"/>
              <w:jc w:val="left"/>
            </w:pPr>
            <w:r>
              <w:t xml:space="preserve">07 - Le volontaire n'a jamais pris son poste</w:t>
            </w:r>
          </w:p>
        </w:tc>
        <w:tc>
          <w:tcPr/>
          <w:p>
            <w:pPr>
              <w:pStyle w:val="Compact"/>
              <w:jc w:val="left"/>
            </w:pPr>
            <w:r>
              <w:t xml:space="preserve">negative</w:t>
            </w:r>
          </w:p>
        </w:tc>
        <w:tc>
          <w:tcPr/>
          <w:p>
            <w:pPr>
              <w:pStyle w:val="Compact"/>
              <w:jc w:val="right"/>
            </w:pPr>
            <w:r>
              <w:t xml:space="preserve">13</w:t>
            </w:r>
          </w:p>
        </w:tc>
      </w:tr>
      <w:tr>
        <w:tc>
          <w:tcPr/>
          <w:p>
            <w:pPr>
              <w:pStyle w:val="Compact"/>
              <w:jc w:val="left"/>
            </w:pPr>
            <w:r>
              <w:t xml:space="preserve">08 - Retrait de l'agrément de la structure d'accueil</w:t>
            </w:r>
          </w:p>
        </w:tc>
        <w:tc>
          <w:tcPr/>
          <w:p>
            <w:pPr>
              <w:pStyle w:val="Compact"/>
              <w:jc w:val="left"/>
            </w:pPr>
            <w:r>
              <w:t xml:space="preserve">negative</w:t>
            </w:r>
          </w:p>
        </w:tc>
        <w:tc>
          <w:tcPr/>
          <w:p>
            <w:pPr>
              <w:pStyle w:val="Compact"/>
              <w:jc w:val="right"/>
            </w:pPr>
            <w:r>
              <w:t xml:space="preserve">3</w:t>
            </w:r>
          </w:p>
        </w:tc>
      </w:tr>
      <w:tr>
        <w:tc>
          <w:tcPr/>
          <w:p>
            <w:pPr>
              <w:pStyle w:val="Compact"/>
              <w:jc w:val="left"/>
            </w:pPr>
            <w:r>
              <w:t xml:space="preserve">09 - Reprise d'études</w:t>
            </w:r>
          </w:p>
        </w:tc>
        <w:tc>
          <w:tcPr/>
          <w:p>
            <w:pPr>
              <w:pStyle w:val="Compact"/>
              <w:jc w:val="left"/>
            </w:pPr>
            <w:r>
              <w:t xml:space="preserve">negative</w:t>
            </w:r>
          </w:p>
        </w:tc>
        <w:tc>
          <w:tcPr/>
          <w:p>
            <w:pPr>
              <w:pStyle w:val="Compact"/>
              <w:jc w:val="right"/>
            </w:pPr>
            <w:r>
              <w:t xml:space="preserve">412</w:t>
            </w:r>
          </w:p>
        </w:tc>
      </w:tr>
      <w:tr>
        <w:tc>
          <w:tcPr/>
          <w:p>
            <w:pPr>
              <w:pStyle w:val="Compact"/>
              <w:jc w:val="left"/>
            </w:pPr>
            <w:r>
              <w:t xml:space="preserve">10 - Fin de validité du Titre de Séjour</w:t>
            </w:r>
          </w:p>
        </w:tc>
        <w:tc>
          <w:tcPr/>
          <w:p>
            <w:pPr>
              <w:pStyle w:val="Compact"/>
              <w:jc w:val="left"/>
            </w:pPr>
            <w:r>
              <w:t xml:space="preserve">raisons externes</w:t>
            </w:r>
          </w:p>
        </w:tc>
        <w:tc>
          <w:tcPr/>
          <w:p>
            <w:pPr>
              <w:pStyle w:val="Compact"/>
              <w:jc w:val="right"/>
            </w:pPr>
            <w:r>
              <w:t xml:space="preserve">39</w:t>
            </w:r>
          </w:p>
        </w:tc>
      </w:tr>
      <w:tr>
        <w:tc>
          <w:tcPr/>
          <w:p>
            <w:pPr>
              <w:pStyle w:val="Compact"/>
              <w:jc w:val="left"/>
            </w:pPr>
            <w:r>
              <w:t xml:space="preserve">NA</w:t>
            </w:r>
          </w:p>
        </w:tc>
        <w:tc>
          <w:tcPr/>
          <w:p>
            <w:pPr>
              <w:pStyle w:val="Compact"/>
              <w:jc w:val="left"/>
            </w:pPr>
            <w:r>
              <w:t xml:space="preserve">NA</w:t>
            </w:r>
          </w:p>
        </w:tc>
        <w:tc>
          <w:tcPr/>
          <w:p>
            <w:pPr>
              <w:pStyle w:val="Compact"/>
              <w:jc w:val="right"/>
            </w:pPr>
            <w:r>
              <w:t xml:space="preserve">21549</w:t>
            </w:r>
          </w:p>
        </w:tc>
      </w:tr>
    </w:tbl>
    <w:bookmarkEnd w:id="27"/>
    <w:p>
      <w:r>
        <w:br w:type="page"/>
      </w:r>
    </w:p>
    <w:bookmarkStart w:id="28" w:name="tbl-OR-example"/>
    <w:p>
      <w:pPr>
        <w:pStyle w:val="FigureTitle"/>
      </w:pPr>
      <w:r>
        <w:t xml:space="preserve">Table 2</w:t>
      </w:r>
    </w:p>
    <w:p>
      <w:pPr>
        <w:pStyle w:val="Caption"/>
      </w:pPr>
      <w:r>
        <w:t xml:space="preserve">Count, odds and share for rupture vs. no rupture for a negative motive, according to which type of volunteer.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type_volontaire</w:t>
            </w:r>
          </w:p>
        </w:tc>
        <w:tc>
          <w:tcPr/>
          <w:p>
            <w:pPr>
              <w:pStyle w:val="Compact"/>
              <w:jc w:val="right"/>
            </w:pPr>
            <w:r>
              <w:t xml:space="preserve">pas de rupture negative</w:t>
            </w:r>
          </w:p>
        </w:tc>
        <w:tc>
          <w:tcPr/>
          <w:p>
            <w:pPr>
              <w:pStyle w:val="Compact"/>
              <w:jc w:val="right"/>
            </w:pPr>
            <w:r>
              <w:t xml:space="preserve">rupture negative</w:t>
            </w:r>
          </w:p>
        </w:tc>
        <w:tc>
          <w:tcPr/>
          <w:p>
            <w:pPr>
              <w:pStyle w:val="Compact"/>
              <w:jc w:val="right"/>
            </w:pPr>
            <w:r>
              <w:t xml:space="preserve">odds</w:t>
            </w:r>
          </w:p>
        </w:tc>
        <w:tc>
          <w:tcPr/>
          <w:p>
            <w:pPr>
              <w:pStyle w:val="Compact"/>
              <w:jc w:val="right"/>
            </w:pPr>
            <w:r>
              <w:t xml:space="preserve">share</w:t>
            </w:r>
          </w:p>
        </w:tc>
      </w:tr>
      <w:tr>
        <w:tc>
          <w:tcPr/>
          <w:p>
            <w:pPr>
              <w:pStyle w:val="Compact"/>
              <w:jc w:val="left"/>
            </w:pPr>
            <w:r>
              <w:t xml:space="preserve">CŒUR</w:t>
            </w:r>
          </w:p>
        </w:tc>
        <w:tc>
          <w:tcPr/>
          <w:p>
            <w:pPr>
              <w:pStyle w:val="Compact"/>
              <w:jc w:val="right"/>
            </w:pPr>
            <w:r>
              <w:t xml:space="preserve">19931</w:t>
            </w:r>
          </w:p>
        </w:tc>
        <w:tc>
          <w:tcPr/>
          <w:p>
            <w:pPr>
              <w:pStyle w:val="Compact"/>
              <w:jc w:val="right"/>
            </w:pPr>
            <w:r>
              <w:t xml:space="preserve">877</w:t>
            </w:r>
          </w:p>
        </w:tc>
        <w:tc>
          <w:tcPr/>
          <w:p>
            <w:pPr>
              <w:pStyle w:val="Compact"/>
              <w:jc w:val="right"/>
            </w:pPr>
            <w:r>
              <w:t xml:space="preserve">22.726</w:t>
            </w:r>
          </w:p>
        </w:tc>
        <w:tc>
          <w:tcPr/>
          <w:p>
            <w:pPr>
              <w:pStyle w:val="Compact"/>
              <w:jc w:val="right"/>
            </w:pPr>
            <w:r>
              <w:t xml:space="preserve">0.042</w:t>
            </w:r>
          </w:p>
        </w:tc>
      </w:tr>
      <w:tr>
        <w:tc>
          <w:tcPr/>
          <w:p>
            <w:pPr>
              <w:pStyle w:val="Compact"/>
              <w:jc w:val="left"/>
            </w:pPr>
            <w:r>
              <w:t xml:space="preserve">RELAIS</w:t>
            </w:r>
          </w:p>
        </w:tc>
        <w:tc>
          <w:tcPr/>
          <w:p>
            <w:pPr>
              <w:pStyle w:val="Compact"/>
              <w:jc w:val="right"/>
            </w:pPr>
            <w:r>
              <w:t xml:space="preserve">6706</w:t>
            </w:r>
          </w:p>
        </w:tc>
        <w:tc>
          <w:tcPr/>
          <w:p>
            <w:pPr>
              <w:pStyle w:val="Compact"/>
              <w:jc w:val="right"/>
            </w:pPr>
            <w:r>
              <w:t xml:space="preserve">446</w:t>
            </w:r>
          </w:p>
        </w:tc>
        <w:tc>
          <w:tcPr/>
          <w:p>
            <w:pPr>
              <w:pStyle w:val="Compact"/>
              <w:jc w:val="right"/>
            </w:pPr>
            <w:r>
              <w:t xml:space="preserve">15.036</w:t>
            </w:r>
          </w:p>
        </w:tc>
        <w:tc>
          <w:tcPr/>
          <w:p>
            <w:pPr>
              <w:pStyle w:val="Compact"/>
              <w:jc w:val="right"/>
            </w:pPr>
            <w:r>
              <w:t xml:space="preserve">0.062</w:t>
            </w:r>
          </w:p>
        </w:tc>
      </w:tr>
    </w:tbl>
    <w:bookmarkEnd w:id="28"/>
    <w:p>
      <w:r>
        <w:br w:type="page"/>
      </w:r>
    </w:p>
    <w:bookmarkStart w:id="29" w:name="tbl-rupture-candidates"/>
    <w:p>
      <w:pPr>
        <w:pStyle w:val="FigureTitle"/>
      </w:pPr>
      <w:r>
        <w:t xml:space="preserve">Table 3</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29"/>
    <w:p>
      <w:r>
        <w:br w:type="page"/>
      </w:r>
    </w:p>
    <w:bookmarkStart w:id="30" w:name="tbl-rupture-perception_avenir"/>
    <w:p>
      <w:pPr>
        <w:pStyle w:val="FigureTitle"/>
      </w:pPr>
      <w:r>
        <w:t xml:space="preserve">Table 4</w:t>
      </w:r>
    </w:p>
    <w:p>
      <w:pPr>
        <w:pStyle w:val="Caption"/>
      </w:pPr>
      <w:r>
        <w:t xml:space="preserve">Occurences of negative rupture, depending on perceptions of one’s future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perception_avenir</w:t>
            </w:r>
          </w:p>
        </w:tc>
        <w:tc>
          <w:tcPr/>
          <w:p>
            <w:pPr>
              <w:pStyle w:val="Compact"/>
              <w:jc w:val="left"/>
            </w:pPr>
            <w:r>
              <w:t xml:space="preserve">rupture_negative</w:t>
            </w:r>
          </w:p>
        </w:tc>
        <w:tc>
          <w:tcPr/>
          <w:p>
            <w:pPr>
              <w:pStyle w:val="Compact"/>
              <w:jc w:val="right"/>
            </w:pPr>
            <w:r>
              <w:t xml:space="preserve">n</w:t>
            </w:r>
          </w:p>
        </w:tc>
      </w:tr>
      <w:tr>
        <w:tc>
          <w:tcPr/>
          <w:p>
            <w:pPr>
              <w:pStyle w:val="Compact"/>
              <w:jc w:val="left"/>
            </w:pPr>
            <w:r>
              <w:t xml:space="preserve">Assez confiant(e)</w:t>
            </w:r>
          </w:p>
        </w:tc>
        <w:tc>
          <w:tcPr/>
          <w:p>
            <w:pPr>
              <w:pStyle w:val="Compact"/>
              <w:jc w:val="left"/>
            </w:pPr>
            <w:r>
              <w:t xml:space="preserve">pas de rupture negative</w:t>
            </w:r>
          </w:p>
        </w:tc>
        <w:tc>
          <w:tcPr/>
          <w:p>
            <w:pPr>
              <w:pStyle w:val="Compact"/>
              <w:jc w:val="right"/>
            </w:pPr>
            <w:r>
              <w:t xml:space="preserve">9433</w:t>
            </w:r>
          </w:p>
        </w:tc>
      </w:tr>
      <w:tr>
        <w:tc>
          <w:tcPr/>
          <w:p>
            <w:pPr>
              <w:pStyle w:val="Compact"/>
              <w:jc w:val="left"/>
            </w:pPr>
            <w:r>
              <w:t xml:space="preserve">Assez confiant(e)</w:t>
            </w:r>
          </w:p>
        </w:tc>
        <w:tc>
          <w:tcPr/>
          <w:p>
            <w:pPr>
              <w:pStyle w:val="Compact"/>
              <w:jc w:val="left"/>
            </w:pPr>
            <w:r>
              <w:t xml:space="preserve">rupture negative</w:t>
            </w:r>
          </w:p>
        </w:tc>
        <w:tc>
          <w:tcPr/>
          <w:p>
            <w:pPr>
              <w:pStyle w:val="Compact"/>
              <w:jc w:val="right"/>
            </w:pPr>
            <w:r>
              <w:t xml:space="preserve">400</w:t>
            </w:r>
          </w:p>
        </w:tc>
      </w:tr>
      <w:tr>
        <w:tc>
          <w:tcPr/>
          <w:p>
            <w:pPr>
              <w:pStyle w:val="Compact"/>
              <w:jc w:val="left"/>
            </w:pPr>
            <w:r>
              <w:t xml:space="preserve">Pas du tout confiant(e)</w:t>
            </w:r>
          </w:p>
        </w:tc>
        <w:tc>
          <w:tcPr/>
          <w:p>
            <w:pPr>
              <w:pStyle w:val="Compact"/>
              <w:jc w:val="left"/>
            </w:pPr>
            <w:r>
              <w:t xml:space="preserve">pas de rupture negative</w:t>
            </w:r>
          </w:p>
        </w:tc>
        <w:tc>
          <w:tcPr/>
          <w:p>
            <w:pPr>
              <w:pStyle w:val="Compact"/>
              <w:jc w:val="right"/>
            </w:pPr>
            <w:r>
              <w:t xml:space="preserve">1135</w:t>
            </w:r>
          </w:p>
        </w:tc>
      </w:tr>
      <w:tr>
        <w:tc>
          <w:tcPr/>
          <w:p>
            <w:pPr>
              <w:pStyle w:val="Compact"/>
              <w:jc w:val="left"/>
            </w:pPr>
            <w:r>
              <w:t xml:space="preserve">Pas du tout confiant(e)</w:t>
            </w:r>
          </w:p>
        </w:tc>
        <w:tc>
          <w:tcPr/>
          <w:p>
            <w:pPr>
              <w:pStyle w:val="Compact"/>
              <w:jc w:val="left"/>
            </w:pPr>
            <w:r>
              <w:t xml:space="preserve">rupture negative</w:t>
            </w:r>
          </w:p>
        </w:tc>
        <w:tc>
          <w:tcPr/>
          <w:p>
            <w:pPr>
              <w:pStyle w:val="Compact"/>
              <w:jc w:val="right"/>
            </w:pPr>
            <w:r>
              <w:t xml:space="preserve">45</w:t>
            </w:r>
          </w:p>
        </w:tc>
      </w:tr>
      <w:tr>
        <w:tc>
          <w:tcPr/>
          <w:p>
            <w:pPr>
              <w:pStyle w:val="Compact"/>
              <w:jc w:val="left"/>
            </w:pPr>
            <w:r>
              <w:t xml:space="preserve">Peu confiant(e)</w:t>
            </w:r>
          </w:p>
        </w:tc>
        <w:tc>
          <w:tcPr/>
          <w:p>
            <w:pPr>
              <w:pStyle w:val="Compact"/>
              <w:jc w:val="left"/>
            </w:pPr>
            <w:r>
              <w:t xml:space="preserve">pas de rupture negative</w:t>
            </w:r>
          </w:p>
        </w:tc>
        <w:tc>
          <w:tcPr/>
          <w:p>
            <w:pPr>
              <w:pStyle w:val="Compact"/>
              <w:jc w:val="right"/>
            </w:pPr>
            <w:r>
              <w:t xml:space="preserve">5998</w:t>
            </w:r>
          </w:p>
        </w:tc>
      </w:tr>
      <w:tr>
        <w:tc>
          <w:tcPr/>
          <w:p>
            <w:pPr>
              <w:pStyle w:val="Compact"/>
              <w:jc w:val="left"/>
            </w:pPr>
            <w:r>
              <w:t xml:space="preserve">Peu confiant(e)</w:t>
            </w:r>
          </w:p>
        </w:tc>
        <w:tc>
          <w:tcPr/>
          <w:p>
            <w:pPr>
              <w:pStyle w:val="Compact"/>
              <w:jc w:val="left"/>
            </w:pPr>
            <w:r>
              <w:t xml:space="preserve">rupture negative</w:t>
            </w:r>
          </w:p>
        </w:tc>
        <w:tc>
          <w:tcPr/>
          <w:p>
            <w:pPr>
              <w:pStyle w:val="Compact"/>
              <w:jc w:val="right"/>
            </w:pPr>
            <w:r>
              <w:t xml:space="preserve">225</w:t>
            </w:r>
          </w:p>
        </w:tc>
      </w:tr>
      <w:tr>
        <w:tc>
          <w:tcPr/>
          <w:p>
            <w:pPr>
              <w:pStyle w:val="Compact"/>
              <w:jc w:val="left"/>
            </w:pPr>
            <w:r>
              <w:t xml:space="preserve">Très confiant(e)</w:t>
            </w:r>
          </w:p>
        </w:tc>
        <w:tc>
          <w:tcPr/>
          <w:p>
            <w:pPr>
              <w:pStyle w:val="Compact"/>
              <w:jc w:val="left"/>
            </w:pPr>
            <w:r>
              <w:t xml:space="preserve">pas de rupture negative</w:t>
            </w:r>
          </w:p>
        </w:tc>
        <w:tc>
          <w:tcPr/>
          <w:p>
            <w:pPr>
              <w:pStyle w:val="Compact"/>
              <w:jc w:val="right"/>
            </w:pPr>
            <w:r>
              <w:t xml:space="preserve">2038</w:t>
            </w:r>
          </w:p>
        </w:tc>
      </w:tr>
      <w:tr>
        <w:tc>
          <w:tcPr/>
          <w:p>
            <w:pPr>
              <w:pStyle w:val="Compact"/>
              <w:jc w:val="left"/>
            </w:pPr>
            <w:r>
              <w:t xml:space="preserve">Très confiant(e)</w:t>
            </w:r>
          </w:p>
        </w:tc>
        <w:tc>
          <w:tcPr/>
          <w:p>
            <w:pPr>
              <w:pStyle w:val="Compact"/>
              <w:jc w:val="left"/>
            </w:pPr>
            <w:r>
              <w:t xml:space="preserve">rupture negative</w:t>
            </w:r>
          </w:p>
        </w:tc>
        <w:tc>
          <w:tcPr/>
          <w:p>
            <w:pPr>
              <w:pStyle w:val="Compact"/>
              <w:jc w:val="right"/>
            </w:pPr>
            <w:r>
              <w:t xml:space="preserve">124</w:t>
            </w:r>
          </w:p>
        </w:tc>
      </w:tr>
      <w:tr>
        <w:tc>
          <w:tcPr/>
          <w:p>
            <w:pPr>
              <w:pStyle w:val="Compact"/>
              <w:jc w:val="left"/>
            </w:pPr>
            <w:r>
              <w:t xml:space="preserve">NA</w:t>
            </w:r>
          </w:p>
        </w:tc>
        <w:tc>
          <w:tcPr/>
          <w:p>
            <w:pPr>
              <w:pStyle w:val="Compact"/>
              <w:jc w:val="left"/>
            </w:pPr>
            <w:r>
              <w:t xml:space="preserve">pas de rupture negative</w:t>
            </w:r>
          </w:p>
        </w:tc>
        <w:tc>
          <w:tcPr/>
          <w:p>
            <w:pPr>
              <w:pStyle w:val="Compact"/>
              <w:jc w:val="right"/>
            </w:pPr>
            <w:r>
              <w:t xml:space="preserve">75</w:t>
            </w:r>
          </w:p>
        </w:tc>
      </w:tr>
      <w:tr>
        <w:tc>
          <w:tcPr/>
          <w:p>
            <w:pPr>
              <w:pStyle w:val="Compact"/>
              <w:jc w:val="left"/>
            </w:pPr>
            <w:r>
              <w:t xml:space="preserve">NA</w:t>
            </w:r>
          </w:p>
        </w:tc>
        <w:tc>
          <w:tcPr/>
          <w:p>
            <w:pPr>
              <w:pStyle w:val="Compact"/>
              <w:jc w:val="left"/>
            </w:pPr>
            <w:r>
              <w:t xml:space="preserve">rupture negative</w:t>
            </w:r>
          </w:p>
        </w:tc>
        <w:tc>
          <w:tcPr/>
          <w:p>
            <w:pPr>
              <w:pStyle w:val="Compact"/>
              <w:jc w:val="right"/>
            </w:pPr>
            <w:r>
              <w:t xml:space="preserve">5</w:t>
            </w:r>
          </w:p>
        </w:tc>
      </w:tr>
    </w:tbl>
    <w:bookmarkEnd w:id="30"/>
    <w:p>
      <w:r>
        <w:br w:type="page"/>
      </w:r>
    </w:p>
    <w:bookmarkStart w:id="34"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32" name="Picture"/>
            <a:graphic>
              <a:graphicData uri="http://schemas.openxmlformats.org/drawingml/2006/picture">
                <pic:pic>
                  <pic:nvPicPr>
                    <pic:cNvPr descr="report_files/figure-docx/fig-map-repartition-1.png" id="33"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bookmarkEnd w:id="34"/>
    <w:p>
      <w:r>
        <w:br w:type="page"/>
      </w:r>
    </w:p>
    <w:bookmarkStart w:id="38"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36" name="Picture"/>
            <a:graphic>
              <a:graphicData uri="http://schemas.openxmlformats.org/drawingml/2006/picture">
                <pic:pic>
                  <pic:nvPicPr>
                    <pic:cNvPr descr="report_files/figure-docx/fig-map-trend-1.png" id="37" name="Picture"/>
                    <pic:cNvPicPr>
                      <a:picLocks noChangeArrowheads="1" noChangeAspect="1"/>
                    </pic:cNvPicPr>
                  </pic:nvPicPr>
                  <pic:blipFill>
                    <a:blip r:embed="rId35"/>
                    <a:stretch>
                      <a:fillRect/>
                    </a:stretch>
                  </pic:blipFill>
                  <pic:spPr bwMode="auto">
                    <a:xfrm>
                      <a:off x="0" y="0"/>
                      <a:ext cx="5943600" cy="5943600"/>
                    </a:xfrm>
                    <a:prstGeom prst="rect">
                      <a:avLst/>
                    </a:prstGeom>
                    <a:noFill/>
                    <a:ln w="9525">
                      <a:noFill/>
                      <a:headEnd/>
                      <a:tailEnd/>
                    </a:ln>
                  </pic:spPr>
                </pic:pic>
              </a:graphicData>
            </a:graphic>
          </wp:inline>
        </w:drawing>
      </w:r>
    </w:p>
    <w:bookmarkEnd w:id="38"/>
    <w:p>
      <w:r>
        <w:br w:type="page"/>
      </w:r>
    </w:p>
    <w:bookmarkStart w:id="47" w:name="fig-attrition"/>
    <w:bookmarkStart w:id="42" w:name="fig-attrition-1"/>
    <w:p>
      <w:pPr>
        <w:pStyle w:val="FigureWithoutNote"/>
      </w:pPr>
      <w:r>
        <w:t xml:space="preserve">(A) (absolute numbers)</w:t>
      </w:r>
    </w:p>
    <w:p>
      <w:pPr>
        <w:pStyle w:val="FigureWithoutNote"/>
      </w:pPr>
      <w:r>
        <w:drawing>
          <wp:inline>
            <wp:extent cx="2971800" cy="2971800"/>
            <wp:effectExtent b="0" l="0" r="0" t="0"/>
            <wp:docPr descr="" title="" id="40" name="Picture"/>
            <a:graphic>
              <a:graphicData uri="http://schemas.openxmlformats.org/drawingml/2006/picture">
                <pic:pic>
                  <pic:nvPicPr>
                    <pic:cNvPr descr="report_files/figure-docx/fig-attrition-1.png" id="41" name="Picture"/>
                    <pic:cNvPicPr>
                      <a:picLocks noChangeArrowheads="1" noChangeAspect="1"/>
                    </pic:cNvPicPr>
                  </pic:nvPicPr>
                  <pic:blipFill>
                    <a:blip r:embed="rId39"/>
                    <a:stretch>
                      <a:fillRect/>
                    </a:stretch>
                  </pic:blipFill>
                  <pic:spPr bwMode="auto">
                    <a:xfrm>
                      <a:off x="0" y="0"/>
                      <a:ext cx="2971800" cy="2971800"/>
                    </a:xfrm>
                    <a:prstGeom prst="rect">
                      <a:avLst/>
                    </a:prstGeom>
                    <a:noFill/>
                    <a:ln w="9525">
                      <a:noFill/>
                      <a:headEnd/>
                      <a:tailEnd/>
                    </a:ln>
                  </pic:spPr>
                </pic:pic>
              </a:graphicData>
            </a:graphic>
          </wp:inline>
        </w:drawing>
      </w:r>
    </w:p>
    <w:bookmarkEnd w:id="42"/>
    <w:bookmarkStart w:id="46" w:name="fig-attrition-2"/>
    <w:p>
      <w:pPr>
        <w:pStyle w:val="FigureWithoutNote"/>
      </w:pPr>
      <w:r>
        <w:t xml:space="preserve">(B) (percentages)</w:t>
      </w:r>
    </w:p>
    <w:p>
      <w:pPr>
        <w:pStyle w:val="FigureWithoutNote"/>
      </w:pPr>
      <w:r>
        <w:drawing>
          <wp:inline>
            <wp:extent cx="2971800" cy="2971800"/>
            <wp:effectExtent b="0" l="0" r="0" t="0"/>
            <wp:docPr descr="" title="" id="44" name="Picture"/>
            <a:graphic>
              <a:graphicData uri="http://schemas.openxmlformats.org/drawingml/2006/picture">
                <pic:pic>
                  <pic:nvPicPr>
                    <pic:cNvPr descr="report_files/figure-docx/fig-attrition-2.png" id="45" name="Picture"/>
                    <pic:cNvPicPr>
                      <a:picLocks noChangeArrowheads="1" noChangeAspect="1"/>
                    </pic:cNvPicPr>
                  </pic:nvPicPr>
                  <pic:blipFill>
                    <a:blip r:embed="rId43"/>
                    <a:stretch>
                      <a:fillRect/>
                    </a:stretch>
                  </pic:blipFill>
                  <pic:spPr bwMode="auto">
                    <a:xfrm>
                      <a:off x="0" y="0"/>
                      <a:ext cx="2971800" cy="2971800"/>
                    </a:xfrm>
                    <a:prstGeom prst="rect">
                      <a:avLst/>
                    </a:prstGeom>
                    <a:noFill/>
                    <a:ln w="9525">
                      <a:noFill/>
                      <a:headEnd/>
                      <a:tailEnd/>
                    </a:ln>
                  </pic:spPr>
                </pic:pic>
              </a:graphicData>
            </a:graphic>
          </wp:inline>
        </w:drawing>
      </w:r>
    </w:p>
    <w:bookmarkEnd w:id="46"/>
    <w:p>
      <w:pPr>
        <w:pStyle w:val="FigureTitle"/>
      </w:pPr>
      <w:r>
        <w:t xml:space="preserve">Figure 3</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Note that in the percentage plot, the percentages are relative to all volunteers from the respective promo.</w:t>
      </w:r>
    </w:p>
    <w:bookmarkEnd w:id="47"/>
    <w:p>
      <w:r>
        <w:br w:type="page"/>
      </w:r>
    </w:p>
    <w:bookmarkStart w:id="56" w:name="fig-vote_derniers_elections"/>
    <w:bookmarkStart w:id="51" w:name="fig-vote_derniers_elections-1"/>
    <w:p>
      <w:pPr>
        <w:pStyle w:val="FigureWithoutNote"/>
      </w:pPr>
      <w:r>
        <w:t xml:space="preserve">(A) Alluvial plot</w:t>
      </w:r>
    </w:p>
    <w:p>
      <w:pPr>
        <w:pStyle w:val="FigureWithoutNote"/>
      </w:pPr>
      <w:r>
        <w:drawing>
          <wp:inline>
            <wp:extent cx="2971800" cy="2971800"/>
            <wp:effectExtent b="0" l="0" r="0" t="0"/>
            <wp:docPr descr="" title="" id="49" name="Picture"/>
            <a:graphic>
              <a:graphicData uri="http://schemas.openxmlformats.org/drawingml/2006/picture">
                <pic:pic>
                  <pic:nvPicPr>
                    <pic:cNvPr descr="report_files/figure-docx/fig-vote_derniers_elections-1.png" id="50" name="Picture"/>
                    <pic:cNvPicPr>
                      <a:picLocks noChangeArrowheads="1" noChangeAspect="1"/>
                    </pic:cNvPicPr>
                  </pic:nvPicPr>
                  <pic:blipFill>
                    <a:blip r:embed="rId48"/>
                    <a:stretch>
                      <a:fillRect/>
                    </a:stretch>
                  </pic:blipFill>
                  <pic:spPr bwMode="auto">
                    <a:xfrm>
                      <a:off x="0" y="0"/>
                      <a:ext cx="2971800" cy="2971800"/>
                    </a:xfrm>
                    <a:prstGeom prst="rect">
                      <a:avLst/>
                    </a:prstGeom>
                    <a:noFill/>
                    <a:ln w="9525">
                      <a:noFill/>
                      <a:headEnd/>
                      <a:tailEnd/>
                    </a:ln>
                  </pic:spPr>
                </pic:pic>
              </a:graphicData>
            </a:graphic>
          </wp:inline>
        </w:drawing>
      </w:r>
    </w:p>
    <w:bookmarkEnd w:id="51"/>
    <w:bookmarkStart w:id="55" w:name="fig-vote_derniers_elections-2"/>
    <w:p>
      <w:pPr>
        <w:pStyle w:val="FigureWithoutNote"/>
      </w:pPr>
      <w:r>
        <w:t xml:space="preserve">(B) Percentages</w:t>
      </w:r>
    </w:p>
    <w:p>
      <w:pPr>
        <w:pStyle w:val="FigureWithoutNote"/>
      </w:pPr>
      <w:r>
        <w:drawing>
          <wp:inline>
            <wp:extent cx="2971800" cy="2971800"/>
            <wp:effectExtent b="0" l="0" r="0" t="0"/>
            <wp:docPr descr="" title="" id="53" name="Picture"/>
            <a:graphic>
              <a:graphicData uri="http://schemas.openxmlformats.org/drawingml/2006/picture">
                <pic:pic>
                  <pic:nvPicPr>
                    <pic:cNvPr descr="report_files/figure-docx/fig-vote_derniers_elections-2.png" id="54" name="Picture"/>
                    <pic:cNvPicPr>
                      <a:picLocks noChangeArrowheads="1" noChangeAspect="1"/>
                    </pic:cNvPicPr>
                  </pic:nvPicPr>
                  <pic:blipFill>
                    <a:blip r:embed="rId52"/>
                    <a:stretch>
                      <a:fillRect/>
                    </a:stretch>
                  </pic:blipFill>
                  <pic:spPr bwMode="auto">
                    <a:xfrm>
                      <a:off x="0" y="0"/>
                      <a:ext cx="2971800" cy="2971800"/>
                    </a:xfrm>
                    <a:prstGeom prst="rect">
                      <a:avLst/>
                    </a:prstGeom>
                    <a:noFill/>
                    <a:ln w="9525">
                      <a:noFill/>
                      <a:headEnd/>
                      <a:tailEnd/>
                    </a:ln>
                  </pic:spPr>
                </pic:pic>
              </a:graphicData>
            </a:graphic>
          </wp:inline>
        </w:drawing>
      </w:r>
    </w:p>
    <w:bookmarkEnd w:id="55"/>
    <w:p>
      <w:pPr>
        <w:pStyle w:val="FigureTitle"/>
      </w:pPr>
      <w:r>
        <w:t xml:space="preserve">Figure 4</w:t>
      </w:r>
    </w:p>
    <w:p>
      <w:pPr>
        <w:pStyle w:val="Caption"/>
      </w:pPr>
      <w:r>
        <w:t xml:space="preserve">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56"/>
    <w:p>
      <w:r>
        <w:br w:type="page"/>
      </w:r>
    </w:p>
    <w:bookmarkStart w:id="65" w:name="fig-action_individuelle_societe"/>
    <w:bookmarkStart w:id="60" w:name="fig-action_individuelle_societe-1"/>
    <w:p>
      <w:pPr>
        <w:pStyle w:val="FigureWithoutNote"/>
      </w:pPr>
      <w:r>
        <w:t xml:space="preserve">(A) Alluvial plot</w:t>
      </w:r>
    </w:p>
    <w:p>
      <w:pPr>
        <w:pStyle w:val="FigureWithoutNote"/>
      </w:pPr>
      <w:r>
        <w:drawing>
          <wp:inline>
            <wp:extent cx="2971800" cy="2971800"/>
            <wp:effectExtent b="0" l="0" r="0" t="0"/>
            <wp:docPr descr="" title="" id="58" name="Picture"/>
            <a:graphic>
              <a:graphicData uri="http://schemas.openxmlformats.org/drawingml/2006/picture">
                <pic:pic>
                  <pic:nvPicPr>
                    <pic:cNvPr descr="report_files/figure-docx/fig-action_individuelle_societe-1.png" id="59" name="Picture"/>
                    <pic:cNvPicPr>
                      <a:picLocks noChangeArrowheads="1" noChangeAspect="1"/>
                    </pic:cNvPicPr>
                  </pic:nvPicPr>
                  <pic:blipFill>
                    <a:blip r:embed="rId57"/>
                    <a:stretch>
                      <a:fillRect/>
                    </a:stretch>
                  </pic:blipFill>
                  <pic:spPr bwMode="auto">
                    <a:xfrm>
                      <a:off x="0" y="0"/>
                      <a:ext cx="2971800" cy="2971800"/>
                    </a:xfrm>
                    <a:prstGeom prst="rect">
                      <a:avLst/>
                    </a:prstGeom>
                    <a:noFill/>
                    <a:ln w="9525">
                      <a:noFill/>
                      <a:headEnd/>
                      <a:tailEnd/>
                    </a:ln>
                  </pic:spPr>
                </pic:pic>
              </a:graphicData>
            </a:graphic>
          </wp:inline>
        </w:drawing>
      </w:r>
    </w:p>
    <w:bookmarkEnd w:id="60"/>
    <w:bookmarkStart w:id="64" w:name="fig-action_individuelle_societe-2"/>
    <w:p>
      <w:pPr>
        <w:pStyle w:val="FigureWithoutNote"/>
      </w:pPr>
      <w:r>
        <w:t xml:space="preserve">(B) Percentages</w:t>
      </w:r>
    </w:p>
    <w:p>
      <w:pPr>
        <w:pStyle w:val="FigureWithoutNote"/>
      </w:pPr>
      <w:r>
        <w:drawing>
          <wp:inline>
            <wp:extent cx="2971800" cy="2971800"/>
            <wp:effectExtent b="0" l="0" r="0" t="0"/>
            <wp:docPr descr="" title="" id="62" name="Picture"/>
            <a:graphic>
              <a:graphicData uri="http://schemas.openxmlformats.org/drawingml/2006/picture">
                <pic:pic>
                  <pic:nvPicPr>
                    <pic:cNvPr descr="report_files/figure-docx/fig-action_individuelle_societe-2.png" id="63" name="Picture"/>
                    <pic:cNvPicPr>
                      <a:picLocks noChangeArrowheads="1" noChangeAspect="1"/>
                    </pic:cNvPicPr>
                  </pic:nvPicPr>
                  <pic:blipFill>
                    <a:blip r:embed="rId61"/>
                    <a:stretch>
                      <a:fillRect/>
                    </a:stretch>
                  </pic:blipFill>
                  <pic:spPr bwMode="auto">
                    <a:xfrm>
                      <a:off x="0" y="0"/>
                      <a:ext cx="2971800" cy="2971800"/>
                    </a:xfrm>
                    <a:prstGeom prst="rect">
                      <a:avLst/>
                    </a:prstGeom>
                    <a:noFill/>
                    <a:ln w="9525">
                      <a:noFill/>
                      <a:headEnd/>
                      <a:tailEnd/>
                    </a:ln>
                  </pic:spPr>
                </pic:pic>
              </a:graphicData>
            </a:graphic>
          </wp:inline>
        </w:drawing>
      </w:r>
    </w:p>
    <w:bookmarkEnd w:id="64"/>
    <w:p>
      <w:pPr>
        <w:pStyle w:val="FigureTitle"/>
      </w:pPr>
      <w:r>
        <w:t xml:space="preserve">Figure 5</w:t>
      </w:r>
    </w:p>
    <w:p>
      <w:pPr>
        <w:pStyle w:val="Caption"/>
      </w:pPr>
      <w:r>
        <w:t xml:space="preserve">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65"/>
    <w:p>
      <w:r>
        <w:br w:type="page"/>
      </w:r>
    </w:p>
    <w:bookmarkStart w:id="69" w:name="fig-satisfaction"/>
    <w:p>
      <w:pPr>
        <w:pStyle w:val="FigureTitle"/>
      </w:pPr>
      <w:r>
        <w:t xml:space="preserve">Figure 6</w:t>
      </w:r>
    </w:p>
    <w:p>
      <w:pPr>
        <w:pStyle w:val="Caption"/>
      </w:pPr>
      <w:r>
        <w:t xml:space="preserve">Satisfaction between cohorts.</w:t>
      </w:r>
    </w:p>
    <w:p>
      <w:pPr>
        <w:pStyle w:val="FigureWithoutNote"/>
      </w:pPr>
      <w:r>
        <w:drawing>
          <wp:inline>
            <wp:extent cx="5943600" cy="5943600"/>
            <wp:effectExtent b="0" l="0" r="0" t="0"/>
            <wp:docPr descr="" title="" id="67" name="Picture"/>
            <a:graphic>
              <a:graphicData uri="http://schemas.openxmlformats.org/drawingml/2006/picture">
                <pic:pic>
                  <pic:nvPicPr>
                    <pic:cNvPr descr="report_files/figure-docx/fig-satisfaction-1.png" id="68" name="Picture"/>
                    <pic:cNvPicPr>
                      <a:picLocks noChangeArrowheads="1" noChangeAspect="1"/>
                    </pic:cNvPicPr>
                  </pic:nvPicPr>
                  <pic:blipFill>
                    <a:blip r:embed="rId66"/>
                    <a:stretch>
                      <a:fillRect/>
                    </a:stretch>
                  </pic:blipFill>
                  <pic:spPr bwMode="auto">
                    <a:xfrm>
                      <a:off x="0" y="0"/>
                      <a:ext cx="5943600" cy="5943600"/>
                    </a:xfrm>
                    <a:prstGeom prst="rect">
                      <a:avLst/>
                    </a:prstGeom>
                    <a:noFill/>
                    <a:ln w="9525">
                      <a:noFill/>
                      <a:headEnd/>
                      <a:tailEnd/>
                    </a:ln>
                  </pic:spPr>
                </pic:pic>
              </a:graphicData>
            </a:graphic>
          </wp:inline>
        </w:drawing>
      </w:r>
    </w:p>
    <w:bookmarkEnd w:id="69"/>
    <w:p>
      <w:r>
        <w:br w:type="page"/>
      </w:r>
    </w:p>
    <w:bookmarkStart w:id="73" w:name="fig-rupture-model"/>
    <w:p>
      <w:pPr>
        <w:pStyle w:val="FigureTitle"/>
      </w:pPr>
      <w:r>
        <w:t xml:space="preserve">Figure 7</w:t>
      </w:r>
    </w:p>
    <w:p>
      <w:pPr>
        <w:pStyle w:val="Caption"/>
      </w:pPr>
      <w:r>
        <w:t xml:space="preserve">Effects of demographic factors on negative rupture. Coefficients are the results of separate logistic regressions for each variable. For categorical variables, a baseline has been chosen in the model (refer to the codebook to see the omitted baseline category). Each bar or dot in the chart shows how a factor (like age, gender, or education) relates to the chance of a rupture. An odds ratio of 1 means that this group has the same chance of a rupture as the baseline group. More than 1 means that this group is more likely to have a rupture. For example, an odds ratio of 2.0 means twice as likely. Less than 1 means that this group is less likely to have a rupture. An odds ratio of 0.5 means half as likely. The lines show uncertainty (confidence intervals). If they cross 1, the difference might not be meaningful (in this case, the result is not statistically significant). The logarithmic scale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71" name="Picture"/>
            <a:graphic>
              <a:graphicData uri="http://schemas.openxmlformats.org/drawingml/2006/picture">
                <pic:pic>
                  <pic:nvPicPr>
                    <pic:cNvPr descr="report_files/figure-docx/fig-rupture-model-1.png" id="72" name="Picture"/>
                    <pic:cNvPicPr>
                      <a:picLocks noChangeArrowheads="1" noChangeAspect="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bookmarkEnd w:id="73"/>
    <w:p>
      <w:r>
        <w:br w:type="page"/>
      </w:r>
    </w:p>
    <w:bookmarkStart w:id="77" w:name="fig-rupture-descriptive"/>
    <w:p>
      <w:pPr>
        <w:pStyle w:val="FigureTitle"/>
      </w:pPr>
      <w:r>
        <w:t xml:space="preserve">Figure 8</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75" name="Picture"/>
            <a:graphic>
              <a:graphicData uri="http://schemas.openxmlformats.org/drawingml/2006/picture">
                <pic:pic>
                  <pic:nvPicPr>
                    <pic:cNvPr descr="report_files/figure-docx/fig-rupture-descriptive-1.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p>
      <w:r>
        <w:br w:type="page"/>
      </w:r>
    </w:p>
    <w:bookmarkEnd w:id="78"/>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2025-09-23T14:57:24Z</dcterms:created>
  <dcterms:modified xsi:type="dcterms:W3CDTF">2025-09-23T14:57:24Z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different">
    <vt:lpwstr>False</vt:lpwstr>
  </property>
  <property fmtid="{D5CDD505-2E9C-101B-9397-08002B2CF9AE}" pid="3" name="always_allow_html">
    <vt:lpwstr>True</vt:lpwstr>
  </property>
  <property fmtid="{D5CDD505-2E9C-101B-9397-08002B2CF9AE}" pid="4" name="apaabstract">
    <vt:lpwstr>This report analyses surveys for four different cohorts of Cité-Unis volunteers who did their service civique (2020-2024).</vt:lpwstr>
  </property>
  <property fmtid="{D5CDD505-2E9C-101B-9397-08002B2CF9AE}" pid="5" name="apaauthor">
    <vt:lpwstr/>
  </property>
  <property fmtid="{D5CDD505-2E9C-101B-9397-08002B2CF9AE}" pid="6" name="apatitle">
    <vt:lpwstr>Volunteer Report Cité-Unis</vt:lpwstr>
  </property>
  <property fmtid="{D5CDD505-2E9C-101B-9397-08002B2CF9AE}" pid="7" name="apatitledisplay">
    <vt:lpwstr>Volunteer Report Cité-Unis</vt:lpwstr>
  </property>
  <property fmtid="{D5CDD505-2E9C-101B-9397-08002B2CF9AE}" pid="8" name="authors">
    <vt:lpwstr/>
  </property>
  <property fmtid="{D5CDD505-2E9C-101B-9397-08002B2CF9AE}" pid="9" name="biblio-config">
    <vt:lpwstr>True</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fig-cap-location">
    <vt:lpwstr>top</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language">
    <vt:lpwstr/>
  </property>
  <property fmtid="{D5CDD505-2E9C-101B-9397-08002B2CF9AE}" pid="22" name="link-citations">
    <vt:lpwstr>True</vt:lpwstr>
  </property>
  <property fmtid="{D5CDD505-2E9C-101B-9397-08002B2CF9AE}" pid="23" name="no-ampersand-parenthetical">
    <vt:lpwstr>False</vt:lpwstr>
  </property>
  <property fmtid="{D5CDD505-2E9C-101B-9397-08002B2CF9AE}" pid="24" name="number-depth">
    <vt:lpwstr>3</vt:lpwstr>
  </property>
  <property fmtid="{D5CDD505-2E9C-101B-9397-08002B2CF9AE}" pid="25" name="numbersections">
    <vt:lpwstr>False</vt:lpwstr>
  </property>
  <property fmtid="{D5CDD505-2E9C-101B-9397-08002B2CF9AE}" pid="26" name="oneauthor">
    <vt:lpwstr>True</vt:lpwstr>
  </property>
  <property fmtid="{D5CDD505-2E9C-101B-9397-08002B2CF9AE}" pid="27" name="references">
    <vt:lpwstr/>
  </property>
  <property fmtid="{D5CDD505-2E9C-101B-9397-08002B2CF9AE}" pid="28" name="revealjs-plugins">
    <vt:lpwstr/>
  </property>
  <property fmtid="{D5CDD505-2E9C-101B-9397-08002B2CF9AE}" pid="29" name="shorttitle">
    <vt:lpwstr>CITÉ-UNIS</vt:lpwstr>
  </property>
  <property fmtid="{D5CDD505-2E9C-101B-9397-08002B2CF9AE}" pid="30" name="suppress-abstract">
    <vt:lpwstr>False</vt:lpwstr>
  </property>
  <property fmtid="{D5CDD505-2E9C-101B-9397-08002B2CF9AE}" pid="31" name="suppress-affiliation">
    <vt:lpwstr>False</vt:lpwstr>
  </property>
  <property fmtid="{D5CDD505-2E9C-101B-9397-08002B2CF9AE}" pid="32" name="suppress-author">
    <vt:lpwstr>False</vt:lpwstr>
  </property>
  <property fmtid="{D5CDD505-2E9C-101B-9397-08002B2CF9AE}" pid="33" name="suppress-author-note">
    <vt:lpwstr>False</vt:lpwstr>
  </property>
  <property fmtid="{D5CDD505-2E9C-101B-9397-08002B2CF9AE}" pid="34" name="suppress-corresponding-address">
    <vt:lpwstr>False</vt:lpwstr>
  </property>
  <property fmtid="{D5CDD505-2E9C-101B-9397-08002B2CF9AE}" pid="35" name="suppress-corresponding-affiliation-name">
    <vt:lpwstr>False</vt:lpwstr>
  </property>
  <property fmtid="{D5CDD505-2E9C-101B-9397-08002B2CF9AE}" pid="36" name="suppress-corresponding-city">
    <vt:lpwstr>False</vt:lpwstr>
  </property>
  <property fmtid="{D5CDD505-2E9C-101B-9397-08002B2CF9AE}" pid="37" name="suppress-corresponding-department">
    <vt:lpwstr>False</vt:lpwstr>
  </property>
  <property fmtid="{D5CDD505-2E9C-101B-9397-08002B2CF9AE}" pid="38" name="suppress-corresponding-email">
    <vt:lpwstr>False</vt:lpwstr>
  </property>
  <property fmtid="{D5CDD505-2E9C-101B-9397-08002B2CF9AE}" pid="39" name="suppress-corresponding-group">
    <vt:lpwstr>False</vt:lpwstr>
  </property>
  <property fmtid="{D5CDD505-2E9C-101B-9397-08002B2CF9AE}" pid="40" name="suppress-corresponding-paragraph">
    <vt:lpwstr>False</vt:lpwstr>
  </property>
  <property fmtid="{D5CDD505-2E9C-101B-9397-08002B2CF9AE}" pid="41" name="suppress-corresponding-postal-code">
    <vt:lpwstr>False</vt:lpwstr>
  </property>
  <property fmtid="{D5CDD505-2E9C-101B-9397-08002B2CF9AE}" pid="42" name="suppress-corresponding-region">
    <vt:lpwstr>False</vt:lpwstr>
  </property>
  <property fmtid="{D5CDD505-2E9C-101B-9397-08002B2CF9AE}" pid="43" name="suppress-credit-statement">
    <vt:lpwstr>False</vt:lpwstr>
  </property>
  <property fmtid="{D5CDD505-2E9C-101B-9397-08002B2CF9AE}" pid="44" name="suppress-disclosures-paragraph">
    <vt:lpwstr>False</vt:lpwstr>
  </property>
  <property fmtid="{D5CDD505-2E9C-101B-9397-08002B2CF9AE}" pid="45" name="suppress-impact-statement">
    <vt:lpwstr>False</vt:lpwstr>
  </property>
  <property fmtid="{D5CDD505-2E9C-101B-9397-08002B2CF9AE}" pid="46" name="suppress-keywords">
    <vt:lpwstr>False</vt:lpwstr>
  </property>
  <property fmtid="{D5CDD505-2E9C-101B-9397-08002B2CF9AE}" pid="47" name="suppress-orcid">
    <vt:lpwstr>False</vt:lpwstr>
  </property>
  <property fmtid="{D5CDD505-2E9C-101B-9397-08002B2CF9AE}" pid="48" name="suppress-short-title">
    <vt:lpwstr>False</vt:lpwstr>
  </property>
  <property fmtid="{D5CDD505-2E9C-101B-9397-08002B2CF9AE}" pid="49" name="suppress-status-change-paragraph">
    <vt:lpwstr>False</vt:lpwstr>
  </property>
  <property fmtid="{D5CDD505-2E9C-101B-9397-08002B2CF9AE}" pid="50" name="suppress-title">
    <vt:lpwstr>False</vt:lpwstr>
  </property>
  <property fmtid="{D5CDD505-2E9C-101B-9397-08002B2CF9AE}" pid="51" name="suppress-title-introduction">
    <vt:lpwstr>False</vt:lpwstr>
  </property>
  <property fmtid="{D5CDD505-2E9C-101B-9397-08002B2CF9AE}" pid="52" name="suppress-title-page">
    <vt:lpwstr>False</vt:lpwstr>
  </property>
  <property fmtid="{D5CDD505-2E9C-101B-9397-08002B2CF9AE}" pid="53" name="suppress-title-page-number">
    <vt:lpwstr>False</vt:lpwstr>
  </property>
  <property fmtid="{D5CDD505-2E9C-101B-9397-08002B2CF9AE}" pid="54" name="tbl-cap-location">
    <vt:lpwstr>top</vt:lpwstr>
  </property>
  <property fmtid="{D5CDD505-2E9C-101B-9397-08002B2CF9AE}" pid="55" name="toc-title">
    <vt:lpwstr>Table of contents</vt:lpwstr>
  </property>
  <property fmtid="{D5CDD505-2E9C-101B-9397-08002B2CF9AE}" pid="56" name="wordn">
    <vt:lpwstr>1103</vt:lpwstr>
  </property>
  <property fmtid="{D5CDD505-2E9C-101B-9397-08002B2CF9AE}" pid="57" name="zerocitations">
    <vt:lpwstr>True</vt:lpwstr>
  </property>
</Properties>
</file>