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9.png" ContentType="image/png"/>
  <Override PartName="/word/media/rId192.png" ContentType="image/png"/>
  <Override PartName="/word/media/rId196.png" ContentType="image/png"/>
  <Override PartName="/word/media/rId201.png" ContentType="image/png"/>
  <Override PartName="/word/media/rId205.png" ContentType="image/png"/>
  <Override PartName="/word/media/rId210.png" ContentType="image/png"/>
  <Override PartName="/word/media/rId214.png" ContentType="image/png"/>
  <Override PartName="/word/media/rId223.png" ContentType="image/png"/>
  <Override PartName="/word/media/rId86.png" ContentType="image/png"/>
  <Override PartName="/word/media/rId90.png" ContentType="image/png"/>
  <Override PartName="/word/media/rId327.png" ContentType="image/png"/>
  <Override PartName="/word/media/rId113.png" ContentType="image/png"/>
  <Override PartName="/word/media/rId117.png" ContentType="image/png"/>
  <Override PartName="/word/media/rId122.png" ContentType="image/png"/>
  <Override PartName="/word/media/rId126.png" ContentType="image/png"/>
  <Override PartName="/word/media/rId315.png" ContentType="image/png"/>
  <Override PartName="/word/media/rId311.png" ContentType="image/png"/>
  <Override PartName="/word/media/rId319.png" ContentType="image/png"/>
  <Override PartName="/word/media/rId95.png" ContentType="image/png"/>
  <Override PartName="/word/media/rId99.png" ContentType="image/png"/>
  <Override PartName="/word/media/rId78.png" ContentType="image/png"/>
  <Override PartName="/word/media/rId82.png" ContentType="image/png"/>
  <Override PartName="/word/media/rId323.png" ContentType="image/png"/>
  <Override PartName="/word/media/rId299.png" ContentType="image/png"/>
  <Override PartName="/word/media/rId286.png" ContentType="image/png"/>
  <Override PartName="/word/media/rId290.png" ContentType="image/png"/>
  <Override PartName="/word/media/rId303.png" ContentType="image/png"/>
  <Override PartName="/word/media/rId295.png" ContentType="image/png"/>
  <Override PartName="/word/media/rId240.png" ContentType="image/png"/>
  <Override PartName="/word/media/rId244.png" ContentType="image/png"/>
  <Override PartName="/word/media/rId253.png" ContentType="image/png"/>
  <Override PartName="/word/media/rId249.png" ContentType="image/png"/>
  <Override PartName="/word/media/rId257.png" ContentType="image/png"/>
  <Override PartName="/word/media/rId236.png" ContentType="image/png"/>
  <Override PartName="/word/media/rId227.png" ContentType="image/png"/>
  <Override PartName="/word/media/rId231.png" ContentType="image/png"/>
  <Override PartName="/word/media/rId261.png" ContentType="image/png"/>
  <Override PartName="/word/media/rId274.png" ContentType="image/png"/>
  <Override PartName="/word/media/rId278.png" ContentType="image/png"/>
  <Override PartName="/word/media/rId265.png" ContentType="image/png"/>
  <Override PartName="/word/media/rId269.png" ContentType="image/png"/>
  <Override PartName="/word/media/rId282.png" ContentType="image/png"/>
  <Override PartName="/word/media/rId104.png" ContentType="image/png"/>
  <Override PartName="/word/media/rId108.png" ContentType="image/png"/>
  <Override PartName="/word/media/rId307.png" ContentType="image/png"/>
  <Override PartName="/word/media/rId331.png" ContentType="image/png"/>
  <Override PartName="/word/media/rId176.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67.png" ContentType="image/png"/>
  <Override PartName="/word/media/rId171.png" ContentType="image/png"/>
  <Override PartName="/word/media/rId180.png" ContentType="image/png"/>
  <Override PartName="/word/media/rId184.png" ContentType="image/png"/>
  <Override PartName="/word/media/rId131.png" ContentType="image/png"/>
  <Override PartName="/word/media/rId135.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In</w:t>
      </w:r>
      <w:r>
        <w:t xml:space="preserve"> </w:t>
      </w:r>
      <w:hyperlink w:anchor="sec-programs">
        <w:r>
          <w:rPr>
            <w:rStyle w:val="Hyperlink"/>
          </w:rPr>
          <w:t xml:space="preserve">Section 7</w:t>
        </w:r>
      </w:hyperlink>
      <w:r>
        <w:t xml:space="preserve"> </w:t>
      </w:r>
      <w:r>
        <w:t xml:space="preserve">we investigate differences between different programs offered by Cité Unis. 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is to allow Cité Unis to identify interesting questions. The numeric results presented here can act as pointers, but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p>
      <w:pPr>
        <w:pStyle w:val="BodyText"/>
      </w:pPr>
      <w:r>
        <w:t xml:space="preserve">This report is meant to inform by figures: the text passages do not discuss all the results from the figures. The text is mostly intended to provide guidance—to illustrate how to interpret the figures. The examples for these illustrations are mostly picked at random.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8"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1"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40"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p>
    <w:p>
      <w:pPr>
        <w:pStyle w:val="BodyText"/>
      </w:pPr>
      <w:hyperlink w:anchor="Xc8b8ac932554825b450d7191e7a09cc9b49187c">
        <w:r>
          <w:rPr>
            <w:rStyle w:val="Hyperlink"/>
          </w:rPr>
          <w:t xml:space="preserve">Figure 15</w:t>
        </w:r>
      </w:hyperlink>
      <w:r>
        <w:t xml:space="preserve"> </w:t>
      </w:r>
      <w:r>
        <w:t xml:space="preserve">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39"/>
      </w:r>
      <w:r>
        <w:t xml:space="preserve">. Among the 18 to 20 year-olds, accordingly, the odds were, as above,</w:t>
      </w:r>
      <w:r>
        <w:t xml:space="preserve"> </w:t>
      </w:r>
      <w:r>
        <w:rPr>
          <w:rStyle w:val="VerbatimChar"/>
        </w:rPr>
        <w:t xml:space="preserve">0.174:0.146 = ~1.19</w:t>
      </w:r>
      <w:r>
        <w:t xml:space="preserve">, resulting in the same odds ratio of ~1.4.</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40"/>
    <w:bookmarkEnd w:id="41"/>
    <w:bookmarkStart w:id="47"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2"/>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3" w:name="promo-2020-21-1"/>
    <w:p>
      <w:pPr>
        <w:pStyle w:val="Heading3"/>
      </w:pPr>
      <w:r>
        <w:t xml:space="preserve">Promo 2020-21</w:t>
      </w:r>
    </w:p>
    <w:bookmarkEnd w:id="43"/>
    <w:bookmarkStart w:id="44" w:name="promo-2021-22-1"/>
    <w:p>
      <w:pPr>
        <w:pStyle w:val="Heading3"/>
      </w:pPr>
      <w:r>
        <w:t xml:space="preserve">Promo 2021-22</w:t>
      </w:r>
    </w:p>
    <w:bookmarkEnd w:id="44"/>
    <w:bookmarkStart w:id="45" w:name="promo-2022-23-1"/>
    <w:p>
      <w:pPr>
        <w:pStyle w:val="Heading3"/>
      </w:pPr>
      <w:r>
        <w:t xml:space="preserve">Promo 2022-23</w:t>
      </w:r>
    </w:p>
    <w:bookmarkEnd w:id="45"/>
    <w:bookmarkStart w:id="46"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6"/>
    <w:bookmarkEnd w:id="47"/>
    <w:bookmarkEnd w:id="48"/>
    <w:bookmarkStart w:id="55"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22</w:t>
        </w:r>
      </w:hyperlink>
      <w:r>
        <w:t xml:space="preserve">). There are various motives for ending one’s contract early (</w:t>
      </w:r>
      <w:hyperlink w:anchor="fig-rupture-motive">
        <w:r>
          <w:rPr>
            <w:rStyle w:val="Hyperlink"/>
          </w:rPr>
          <w:t xml:space="preserve">Figure 23</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9" w:name="change-in-rupture"/>
    <w:p>
      <w:pPr>
        <w:pStyle w:val="Heading2"/>
      </w:pPr>
      <w:r>
        <w:t xml:space="preserve">Change in rupture</w:t>
      </w:r>
    </w:p>
    <w:p>
      <w:pPr>
        <w:pStyle w:val="FirstParagraph"/>
      </w:pPr>
      <w:hyperlink w:anchor="fig-rupture">
        <w:r>
          <w:rPr>
            <w:rStyle w:val="Hyperlink"/>
          </w:rPr>
          <w:t xml:space="preserve">Figure 24</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4" w:name="X262beefdcb2926198f3b59e90f46787bf328839"/>
    <w:p>
      <w:pPr>
        <w:pStyle w:val="Heading2"/>
      </w:pPr>
      <w:r>
        <w:t xml:space="preserve">What predicts whether volunteers end their contract early (rupture)?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25</w:t>
        </w:r>
      </w:hyperlink>
      <w:r>
        <w:t xml:space="preserve">) a selection of other variables (</w:t>
      </w:r>
      <w:hyperlink w:anchor="fig-rupture-model-other">
        <w:r>
          <w:rPr>
            <w:rStyle w:val="Hyperlink"/>
          </w:rPr>
          <w:t xml:space="preserve">Figure 27</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51" w:name="demographic-factors"/>
    <w:p>
      <w:pPr>
        <w:pStyle w:val="Heading3"/>
      </w:pPr>
      <w:r>
        <w:t xml:space="preserve">Demographic factors</w:t>
      </w:r>
    </w:p>
    <w:p>
      <w:pPr>
        <w:pStyle w:val="FirstParagraph"/>
      </w:pPr>
      <w:hyperlink w:anchor="fig-rupture-model-demographic">
        <w:r>
          <w:rPr>
            <w:rStyle w:val="Hyperlink"/>
          </w:rPr>
          <w:t xml:space="preserve">Figure 25</w:t>
        </w:r>
      </w:hyperlink>
      <w:r>
        <w:t xml:space="preserve"> </w:t>
      </w:r>
      <w:r>
        <w:t xml:space="preserve">reveals, for example, that older age groups or refugees are less likely to have a rupture, male volunteers and volunteers with a handicap are more likely. The odds ratios can be interpreted as in previous sections. To provide another example, take the variable whether volunteers were part of the</w:t>
      </w:r>
      <w:r>
        <w:t xml:space="preserve"> </w:t>
      </w:r>
      <w:r>
        <w:t xml:space="preserve">“CŒUR”</w:t>
      </w:r>
      <w:r>
        <w:t xml:space="preserve"> </w:t>
      </w:r>
      <w:r>
        <w:t xml:space="preserve">or of the</w:t>
      </w:r>
      <w:r>
        <w:t xml:space="preserve"> </w:t>
      </w:r>
      <w:r>
        <w:t xml:space="preserve">“RELAIS”</w:t>
      </w:r>
      <w:r>
        <w:t xml:space="preserve"> </w:t>
      </w:r>
      <w:r>
        <w:t xml:space="preserve">program (</w:t>
      </w:r>
      <w:r>
        <w:rPr>
          <w:rStyle w:val="VerbatimChar"/>
        </w:rPr>
        <w:t xml:space="preserve">type_volontaire</w:t>
      </w:r>
      <w:r>
        <w:t xml:space="preserve">). The odds ratio is 0.9, meaning volunteers of the</w:t>
      </w:r>
      <w:r>
        <w:t xml:space="preserve"> </w:t>
      </w:r>
      <w:r>
        <w:t xml:space="preserve">“RELAIS”</w:t>
      </w:r>
      <w:r>
        <w:t xml:space="preserve"> </w:t>
      </w:r>
      <w:r>
        <w:t xml:space="preserve">program were less likely to have a rupture. More specifically, they only had 90% of the odds to breach their contract, compared to volunteers of the</w:t>
      </w:r>
      <w:r>
        <w:t xml:space="preserve"> </w:t>
      </w:r>
      <w:r>
        <w:t xml:space="preserve">“CŒUR”</w:t>
      </w:r>
      <w:r>
        <w:t xml:space="preserve">.</w:t>
      </w:r>
    </w:p>
    <w:p>
      <w:pPr>
        <w:pStyle w:val="BodyText"/>
      </w:pPr>
      <w:r>
        <w:t xml:space="preserve">To get a better sense of this,</w:t>
      </w:r>
      <w:r>
        <w:t xml:space="preserve"> </w:t>
      </w:r>
      <w:hyperlink w:anchor="fig-rupture-descriptive">
        <w:r>
          <w:rPr>
            <w:rStyle w:val="Hyperlink"/>
          </w:rPr>
          <w:t xml:space="preserve">Figure 26</w:t>
        </w:r>
      </w:hyperlink>
      <w:r>
        <w:t xml:space="preserve"> </w:t>
      </w:r>
      <w:r>
        <w:t xml:space="preserve">shows descriptive differences (in percentages) regarding ruputre for some demographic variables, including</w:t>
      </w:r>
      <w:r>
        <w:t xml:space="preserve"> </w:t>
      </w:r>
      <w:r>
        <w:rPr>
          <w:rStyle w:val="VerbatimChar"/>
        </w:rPr>
        <w:t xml:space="preserve">type_volontaire</w:t>
      </w:r>
      <w:r>
        <w:t xml:space="preserve">. The odds ratio can be obtained by dividing the odds of the</w:t>
      </w:r>
      <w:r>
        <w:t xml:space="preserve"> </w:t>
      </w:r>
      <w:r>
        <w:t xml:space="preserve">“RELAIS”</w:t>
      </w:r>
      <w:r>
        <w:t xml:space="preserve"> </w:t>
      </w:r>
      <w:r>
        <w:t xml:space="preserve">program (0.161:0.834 = 0.193) by the odds of the</w:t>
      </w:r>
      <w:r>
        <w:t xml:space="preserve"> </w:t>
      </w:r>
      <w:r>
        <w:t xml:space="preserve">“CŒUR”</w:t>
      </w:r>
      <w:r>
        <w:t xml:space="preserve"> </w:t>
      </w:r>
      <w:r>
        <w:t xml:space="preserve">program (0.181:0.819 = 0.221) program (0.193:0.221 = ~0.9)</w:t>
      </w:r>
      <w:r>
        <w:rPr>
          <w:rStyle w:val="FootnoteReference"/>
        </w:rPr>
        <w:footnoteReference w:id="50"/>
      </w:r>
      <w:r>
        <w:t xml:space="preserve">.</w:t>
      </w:r>
    </w:p>
    <w:bookmarkEnd w:id="51"/>
    <w:bookmarkStart w:id="53"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Très confiant(e); Assez confiant(e); Peu confiant(e); Pas du tout confiant(e))</w:t>
      </w:r>
      <w:r>
        <w:rPr>
          <w:rStyle w:val="FootnoteReference"/>
        </w:rPr>
        <w:footnoteReference w:id="52"/>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hyperlink w:anchor="fig-rupture-model-other">
        <w:r>
          <w:rPr>
            <w:rStyle w:val="Hyperlink"/>
          </w:rPr>
          <w:t xml:space="preserve">Figure 27</w:t>
        </w:r>
      </w:hyperlink>
      <w:r>
        <w:t xml:space="preserve"> </w:t>
      </w:r>
      <w:r>
        <w:t xml:space="preserve">shows how these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 However,</w:t>
      </w:r>
      <w:r>
        <w:t xml:space="preserve"> </w:t>
      </w:r>
      <w:hyperlink w:anchor="fig-rupture-perception_avenir">
        <w:r>
          <w:rPr>
            <w:rStyle w:val="Hyperlink"/>
          </w:rPr>
          <w:t xml:space="preserve">Figure 28</w:t>
        </w:r>
      </w:hyperlink>
      <w:r>
        <w:t xml:space="preserve"> </w:t>
      </w:r>
      <w:r>
        <w:t xml:space="preserve">zooms in on this finding and suggests that this average effect is mostly driven by those volunteers who are</w:t>
      </w:r>
      <w:r>
        <w:t xml:space="preserve"> </w:t>
      </w:r>
      <w:r>
        <w:t xml:space="preserve">“very confident”</w:t>
      </w:r>
      <w:r>
        <w:t xml:space="preserve">.</w:t>
      </w:r>
    </w:p>
    <w:bookmarkEnd w:id="53"/>
    <w:bookmarkEnd w:id="54"/>
    <w:bookmarkEnd w:id="55"/>
    <w:bookmarkStart w:id="62"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6"/>
      </w:r>
      <w:r>
        <w:t xml:space="preserve">. As shown in</w:t>
      </w:r>
      <w:r>
        <w:t xml:space="preserve"> </w:t>
      </w:r>
      <w:hyperlink w:anchor="fig-satisfaction-descriptive">
        <w:r>
          <w:rPr>
            <w:rStyle w:val="Hyperlink"/>
          </w:rPr>
          <w:t xml:space="preserve">Figure 29</w:t>
        </w:r>
      </w:hyperlink>
      <w:r>
        <w:t xml:space="preserve">, taking all cohorts together, the majority of volunteers thinks their experience is</w:t>
      </w:r>
      <w:r>
        <w:t xml:space="preserve"> </w:t>
      </w:r>
      <w:r>
        <w:t xml:space="preserve">“très satisfaisant”</w:t>
      </w:r>
      <w:r>
        <w:t xml:space="preserve">.</w:t>
      </w:r>
    </w:p>
    <w:bookmarkStart w:id="57" w:name="change-in-satisfaction"/>
    <w:p>
      <w:pPr>
        <w:pStyle w:val="Heading2"/>
      </w:pPr>
      <w:r>
        <w:t xml:space="preserve">Change in Satisfaction</w:t>
      </w:r>
    </w:p>
    <w:p>
      <w:pPr>
        <w:pStyle w:val="FirstParagraph"/>
      </w:pPr>
      <w:hyperlink w:anchor="fig-satisfaction">
        <w:r>
          <w:rPr>
            <w:rStyle w:val="Hyperlink"/>
          </w:rPr>
          <w:t xml:space="preserve">Figure 30</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 not or little satisfied have remained broadly stable.</w:t>
      </w:r>
    </w:p>
    <w:bookmarkEnd w:id="57"/>
    <w:bookmarkStart w:id="61" w:name="Xa89539c834a637446fc41d1a06c9581b57892fc"/>
    <w:p>
      <w:pPr>
        <w:pStyle w:val="Heading2"/>
      </w:pPr>
      <w:r>
        <w:t xml:space="preserve">What predicts whether volunteers are more satisfied ?</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25</w:t>
        </w:r>
      </w:hyperlink>
      <w:r>
        <w:t xml:space="preserve">, for other variables in</w:t>
      </w:r>
      <w:r>
        <w:t xml:space="preserve"> </w:t>
      </w:r>
      <w:hyperlink w:anchor="fig-rupture-model-other">
        <w:r>
          <w:rPr>
            <w:rStyle w:val="Hyperlink"/>
          </w:rPr>
          <w:t xml:space="preserve">Figure 27</w:t>
        </w:r>
      </w:hyperlink>
      <w:r>
        <w:t xml:space="preserve">.</w:t>
      </w:r>
    </w:p>
    <w:bookmarkStart w:id="58" w:name="demographic-factors-1"/>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58"/>
    <w:bookmarkStart w:id="60" w:name="other-factors-1"/>
    <w:p>
      <w:pPr>
        <w:pStyle w:val="Heading3"/>
      </w:pPr>
      <w:r>
        <w:t xml:space="preserve">Other factors</w:t>
      </w:r>
    </w:p>
    <w:p>
      <w:pPr>
        <w:pStyle w:val="FirstParagraph"/>
      </w:pPr>
      <w:r>
        <w:t xml:space="preserve">Some of the non-demographic variables are numeric</w:t>
      </w:r>
      <w:r>
        <w:rPr>
          <w:rStyle w:val="FootnoteReference"/>
        </w:rPr>
        <w:footnoteReference w:id="59"/>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60"/>
    <w:bookmarkEnd w:id="61"/>
    <w:bookmarkEnd w:id="62"/>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3"/>
      </w:r>
      <w:r>
        <w:t xml:space="preserve">. As shown in</w:t>
      </w:r>
      <w:r>
        <w:t xml:space="preserve"> </w:t>
      </w:r>
      <w:hyperlink w:anchor="fig-perception-avenir-descriptive">
        <w:r>
          <w:rPr>
            <w:rStyle w:val="Hyperlink"/>
          </w:rPr>
          <w:t xml:space="preserve">Figure 33</w:t>
        </w:r>
      </w:hyperlink>
      <w:r>
        <w:t xml:space="preserve">, taking all cohorts together, the majority of volunteers are</w:t>
      </w:r>
      <w:r>
        <w:t xml:space="preserve"> </w:t>
      </w:r>
      <w:r>
        <w:t xml:space="preserve">“assez confiant.e”</w:t>
      </w:r>
      <w:r>
        <w:t xml:space="preserve">.</w:t>
      </w:r>
    </w:p>
    <w:bookmarkStart w:id="64" w:name="change-in-confidence-in-ones-future"/>
    <w:p>
      <w:pPr>
        <w:pStyle w:val="Heading2"/>
      </w:pPr>
      <w:r>
        <w:t xml:space="preserve">Change in confidence in one’s future</w:t>
      </w:r>
    </w:p>
    <w:p>
      <w:pPr>
        <w:pStyle w:val="FirstParagraph"/>
      </w:pPr>
      <w:hyperlink w:anchor="fig-perception_avenir">
        <w:r>
          <w:rPr>
            <w:rStyle w:val="Hyperlink"/>
          </w:rPr>
          <w:t xml:space="preserve">Figure 34</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4"/>
    <w:bookmarkStart w:id="67" w:name="sec-perception-avenir"/>
    <w:p>
      <w:pPr>
        <w:pStyle w:val="Heading2"/>
      </w:pPr>
      <w:r>
        <w:t xml:space="preserve">What predicts whether volunteers are more confident in their future ?</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35</w:t>
        </w:r>
      </w:hyperlink>
      <w:r>
        <w:t xml:space="preserve">, for other variables in</w:t>
      </w:r>
      <w:r>
        <w:t xml:space="preserve"> </w:t>
      </w:r>
      <w:hyperlink w:anchor="fig-perception-avenir-other-variables">
        <w:r>
          <w:rPr>
            <w:rStyle w:val="Hyperlink"/>
          </w:rPr>
          <w:t xml:space="preserve">Figure 36</w:t>
        </w:r>
      </w:hyperlink>
      <w:r>
        <w:t xml:space="preserve">.</w:t>
      </w:r>
    </w:p>
    <w:bookmarkStart w:id="65" w:name="demographic-factors-2"/>
    <w:p>
      <w:pPr>
        <w:pStyle w:val="Heading3"/>
      </w:pPr>
      <w:r>
        <w:t xml:space="preserve">Demographic factors</w:t>
      </w:r>
    </w:p>
    <w:p>
      <w:pPr>
        <w:pStyle w:val="FirstParagraph"/>
      </w:pPr>
      <w:r>
        <w:t xml:space="preserve">The results suggest that, compared to (the omitted category of 16 to 17 year-olds), 18 to 20 as well as 21 to 23 year-olds are slightly less confident, while 24 to 30 year olds are slightly more confident. Refugees are considerably more competent (0.45, on the 4-point scale) than non-refugees. Male volunteers are also more likely to be confident about their future (0.21), as are volunteers in the</w:t>
      </w:r>
      <w:r>
        <w:t xml:space="preserve"> </w:t>
      </w:r>
      <w:r>
        <w:t xml:space="preserve">“Relais”</w:t>
      </w:r>
      <w:r>
        <w:t xml:space="preserve"> </w:t>
      </w:r>
      <w:r>
        <w:t xml:space="preserve">program (0.13, compared to the</w:t>
      </w:r>
      <w:r>
        <w:t xml:space="preserve"> </w:t>
      </w:r>
      <w:r>
        <w:t xml:space="preserve">“Coeur”</w:t>
      </w:r>
      <w:r>
        <w:t xml:space="preserve"> </w:t>
      </w:r>
      <w:r>
        <w:t xml:space="preserve">program).</w:t>
      </w:r>
    </w:p>
    <w:bookmarkEnd w:id="65"/>
    <w:bookmarkStart w:id="66" w:name="other-factors-2"/>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36</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66"/>
    <w:bookmarkEnd w:id="67"/>
    <w:bookmarkEnd w:id="68"/>
    <w:bookmarkStart w:id="76" w:name="sec-programs"/>
    <w:p>
      <w:pPr>
        <w:pStyle w:val="Heading1"/>
      </w:pPr>
      <w:r>
        <w:t xml:space="preserve">Differences between programs</w:t>
      </w:r>
    </w:p>
    <w:p>
      <w:pPr>
        <w:pStyle w:val="FirstParagraph"/>
      </w:pPr>
      <w:r>
        <w:t xml:space="preserve">This section looks at how demographics of volunteers differe between programs.</w:t>
      </w:r>
    </w:p>
    <w:p>
      <w:pPr>
        <w:pStyle w:val="BodyText"/>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37</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69" w:name="sec-ecovolonterre"/>
    <w:p>
      <w:pPr>
        <w:pStyle w:val="Heading2"/>
      </w:pPr>
      <w:r>
        <w:t xml:space="preserve">Solidarité Aidants</w:t>
      </w:r>
    </w:p>
    <w:bookmarkEnd w:id="69"/>
    <w:bookmarkStart w:id="70"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70"/>
    <w:bookmarkStart w:id="71" w:name="sec-booster"/>
    <w:p>
      <w:pPr>
        <w:pStyle w:val="Heading2"/>
      </w:pPr>
      <w:r>
        <w:t xml:space="preserve">Booster</w:t>
      </w:r>
    </w:p>
    <w:bookmarkEnd w:id="71"/>
    <w:bookmarkStart w:id="72"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72"/>
    <w:bookmarkStart w:id="73" w:name="sec-mediaterre"/>
    <w:p>
      <w:pPr>
        <w:pStyle w:val="Heading2"/>
      </w:pPr>
      <w:r>
        <w:t xml:space="preserve">Médiaterre</w:t>
      </w:r>
    </w:p>
    <w:bookmarkEnd w:id="73"/>
    <w:bookmarkStart w:id="74" w:name="sec-asm"/>
    <w:p>
      <w:pPr>
        <w:pStyle w:val="Heading2"/>
      </w:pPr>
      <w:r>
        <w:t xml:space="preserve">ASM</w:t>
      </w:r>
    </w:p>
    <w:bookmarkEnd w:id="74"/>
    <w:bookmarkStart w:id="75" w:name="sec-solidarite-seniors"/>
    <w:p>
      <w:pPr>
        <w:pStyle w:val="Heading2"/>
      </w:pPr>
      <w:r>
        <w:t xml:space="preserve">Solidarité Séniors</w:t>
      </w:r>
    </w:p>
    <w:bookmarkEnd w:id="75"/>
    <w:bookmarkEnd w:id="76"/>
    <w:bookmarkStart w:id="335" w:name="conclusion-some-methodological-notes"/>
    <w:p>
      <w:pPr>
        <w:pStyle w:val="Heading1"/>
      </w:pPr>
      <w:r>
        <w:t xml:space="preserve">Conclusion: Some methodological notes</w:t>
      </w:r>
    </w:p>
    <w:p>
      <w:pPr>
        <w:pStyle w:val="FirstParagraph"/>
      </w:pPr>
      <w:r>
        <w:t xml:space="preserve">This report can only provide snapshots into the extensive survey data that has been collected by Cité Unis. In general, the questionnaires could probably be shorter. Fewer questions would probably reduce attrition—if volunteers respond to a very long questionnaire at q1, they might not be motivated to again fill out another very long questionnaire at q2, let alone q3. Including fewer questions would probably also improve the quality of responses, as volunteers might get tired or bored with long questionnaires, thus clicking through very quickly and thoughtlessly at some point. Another option to improve quality in responses could be to add attention checks. However, since volunteers are not forced to take the survey, we can probably assume that those who take it are motivated to fill it out faithfully.</w:t>
      </w:r>
    </w:p>
    <w:p>
      <w:pPr>
        <w:pStyle w:val="BodyText"/>
      </w:pPr>
      <w:r>
        <w:t xml:space="preserve">Another lever for improvement is making the questionnaires at different time points more similar. Asking the same questions at all the different time points allow to track how individual volunteers change throughout their service civique (as in</w:t>
      </w:r>
      <w:r>
        <w:t xml:space="preserve"> </w:t>
      </w:r>
      <w:hyperlink w:anchor="sec-within-change">
        <w:r>
          <w:rPr>
            <w:rStyle w:val="Hyperlink"/>
          </w:rPr>
          <w:t xml:space="preserve">Section 3</w:t>
        </w:r>
      </w:hyperlink>
      <w:r>
        <w:t xml:space="preserve">).</w:t>
      </w:r>
    </w:p>
    <w:p>
      <w:pPr>
        <w:pStyle w:val="BodyText"/>
      </w:pPr>
      <w:r>
        <w:t xml:space="preserve">On a minor note, it might be more interesting to ask volunteers about their voting intentions, rather than their past voting behavior. There is reason to believe that some volunteers do not answer the current question on past behavior as intended (</w:t>
      </w:r>
      <w:hyperlink w:anchor="fig-vote_derniers_elections-youngest">
        <w:r>
          <w:rPr>
            <w:rStyle w:val="Hyperlink"/>
          </w:rPr>
          <w:t xml:space="preserve">Figure 16</w:t>
        </w:r>
      </w:hyperlink>
      <w:r>
        <w:t xml:space="preserve">). Also, observing change regarding past voting behavior is very dependend on whether elecitons happen to take place for a particular cohort during their year of service civique.</w:t>
      </w:r>
    </w:p>
    <w:bookmarkStart w:id="7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77"/>
    <w:p>
      <w:r>
        <w:br w:type="page"/>
      </w:r>
    </w:p>
    <w:bookmarkStart w:id="8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map-repartition-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map-trend-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94" w:name="fig-age"/>
    <w:bookmarkStart w:id="89" w:name="fig-age-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_files/figure-docx/fig-age-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age-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_files/figure-docx/fig-age-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94"/>
    <w:p>
      <w:r>
        <w:br w:type="page"/>
      </w:r>
    </w:p>
    <w:bookmarkStart w:id="103" w:name="fig-education"/>
    <w:bookmarkStart w:id="98" w:name="fig-education-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_files/figure-docx/fig-education-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education-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_files/figure-docx/fig-education-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03"/>
    <w:p>
      <w:r>
        <w:br w:type="page"/>
      </w:r>
    </w:p>
    <w:bookmarkStart w:id="112" w:name="fig-sex"/>
    <w:bookmarkStart w:id="107" w:name="fig-sex-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_files/figure-docx/fig-sex-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sex-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_files/figure-docx/fig-sex-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12"/>
    <w:p>
      <w:r>
        <w:br w:type="page"/>
      </w:r>
    </w:p>
    <w:bookmarkStart w:id="121" w:name="fig-attrition"/>
    <w:bookmarkStart w:id="116" w:name="fig-attrition-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_files/figure-docx/fig-attrition-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_files/figure-docx/fig-attrition-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21"/>
    <w:p>
      <w:r>
        <w:br w:type="page"/>
      </w:r>
    </w:p>
    <w:bookmarkStart w:id="130" w:name="fig-attrition-norupture"/>
    <w:bookmarkStart w:id="125" w:name="fig-attrition-norupture-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_files/figure-docx/fig-attrition-norupture-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attrition-norupture-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_files/figure-docx/fig-attrition-norupture-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30"/>
    <w:p>
      <w:r>
        <w:br w:type="page"/>
      </w:r>
    </w:p>
    <w:bookmarkStart w:id="139" w:name="fig-vote_derniers_elections-overview"/>
    <w:bookmarkStart w:id="134" w:name="fig-vote_derniers_elections-overview-1"/>
    <w:p>
      <w:pPr>
        <w:pStyle w:val="FigureWithoutNote"/>
      </w:pPr>
      <w:r>
        <w:t xml:space="preserve">(A) (absolute numbers)</w:t>
      </w:r>
    </w:p>
    <w:p>
      <w:pPr>
        <w:pStyle w:val="FigureWithoutNote"/>
      </w:pPr>
      <w:r>
        <w:drawing>
          <wp:inline>
            <wp:extent cx="2971800" cy="2971800"/>
            <wp:effectExtent b="0" l="0" r="0" t="0"/>
            <wp:docPr descr="" title="" id="132" name="Picture"/>
            <a:graphic>
              <a:graphicData uri="http://schemas.openxmlformats.org/drawingml/2006/picture">
                <pic:pic>
                  <pic:nvPicPr>
                    <pic:cNvPr descr="index_files/figure-docx/fig-vote_derniers_elections-overview-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overview-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_files/figure-docx/fig-vote_derniers_elections-overview-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9"/>
    <w:p>
      <w:r>
        <w:br w:type="page"/>
      </w:r>
    </w:p>
    <w:bookmarkStart w:id="148" w:name="fig-vote_derniers_elections-2020"/>
    <w:bookmarkStart w:id="143" w:name="fig-vote_derniers_elections-2020-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_files/figure-docx/fig-vote_derniers_elections-2020-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0-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_files/figure-docx/fig-vote_derniers_elections-2020-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1"/>
    <w:bookmarkStart w:id="152" w:name="fig-vote_derniers_elections-2021-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_files/figure-docx/fig-vote_derniers_elections-2021-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1-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_files/figure-docx/fig-vote_derniers_elections-2021-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2"/>
    <w:bookmarkStart w:id="161" w:name="fig-vote_derniers_elections-2022-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_files/figure-docx/fig-vote_derniers_elections-2022-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2-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_files/figure-docx/fig-vote_derniers_elections-2022-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5" w:name="fig-vote_derniers_elections-2023"/>
    <w:bookmarkStart w:id="170" w:name="fig-vote_derniers_elections-2023-1"/>
    <w:p>
      <w:pPr>
        <w:pStyle w:val="FigureWithoutNote"/>
      </w:pPr>
      <w:r>
        <w:t xml:space="preserve">(A) Alluvial plot</w:t>
      </w:r>
    </w:p>
    <w:p>
      <w:pPr>
        <w:pStyle w:val="FigureWithoutNote"/>
      </w:pPr>
      <w:r>
        <w:drawing>
          <wp:inline>
            <wp:extent cx="2971800" cy="2971800"/>
            <wp:effectExtent b="0" l="0" r="0" t="0"/>
            <wp:docPr descr="" title="" id="168" name="Picture"/>
            <a:graphic>
              <a:graphicData uri="http://schemas.openxmlformats.org/drawingml/2006/picture">
                <pic:pic>
                  <pic:nvPicPr>
                    <pic:cNvPr descr="index_files/figure-docx/fig-vote_derniers_elections-2023-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3-2"/>
    <w:p>
      <w:pPr>
        <w:pStyle w:val="FigureWithoutNote"/>
      </w:pPr>
      <w:r>
        <w:t xml:space="preserve">(B) Percentages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_files/figure-docx/fig-vote_derniers_elections-2023-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5"/>
    <w:p>
      <w:r>
        <w:br w:type="page"/>
      </w:r>
    </w:p>
    <w:bookmarkStart w:id="179"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change-model-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age-absolute-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87"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5" name="Picture"/>
            <a:graphic>
              <a:graphicData uri="http://schemas.openxmlformats.org/drawingml/2006/picture">
                <pic:pic>
                  <pic:nvPicPr>
                    <pic:cNvPr descr="index_files/figure-docx/fig-vote_derniers_elections-age-percentages-1.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9" name="Picture"/>
            <a:graphic>
              <a:graphicData uri="http://schemas.openxmlformats.org/drawingml/2006/picture">
                <pic:pic>
                  <pic:nvPicPr>
                    <pic:cNvPr descr="index_files/figure-docx/fig-vote_derniers_elections-younges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200" w:name="fig-action_individuelle_societe-2020"/>
    <w:bookmarkStart w:id="195" w:name="fig-action_individuelle_societe-2020-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_files/figure-docx/fig-action_individuelle_societe-2020-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0-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action_individuelle_societe-2020-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1"/>
    <w:bookmarkStart w:id="204" w:name="fig-action_individuelle_societe-2021-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_files/figure-docx/fig-action_individuelle_societe-2021-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1-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action_individuelle_societe-2021-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8" w:name="fig-action_individuelle_societe-2022"/>
    <w:bookmarkStart w:id="213" w:name="fig-action_individuelle_societe-2022-1"/>
    <w:p>
      <w:pPr>
        <w:pStyle w:val="FigureWithoutNote"/>
      </w:pPr>
      <w:r>
        <w:t xml:space="preserve">(A) Alluvial plot</w:t>
      </w:r>
    </w:p>
    <w:p>
      <w:pPr>
        <w:pStyle w:val="FigureWithoutNote"/>
      </w:pPr>
      <w:r>
        <w:drawing>
          <wp:inline>
            <wp:extent cx="2971800" cy="2971800"/>
            <wp:effectExtent b="0" l="0" r="0" t="0"/>
            <wp:docPr descr="" title="" id="211" name="Picture"/>
            <a:graphic>
              <a:graphicData uri="http://schemas.openxmlformats.org/drawingml/2006/picture">
                <pic:pic>
                  <pic:nvPicPr>
                    <pic:cNvPr descr="index_files/figure-docx/fig-action_individuelle_societe-2022-1.png" id="212" name="Picture"/>
                    <pic:cNvPicPr>
                      <a:picLocks noChangeArrowheads="1" noChangeAspect="1"/>
                    </pic:cNvPicPr>
                  </pic:nvPicPr>
                  <pic:blipFill>
                    <a:blip r:embed="rId210"/>
                    <a:stretch>
                      <a:fillRect/>
                    </a:stretch>
                  </pic:blipFill>
                  <pic:spPr bwMode="auto">
                    <a:xfrm>
                      <a:off x="0" y="0"/>
                      <a:ext cx="2971800" cy="2971800"/>
                    </a:xfrm>
                    <a:prstGeom prst="rect">
                      <a:avLst/>
                    </a:prstGeom>
                    <a:noFill/>
                    <a:ln w="9525">
                      <a:noFill/>
                      <a:headEnd/>
                      <a:tailEnd/>
                    </a:ln>
                  </pic:spPr>
                </pic:pic>
              </a:graphicData>
            </a:graphic>
          </wp:inline>
        </w:drawing>
      </w:r>
    </w:p>
    <w:bookmarkEnd w:id="213"/>
    <w:bookmarkStart w:id="217" w:name="fig-action_individuelle_societe-2022-2"/>
    <w:p>
      <w:pPr>
        <w:pStyle w:val="FigureWithoutNote"/>
      </w:pPr>
      <w:r>
        <w:t xml:space="preserve">(B) Percentages</w:t>
      </w:r>
    </w:p>
    <w:p>
      <w:pPr>
        <w:pStyle w:val="FigureWithoutNote"/>
      </w:pPr>
      <w:r>
        <w:drawing>
          <wp:inline>
            <wp:extent cx="2971800" cy="2971800"/>
            <wp:effectExtent b="0" l="0" r="0" t="0"/>
            <wp:docPr descr="" title="" id="215" name="Picture"/>
            <a:graphic>
              <a:graphicData uri="http://schemas.openxmlformats.org/drawingml/2006/picture">
                <pic:pic>
                  <pic:nvPicPr>
                    <pic:cNvPr descr="index_files/figure-docx/fig-action_individuelle_societe-2022-2.png" id="216" name="Picture"/>
                    <pic:cNvPicPr>
                      <a:picLocks noChangeArrowheads="1" noChangeAspect="1"/>
                    </pic:cNvPicPr>
                  </pic:nvPicPr>
                  <pic:blipFill>
                    <a:blip r:embed="rId214"/>
                    <a:stretch>
                      <a:fillRect/>
                    </a:stretch>
                  </pic:blipFill>
                  <pic:spPr bwMode="auto">
                    <a:xfrm>
                      <a:off x="0" y="0"/>
                      <a:ext cx="2971800" cy="2971800"/>
                    </a:xfrm>
                    <a:prstGeom prst="rect">
                      <a:avLst/>
                    </a:prstGeom>
                    <a:noFill/>
                    <a:ln w="9525">
                      <a:noFill/>
                      <a:headEnd/>
                      <a:tailEnd/>
                    </a:ln>
                  </pic:spPr>
                </pic:pic>
              </a:graphicData>
            </a:graphic>
          </wp:inline>
        </w:drawing>
      </w:r>
    </w:p>
    <w:bookmarkEnd w:id="217"/>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8"/>
    <w:p>
      <w:r>
        <w:br w:type="page"/>
      </w:r>
    </w:p>
    <w:bookmarkStart w:id="222"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20" name="Picture"/>
            <a:graphic>
              <a:graphicData uri="http://schemas.openxmlformats.org/drawingml/2006/picture">
                <pic:pic>
                  <pic:nvPicPr>
                    <pic:cNvPr descr="index_files/figure-docx/fig-action-change-model-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bookmarkEnd w:id="222"/>
    <w:p>
      <w:r>
        <w:br w:type="page"/>
      </w:r>
    </w:p>
    <w:bookmarkStart w:id="226"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24" name="Picture"/>
            <a:graphic>
              <a:graphicData uri="http://schemas.openxmlformats.org/drawingml/2006/picture">
                <pic:pic>
                  <pic:nvPicPr>
                    <pic:cNvPr descr="index_files/figure-docx/fig-action_individuelle_societe-type-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bookmarkEnd w:id="226"/>
    <w:p>
      <w:r>
        <w:br w:type="page"/>
      </w:r>
    </w:p>
    <w:bookmarkStart w:id="235" w:name="fig-rupture-overview"/>
    <w:bookmarkStart w:id="230" w:name="fig-rupture-overview-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rupture-overview-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rupture-overview-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rupture-overview-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35"/>
    <w:p>
      <w:r>
        <w:br w:type="page"/>
      </w:r>
    </w:p>
    <w:bookmarkStart w:id="239"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mo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8" w:name="fig-rupture"/>
    <w:bookmarkStart w:id="243" w:name="fig-rupture-1"/>
    <w:p>
      <w:pPr>
        <w:pStyle w:val="FigureWithoutNote"/>
      </w:pPr>
      <w:r>
        <w:t xml:space="preserve">(A) (absolute numbers)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rupture-1.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bookmarkStart w:id="247" w:name="fig-rupture-2"/>
    <w:p>
      <w:pPr>
        <w:pStyle w:val="FigureWithoutNote"/>
      </w:pPr>
      <w:r>
        <w:t xml:space="preserve">(B) (percentages)</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rupture-2.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48"/>
    <w:p>
      <w:r>
        <w:br w:type="page"/>
      </w:r>
    </w:p>
    <w:bookmarkStart w:id="252"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0" name="Picture"/>
            <a:graphic>
              <a:graphicData uri="http://schemas.openxmlformats.org/drawingml/2006/picture">
                <pic:pic>
                  <pic:nvPicPr>
                    <pic:cNvPr descr="index_files/figure-docx/fig-rupture-model-demographic-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bookmarkEnd w:id="252"/>
    <w:p>
      <w:r>
        <w:br w:type="page"/>
      </w:r>
    </w:p>
    <w:bookmarkStart w:id="256"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54" name="Picture"/>
            <a:graphic>
              <a:graphicData uri="http://schemas.openxmlformats.org/drawingml/2006/picture">
                <pic:pic>
                  <pic:nvPicPr>
                    <pic:cNvPr descr="index_files/figure-docx/fig-rupture-descriptive-1.png" id="255" name="Picture"/>
                    <pic:cNvPicPr>
                      <a:picLocks noChangeArrowheads="1" noChangeAspect="1"/>
                    </pic:cNvPicPr>
                  </pic:nvPicPr>
                  <pic:blipFill>
                    <a:blip r:embed="rId253"/>
                    <a:stretch>
                      <a:fillRect/>
                    </a:stretch>
                  </pic:blipFill>
                  <pic:spPr bwMode="auto">
                    <a:xfrm>
                      <a:off x="0" y="0"/>
                      <a:ext cx="5943600" cy="5943600"/>
                    </a:xfrm>
                    <a:prstGeom prst="rect">
                      <a:avLst/>
                    </a:prstGeom>
                    <a:noFill/>
                    <a:ln w="9525">
                      <a:noFill/>
                      <a:headEnd/>
                      <a:tailEnd/>
                    </a:ln>
                  </pic:spPr>
                </pic:pic>
              </a:graphicData>
            </a:graphic>
          </wp:inline>
        </w:drawing>
      </w:r>
    </w:p>
    <w:bookmarkEnd w:id="256"/>
    <w:p>
      <w:r>
        <w:br w:type="page"/>
      </w:r>
    </w:p>
    <w:bookmarkStart w:id="260"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8" name="Picture"/>
            <a:graphic>
              <a:graphicData uri="http://schemas.openxmlformats.org/drawingml/2006/picture">
                <pic:pic>
                  <pic:nvPicPr>
                    <pic:cNvPr descr="index_files/figure-docx/fig-rupture-model-other-1.png" id="259" name="Picture"/>
                    <pic:cNvPicPr>
                      <a:picLocks noChangeArrowheads="1" noChangeAspect="1"/>
                    </pic:cNvPicPr>
                  </pic:nvPicPr>
                  <pic:blipFill>
                    <a:blip r:embed="rId257"/>
                    <a:stretch>
                      <a:fillRect/>
                    </a:stretch>
                  </pic:blipFill>
                  <pic:spPr bwMode="auto">
                    <a:xfrm>
                      <a:off x="0" y="0"/>
                      <a:ext cx="5943600" cy="5943600"/>
                    </a:xfrm>
                    <a:prstGeom prst="rect">
                      <a:avLst/>
                    </a:prstGeom>
                    <a:noFill/>
                    <a:ln w="9525">
                      <a:noFill/>
                      <a:headEnd/>
                      <a:tailEnd/>
                    </a:ln>
                  </pic:spPr>
                </pic:pic>
              </a:graphicData>
            </a:graphic>
          </wp:inline>
        </w:drawing>
      </w:r>
    </w:p>
    <w:bookmarkEnd w:id="260"/>
    <w:p>
      <w:r>
        <w:br w:type="page"/>
      </w:r>
    </w:p>
    <w:bookmarkStart w:id="264"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62" name="Picture"/>
            <a:graphic>
              <a:graphicData uri="http://schemas.openxmlformats.org/drawingml/2006/picture">
                <pic:pic>
                  <pic:nvPicPr>
                    <pic:cNvPr descr="index_files/figure-docx/fig-rupture-perception_avenir-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bookmarkEnd w:id="264"/>
    <w:p>
      <w:r>
        <w:br w:type="page"/>
      </w:r>
    </w:p>
    <w:bookmarkStart w:id="273" w:name="fig-satisfaction-descriptive"/>
    <w:bookmarkStart w:id="268" w:name="fig-satisfaction-descriptive-1"/>
    <w:p>
      <w:pPr>
        <w:pStyle w:val="FigureWithoutNote"/>
      </w:pPr>
      <w:r>
        <w:t xml:space="preserve">(A) (absolute numbers)</w:t>
      </w:r>
    </w:p>
    <w:p>
      <w:pPr>
        <w:pStyle w:val="FigureWithoutNote"/>
      </w:pPr>
      <w:r>
        <w:drawing>
          <wp:inline>
            <wp:extent cx="2971800" cy="2971800"/>
            <wp:effectExtent b="0" l="0" r="0" t="0"/>
            <wp:docPr descr="" title="" id="266" name="Picture"/>
            <a:graphic>
              <a:graphicData uri="http://schemas.openxmlformats.org/drawingml/2006/picture">
                <pic:pic>
                  <pic:nvPicPr>
                    <pic:cNvPr descr="index_files/figure-docx/fig-satisfaction-descriptive-1.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bookmarkStart w:id="272" w:name="fig-satisfaction-descriptive-2"/>
    <w:p>
      <w:pPr>
        <w:pStyle w:val="FigureWithoutNote"/>
      </w:pPr>
      <w:r>
        <w:t xml:space="preserve">(B) (percentages)</w:t>
      </w:r>
    </w:p>
    <w:p>
      <w:pPr>
        <w:pStyle w:val="FigureWithoutNote"/>
      </w:pPr>
      <w:r>
        <w:drawing>
          <wp:inline>
            <wp:extent cx="2971800" cy="2971800"/>
            <wp:effectExtent b="0" l="0" r="0" t="0"/>
            <wp:docPr descr="" title="" id="270" name="Picture"/>
            <a:graphic>
              <a:graphicData uri="http://schemas.openxmlformats.org/drawingml/2006/picture">
                <pic:pic>
                  <pic:nvPicPr>
                    <pic:cNvPr descr="index_files/figure-docx/fig-satisfaction-descriptive-2.png" id="271" name="Picture"/>
                    <pic:cNvPicPr>
                      <a:picLocks noChangeArrowheads="1" noChangeAspect="1"/>
                    </pic:cNvPicPr>
                  </pic:nvPicPr>
                  <pic:blipFill>
                    <a:blip r:embed="rId269"/>
                    <a:stretch>
                      <a:fillRect/>
                    </a:stretch>
                  </pic:blipFill>
                  <pic:spPr bwMode="auto">
                    <a:xfrm>
                      <a:off x="0" y="0"/>
                      <a:ext cx="2971800" cy="2971800"/>
                    </a:xfrm>
                    <a:prstGeom prst="rect">
                      <a:avLst/>
                    </a:prstGeom>
                    <a:noFill/>
                    <a:ln w="9525">
                      <a:noFill/>
                      <a:headEnd/>
                      <a:tailEnd/>
                    </a:ln>
                  </pic:spPr>
                </pic:pic>
              </a:graphicData>
            </a:graphic>
          </wp:inline>
        </w:drawing>
      </w:r>
    </w:p>
    <w:bookmarkEnd w:id="272"/>
    <w:p>
      <w:pPr>
        <w:pStyle w:val="FigureTitle"/>
      </w:pPr>
      <w:r>
        <w:t xml:space="preserve">Figure 29</w:t>
      </w:r>
    </w:p>
    <w:p>
      <w:pPr>
        <w:pStyle w:val="Caption"/>
      </w:pPr>
      <w:r>
        <w:t xml:space="preserve">Répartition des niveaux de satisfaction</w:t>
      </w:r>
    </w:p>
    <w:bookmarkEnd w:id="273"/>
    <w:p>
      <w:r>
        <w:br w:type="page"/>
      </w:r>
    </w:p>
    <w:bookmarkStart w:id="277"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75" name="Picture"/>
            <a:graphic>
              <a:graphicData uri="http://schemas.openxmlformats.org/drawingml/2006/picture">
                <pic:pic>
                  <pic:nvPicPr>
                    <pic:cNvPr descr="index_files/figure-docx/fig-satisfaction-1.png" id="276" name="Picture"/>
                    <pic:cNvPicPr>
                      <a:picLocks noChangeArrowheads="1" noChangeAspect="1"/>
                    </pic:cNvPicPr>
                  </pic:nvPicPr>
                  <pic:blipFill>
                    <a:blip r:embed="rId274"/>
                    <a:stretch>
                      <a:fillRect/>
                    </a:stretch>
                  </pic:blipFill>
                  <pic:spPr bwMode="auto">
                    <a:xfrm>
                      <a:off x="0" y="0"/>
                      <a:ext cx="5943600" cy="5943600"/>
                    </a:xfrm>
                    <a:prstGeom prst="rect">
                      <a:avLst/>
                    </a:prstGeom>
                    <a:noFill/>
                    <a:ln w="9525">
                      <a:noFill/>
                      <a:headEnd/>
                      <a:tailEnd/>
                    </a:ln>
                  </pic:spPr>
                </pic:pic>
              </a:graphicData>
            </a:graphic>
          </wp:inline>
        </w:drawing>
      </w:r>
    </w:p>
    <w:bookmarkEnd w:id="277"/>
    <w:p>
      <w:r>
        <w:br w:type="page"/>
      </w:r>
    </w:p>
    <w:bookmarkStart w:id="281"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9" name="Picture"/>
            <a:graphic>
              <a:graphicData uri="http://schemas.openxmlformats.org/drawingml/2006/picture">
                <pic:pic>
                  <pic:nvPicPr>
                    <pic:cNvPr descr="index_files/figure-docx/fig-satisfaction-demographic-variables-1.png" id="280" name="Picture"/>
                    <pic:cNvPicPr>
                      <a:picLocks noChangeArrowheads="1" noChangeAspect="1"/>
                    </pic:cNvPicPr>
                  </pic:nvPicPr>
                  <pic:blipFill>
                    <a:blip r:embed="rId278"/>
                    <a:stretch>
                      <a:fillRect/>
                    </a:stretch>
                  </pic:blipFill>
                  <pic:spPr bwMode="auto">
                    <a:xfrm>
                      <a:off x="0" y="0"/>
                      <a:ext cx="5943600" cy="5943600"/>
                    </a:xfrm>
                    <a:prstGeom prst="rect">
                      <a:avLst/>
                    </a:prstGeom>
                    <a:noFill/>
                    <a:ln w="9525">
                      <a:noFill/>
                      <a:headEnd/>
                      <a:tailEnd/>
                    </a:ln>
                  </pic:spPr>
                </pic:pic>
              </a:graphicData>
            </a:graphic>
          </wp:inline>
        </w:drawing>
      </w:r>
    </w:p>
    <w:bookmarkEnd w:id="281"/>
    <w:p>
      <w:r>
        <w:br w:type="page"/>
      </w:r>
    </w:p>
    <w:bookmarkStart w:id="285"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83" name="Picture"/>
            <a:graphic>
              <a:graphicData uri="http://schemas.openxmlformats.org/drawingml/2006/picture">
                <pic:pic>
                  <pic:nvPicPr>
                    <pic:cNvPr descr="index_files/figure-docx/fig-satisfaction-other-variables-1.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bookmarkEnd w:id="285"/>
    <w:p>
      <w:r>
        <w:br w:type="page"/>
      </w:r>
    </w:p>
    <w:bookmarkStart w:id="294" w:name="fig-perception-avenir-descriptive"/>
    <w:bookmarkStart w:id="289" w:name="fig-perception-avenir-descriptive-1"/>
    <w:p>
      <w:pPr>
        <w:pStyle w:val="FigureWithoutNote"/>
      </w:pPr>
      <w:r>
        <w:t xml:space="preserve">(A) (absolute numbers)</w:t>
      </w:r>
    </w:p>
    <w:p>
      <w:pPr>
        <w:pStyle w:val="FigureWithoutNote"/>
      </w:pPr>
      <w:r>
        <w:drawing>
          <wp:inline>
            <wp:extent cx="2971800" cy="2971800"/>
            <wp:effectExtent b="0" l="0" r="0" t="0"/>
            <wp:docPr descr="" title="" id="287" name="Picture"/>
            <a:graphic>
              <a:graphicData uri="http://schemas.openxmlformats.org/drawingml/2006/picture">
                <pic:pic>
                  <pic:nvPicPr>
                    <pic:cNvPr descr="index_files/figure-docx/fig-perception-avenir-descriptive-1.png" id="288" name="Picture"/>
                    <pic:cNvPicPr>
                      <a:picLocks noChangeArrowheads="1" noChangeAspect="1"/>
                    </pic:cNvPicPr>
                  </pic:nvPicPr>
                  <pic:blipFill>
                    <a:blip r:embed="rId286"/>
                    <a:stretch>
                      <a:fillRect/>
                    </a:stretch>
                  </pic:blipFill>
                  <pic:spPr bwMode="auto">
                    <a:xfrm>
                      <a:off x="0" y="0"/>
                      <a:ext cx="2971800" cy="2971800"/>
                    </a:xfrm>
                    <a:prstGeom prst="rect">
                      <a:avLst/>
                    </a:prstGeom>
                    <a:noFill/>
                    <a:ln w="9525">
                      <a:noFill/>
                      <a:headEnd/>
                      <a:tailEnd/>
                    </a:ln>
                  </pic:spPr>
                </pic:pic>
              </a:graphicData>
            </a:graphic>
          </wp:inline>
        </w:drawing>
      </w:r>
    </w:p>
    <w:bookmarkEnd w:id="289"/>
    <w:bookmarkStart w:id="293" w:name="fig-perception-avenir-descriptive-2"/>
    <w:p>
      <w:pPr>
        <w:pStyle w:val="FigureWithoutNote"/>
      </w:pPr>
      <w:r>
        <w:t xml:space="preserve">(B) (percentages)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perception-avenir-descriptive-2.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p>
      <w:pPr>
        <w:pStyle w:val="FigureTitle"/>
      </w:pPr>
      <w:r>
        <w:t xml:space="preserve">Figure 33</w:t>
      </w:r>
    </w:p>
    <w:p>
      <w:pPr>
        <w:pStyle w:val="Caption"/>
      </w:pPr>
      <w:r>
        <w:t xml:space="preserve">Confidence in one’s future, pooled across all cohorts.</w:t>
      </w:r>
    </w:p>
    <w:bookmarkEnd w:id="294"/>
    <w:p>
      <w:r>
        <w:br w:type="page"/>
      </w:r>
    </w:p>
    <w:bookmarkStart w:id="298"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96" name="Picture"/>
            <a:graphic>
              <a:graphicData uri="http://schemas.openxmlformats.org/drawingml/2006/picture">
                <pic:pic>
                  <pic:nvPicPr>
                    <pic:cNvPr descr="index_files/figure-docx/fig-perception_avenir-1.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bookmarkEnd w:id="298"/>
    <w:p>
      <w:r>
        <w:br w:type="page"/>
      </w:r>
    </w:p>
    <w:bookmarkStart w:id="302"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300" name="Picture"/>
            <a:graphic>
              <a:graphicData uri="http://schemas.openxmlformats.org/drawingml/2006/picture">
                <pic:pic>
                  <pic:nvPicPr>
                    <pic:cNvPr descr="index_files/figure-docx/fig-perception-avenir-demographic-variables-1.png" id="301" name="Picture"/>
                    <pic:cNvPicPr>
                      <a:picLocks noChangeArrowheads="1" noChangeAspect="1"/>
                    </pic:cNvPicPr>
                  </pic:nvPicPr>
                  <pic:blipFill>
                    <a:blip r:embed="rId299"/>
                    <a:stretch>
                      <a:fillRect/>
                    </a:stretch>
                  </pic:blipFill>
                  <pic:spPr bwMode="auto">
                    <a:xfrm>
                      <a:off x="0" y="0"/>
                      <a:ext cx="5943600" cy="5943600"/>
                    </a:xfrm>
                    <a:prstGeom prst="rect">
                      <a:avLst/>
                    </a:prstGeom>
                    <a:noFill/>
                    <a:ln w="9525">
                      <a:noFill/>
                      <a:headEnd/>
                      <a:tailEnd/>
                    </a:ln>
                  </pic:spPr>
                </pic:pic>
              </a:graphicData>
            </a:graphic>
          </wp:inline>
        </w:drawing>
      </w:r>
    </w:p>
    <w:bookmarkEnd w:id="302"/>
    <w:p>
      <w:r>
        <w:br w:type="page"/>
      </w:r>
    </w:p>
    <w:bookmarkStart w:id="306"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304" name="Picture"/>
            <a:graphic>
              <a:graphicData uri="http://schemas.openxmlformats.org/drawingml/2006/picture">
                <pic:pic>
                  <pic:nvPicPr>
                    <pic:cNvPr descr="index_files/figure-docx/fig-perception-avenir-other-variables-1.png" id="305" name="Picture"/>
                    <pic:cNvPicPr>
                      <a:picLocks noChangeArrowheads="1" noChangeAspect="1"/>
                    </pic:cNvPicPr>
                  </pic:nvPicPr>
                  <pic:blipFill>
                    <a:blip r:embed="rId303"/>
                    <a:stretch>
                      <a:fillRect/>
                    </a:stretch>
                  </pic:blipFill>
                  <pic:spPr bwMode="auto">
                    <a:xfrm>
                      <a:off x="0" y="0"/>
                      <a:ext cx="5943600" cy="5943600"/>
                    </a:xfrm>
                    <a:prstGeom prst="rect">
                      <a:avLst/>
                    </a:prstGeom>
                    <a:noFill/>
                    <a:ln w="9525">
                      <a:noFill/>
                      <a:headEnd/>
                      <a:tailEnd/>
                    </a:ln>
                  </pic:spPr>
                </pic:pic>
              </a:graphicData>
            </a:graphic>
          </wp:inline>
        </w:drawing>
      </w:r>
    </w:p>
    <w:bookmarkEnd w:id="306"/>
    <w:p>
      <w:r>
        <w:br w:type="page"/>
      </w:r>
    </w:p>
    <w:bookmarkStart w:id="310"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08" name="Picture"/>
            <a:graphic>
              <a:graphicData uri="http://schemas.openxmlformats.org/drawingml/2006/picture">
                <pic:pic>
                  <pic:nvPicPr>
                    <pic:cNvPr descr="index_files/figure-docx/fig-solidarite-aidants-demographic-variables-1.png" id="309" name="Picture"/>
                    <pic:cNvPicPr>
                      <a:picLocks noChangeArrowheads="1" noChangeAspect="1"/>
                    </pic:cNvPicPr>
                  </pic:nvPicPr>
                  <pic:blipFill>
                    <a:blip r:embed="rId307"/>
                    <a:stretch>
                      <a:fillRect/>
                    </a:stretch>
                  </pic:blipFill>
                  <pic:spPr bwMode="auto">
                    <a:xfrm>
                      <a:off x="0" y="0"/>
                      <a:ext cx="5943600" cy="5943600"/>
                    </a:xfrm>
                    <a:prstGeom prst="rect">
                      <a:avLst/>
                    </a:prstGeom>
                    <a:noFill/>
                    <a:ln w="9525">
                      <a:noFill/>
                      <a:headEnd/>
                      <a:tailEnd/>
                    </a:ln>
                  </pic:spPr>
                </pic:pic>
              </a:graphicData>
            </a:graphic>
          </wp:inline>
        </w:drawing>
      </w:r>
    </w:p>
    <w:bookmarkEnd w:id="310"/>
    <w:p>
      <w:r>
        <w:br w:type="page"/>
      </w:r>
    </w:p>
    <w:bookmarkStart w:id="314"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12" name="Picture"/>
            <a:graphic>
              <a:graphicData uri="http://schemas.openxmlformats.org/drawingml/2006/picture">
                <pic:pic>
                  <pic:nvPicPr>
                    <pic:cNvPr descr="index_files/figure-docx/fig-cine-demographic-variables-1.png" id="313" name="Picture"/>
                    <pic:cNvPicPr>
                      <a:picLocks noChangeArrowheads="1" noChangeAspect="1"/>
                    </pic:cNvPicPr>
                  </pic:nvPicPr>
                  <pic:blipFill>
                    <a:blip r:embed="rId311"/>
                    <a:stretch>
                      <a:fillRect/>
                    </a:stretch>
                  </pic:blipFill>
                  <pic:spPr bwMode="auto">
                    <a:xfrm>
                      <a:off x="0" y="0"/>
                      <a:ext cx="5943600" cy="5943600"/>
                    </a:xfrm>
                    <a:prstGeom prst="rect">
                      <a:avLst/>
                    </a:prstGeom>
                    <a:noFill/>
                    <a:ln w="9525">
                      <a:noFill/>
                      <a:headEnd/>
                      <a:tailEnd/>
                    </a:ln>
                  </pic:spPr>
                </pic:pic>
              </a:graphicData>
            </a:graphic>
          </wp:inline>
        </w:drawing>
      </w:r>
    </w:p>
    <w:bookmarkEnd w:id="314"/>
    <w:p>
      <w:r>
        <w:br w:type="page"/>
      </w:r>
    </w:p>
    <w:bookmarkStart w:id="318"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16" name="Picture"/>
            <a:graphic>
              <a:graphicData uri="http://schemas.openxmlformats.org/drawingml/2006/picture">
                <pic:pic>
                  <pic:nvPicPr>
                    <pic:cNvPr descr="index_files/figure-docx/fig-booster-demographic-variables-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20" name="Picture"/>
            <a:graphic>
              <a:graphicData uri="http://schemas.openxmlformats.org/drawingml/2006/picture">
                <pic:pic>
                  <pic:nvPicPr>
                    <pic:cNvPr descr="index_files/figure-docx/fig-ecovolonterre-demographic-variables-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26"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24" name="Picture"/>
            <a:graphic>
              <a:graphicData uri="http://schemas.openxmlformats.org/drawingml/2006/picture">
                <pic:pic>
                  <pic:nvPicPr>
                    <pic:cNvPr descr="index_files/figure-docx/fig-mediaterre-demographic-variables-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bookmarkEnd w:id="326"/>
    <w:p>
      <w:r>
        <w:br w:type="page"/>
      </w:r>
    </w:p>
    <w:bookmarkStart w:id="330"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28" name="Picture"/>
            <a:graphic>
              <a:graphicData uri="http://schemas.openxmlformats.org/drawingml/2006/picture">
                <pic:pic>
                  <pic:nvPicPr>
                    <pic:cNvPr descr="index_files/figure-docx/fig-asm-demographic-variables-1.png" id="329" name="Picture"/>
                    <pic:cNvPicPr>
                      <a:picLocks noChangeArrowheads="1" noChangeAspect="1"/>
                    </pic:cNvPicPr>
                  </pic:nvPicPr>
                  <pic:blipFill>
                    <a:blip r:embed="rId327"/>
                    <a:stretch>
                      <a:fillRect/>
                    </a:stretch>
                  </pic:blipFill>
                  <pic:spPr bwMode="auto">
                    <a:xfrm>
                      <a:off x="0" y="0"/>
                      <a:ext cx="5943600" cy="5943600"/>
                    </a:xfrm>
                    <a:prstGeom prst="rect">
                      <a:avLst/>
                    </a:prstGeom>
                    <a:noFill/>
                    <a:ln w="9525">
                      <a:noFill/>
                      <a:headEnd/>
                      <a:tailEnd/>
                    </a:ln>
                  </pic:spPr>
                </pic:pic>
              </a:graphicData>
            </a:graphic>
          </wp:inline>
        </w:drawing>
      </w:r>
    </w:p>
    <w:bookmarkEnd w:id="330"/>
    <w:p>
      <w:r>
        <w:br w:type="page"/>
      </w:r>
    </w:p>
    <w:bookmarkStart w:id="334"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32" name="Picture"/>
            <a:graphic>
              <a:graphicData uri="http://schemas.openxmlformats.org/drawingml/2006/picture">
                <pic:pic>
                  <pic:nvPicPr>
                    <pic:cNvPr descr="index_files/figure-docx/fig-solidarite-seniors-demographic-variables-1.png" id="333" name="Picture"/>
                    <pic:cNvPicPr>
                      <a:picLocks noChangeArrowheads="1" noChangeAspect="1"/>
                    </pic:cNvPicPr>
                  </pic:nvPicPr>
                  <pic:blipFill>
                    <a:blip r:embed="rId331"/>
                    <a:stretch>
                      <a:fillRect/>
                    </a:stretch>
                  </pic:blipFill>
                  <pic:spPr bwMode="auto">
                    <a:xfrm>
                      <a:off x="0" y="0"/>
                      <a:ext cx="5943600" cy="5943600"/>
                    </a:xfrm>
                    <a:prstGeom prst="rect">
                      <a:avLst/>
                    </a:prstGeom>
                    <a:noFill/>
                    <a:ln w="9525">
                      <a:noFill/>
                      <a:headEnd/>
                      <a:tailEnd/>
                    </a:ln>
                  </pic:spPr>
                </pic:pic>
              </a:graphicData>
            </a:graphic>
          </wp:inline>
        </w:drawing>
      </w:r>
    </w:p>
    <w:bookmarkEnd w:id="334"/>
    <w:p>
      <w:r>
        <w:br w:type="page"/>
      </w:r>
    </w:p>
    <w:bookmarkEnd w:id="3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39">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42">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0">
    <w:p>
      <w:pPr>
        <w:pStyle w:val="FootnoteText"/>
      </w:pPr>
      <w:r>
        <w:rPr>
          <w:rStyle w:val="FootnoteReference"/>
        </w:rPr>
        <w:footnoteRef/>
      </w:r>
      <w:r>
        <w:t xml:space="preserve"> </w:t>
      </w:r>
      <w:r>
        <w:t xml:space="preserve">Note that there are slight differences with the reported odds ratio due to rounding errors.</w:t>
      </w:r>
    </w:p>
  </w:footnote>
  <w:footnote w:id="52">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56">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 w:id="63">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9" Target="media/rId21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27" Target="media/rId32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315" Target="media/rId315.png" /><Relationship Type="http://schemas.openxmlformats.org/officeDocument/2006/relationships/image" Id="rId311" Target="media/rId311.png" /><Relationship Type="http://schemas.openxmlformats.org/officeDocument/2006/relationships/image" Id="rId319" Target="media/rId31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323" Target="media/rId323.png" /><Relationship Type="http://schemas.openxmlformats.org/officeDocument/2006/relationships/image" Id="rId299" Target="media/rId299.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82" Target="media/rId282.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31" Target="media/rId331.png" /><Relationship Type="http://schemas.openxmlformats.org/officeDocument/2006/relationships/image" Id="rId176" Target="media/rId17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88" Target="media/rId188.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2025-11-10T22:23:34Z</dcterms:created>
  <dcterms:modified xsi:type="dcterms:W3CDTF">2025-11-10T22:23:34Z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5253</vt:lpwstr>
  </property>
  <property fmtid="{D5CDD505-2E9C-101B-9397-08002B2CF9AE}" pid="62" name="zerocitations">
    <vt:lpwstr>True</vt:lpwstr>
  </property>
</Properties>
</file>