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72"/>
          <w:szCs w:val="72"/>
        </w:rPr>
        <w:t xml:space="preserve">Realaize</w:t>
      </w:r>
    </w:p>
    <w:p>
      <w:pPr>
        <w:spacing w:after="120"/>
        <w:jc w:val="center"/>
      </w:pPr>
      <w:r>
        <w:rPr>
          <w:color w:val="2E75B6"/>
          <w:sz w:val="32"/>
          <w:szCs w:val="32"/>
        </w:rPr>
        <w:t xml:space="preserve">Real-Estate-Investment-Management-Plattform</w:t>
      </w:r>
    </w:p>
    <w:p>
      <w:pPr>
        <w:spacing w:after="60"/>
        <w:jc w:val="center"/>
      </w:pPr>
      <w:r>
        <w:rPr>
          <w:color w:val="666666"/>
          <w:sz w:val="26"/>
          <w:szCs w:val="26"/>
        </w:rPr>
        <w:t xml:space="preserve">Funktionale &amp; strukturelle Übersicht</w:t>
      </w:r>
    </w:p>
    <w:p>
      <w:pPr>
        <w:spacing w:before="600"/>
        <w:jc w:val="center"/>
      </w:pPr>
      <w:r>
        <w:rPr>
          <w:i/>
          <w:iCs/>
          <w:color w:val="666666"/>
          <w:sz w:val="22"/>
          <w:szCs w:val="22"/>
        </w:rPr>
        <w:t xml:space="preserve">Was die Anwendung leistet, welche Bereiche es gibt und wie sie zusammenspielen</w:t>
      </w:r>
    </w:p>
    <w:p>
      <w:pPr>
        <w:spacing w:before="2000"/>
        <w:jc w:val="center"/>
      </w:pPr>
      <w:r>
        <w:rPr>
          <w:color w:val="666666"/>
          <w:sz w:val="20"/>
          <w:szCs w:val="20"/>
        </w:rPr>
        <w:t xml:space="preserve">Stand: 12.06.2026</w:t>
      </w:r>
    </w:p>
    <w:p>
      <w:r>
        <w:br w:type="page"/>
      </w:r>
    </w:p>
    <w:p>
      <w:pPr>
        <w:pStyle w:val="Heading1"/>
      </w:pPr>
      <w:r>
        <w:t xml:space="preserve">Inhaltsverzeichnis</w:t>
      </w:r>
    </w:p>
    <w:sdt>
      <w:sdtPr>
        <w:alias w:val="Inhalt"/>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Wozu dient die Anwendung?</w:t>
      </w:r>
    </w:p>
    <w:p>
      <w:pPr>
        <w:spacing w:after="120" w:line="276"/>
      </w:pPr>
      <w:r>
        <w:t xml:space="preserve">Realaize unterstützt Immobilien-Investoren und Asset-Manager dabei, ihr Geschäft entlang des gesamten Lebenszyklus einer Immobilie zu steuern – vom Aufspüren und Prüfen neuer Objekte über das laufende Bestandsmanagement und die Projektentwicklung bis zum Verkauf.</w:t>
      </w:r>
    </w:p>
    <w:p>
      <w:pPr>
        <w:spacing w:after="120" w:line="276"/>
      </w:pPr>
      <w:r>
        <w:t xml:space="preserve">Die Plattform bündelt das, was sonst über viele Excel-Dateien, E-Mails und Tools verteilt ist, an einem Ort: Objektdaten, Finanzkennzahlen, Verträge und Dokumente, Termine, Kontakte sowie KI-gestützte Markt- und Deal-Informationen.</w:t>
      </w:r>
    </w:p>
    <w:p>
      <w:pPr>
        <w:pStyle w:val="Heading2"/>
      </w:pPr>
      <w:r>
        <w:t xml:space="preserve">1.1 Für wen?</w:t>
      </w:r>
    </w:p>
    <w:p>
      <w:pPr>
        <w:pStyle w:val="ListParagraph"/>
        <w:numPr>
          <w:ilvl w:val="0"/>
          <w:numId w:val="2"/>
        </w:numPr>
        <w:spacing w:after="40" w:line="264"/>
      </w:pPr>
      <w:r>
        <w:t xml:space="preserve">Investment-/Acquisition-Teams: prüfen und bewerten neue Ankaufschancen.</w:t>
      </w:r>
    </w:p>
    <w:p>
      <w:pPr>
        <w:pStyle w:val="ListParagraph"/>
        <w:numPr>
          <w:ilvl w:val="0"/>
          <w:numId w:val="2"/>
        </w:numPr>
        <w:spacing w:after="40" w:line="264"/>
      </w:pPr>
      <w:r>
        <w:t xml:space="preserve">Asset-Manager: steuern Bestandsobjekte, Mieten, Finanzierung und Kennzahlen.</w:t>
      </w:r>
    </w:p>
    <w:p>
      <w:pPr>
        <w:pStyle w:val="ListParagraph"/>
        <w:numPr>
          <w:ilvl w:val="0"/>
          <w:numId w:val="2"/>
        </w:numPr>
        <w:spacing w:after="40" w:line="264"/>
      </w:pPr>
      <w:r>
        <w:t xml:space="preserve">Projektentwickler: verfolgen Bau-Fortschritt, Gewerke, Budgets und Verkauf von Einheiten.</w:t>
      </w:r>
    </w:p>
    <w:p>
      <w:pPr>
        <w:pStyle w:val="ListParagraph"/>
        <w:numPr>
          <w:ilvl w:val="0"/>
          <w:numId w:val="2"/>
        </w:numPr>
        <w:spacing w:after="40" w:line="264"/>
      </w:pPr>
      <w:r>
        <w:t xml:space="preserve">Geschäftsführung: behält Portfolio-Überblick und Kennzahlen im Dashboard.</w:t>
      </w:r>
    </w:p>
    <w:p>
      <w:pPr>
        <w:pStyle w:val="Heading2"/>
      </w:pPr>
      <w:r>
        <w:t xml:space="preserve">1.2 Grundgedanke: alles in Organisationen (Mandanten)</w:t>
      </w:r>
    </w:p>
    <w:p>
      <w:pPr>
        <w:spacing w:after="120" w:line="276"/>
      </w:pPr>
      <w:r>
        <w:t xml:space="preserve">Jeder Datensatz gehört zu einer Organisation (z. B. einer Firma oder einem Fonds). Nutzer sind Mitglieder einer oder mehrerer Organisationen und haben je Organisation eine Rolle. So arbeiten mehrere Teams getrennt auf derselben Plattform.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r>
              <w:rPr>
                <w:b/>
                <w:bCs/>
                <w:color w:val="FFFFFF"/>
                <w:sz w:val="19"/>
                <w:szCs w:val="19"/>
              </w:rPr>
              <w:t xml:space="preserve">Rolle</w:t>
            </w:r>
          </w:p>
        </w:tc>
        <w:tc>
          <w:tcPr>
            <w:tcW w:type="dxa" w:w="71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r>
              <w:rPr>
                <w:b/>
                <w:bCs/>
                <w:color w:val="FFFFFF"/>
                <w:sz w:val="19"/>
                <w:szCs w:val="19"/>
              </w:rPr>
              <w:t xml:space="preserve">Darf typischerweise</w:t>
            </w:r>
          </w:p>
        </w:tc>
      </w:tr>
      <w:tr>
        <w:tc>
          <w:tcPr>
            <w:tcW w:type="dxa" w:w="220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Admin</w:t>
            </w:r>
          </w:p>
        </w:tc>
        <w:tc>
          <w:tcPr>
            <w:tcW w:type="dxa" w:w="716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Organisation verwalten, Mitglieder einladen, alles bearbeiten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Editor</w:t>
            </w:r>
          </w:p>
        </w:tc>
        <w:tc>
          <w:tcPr>
            <w:tcW w:type="dxa" w:w="7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Fachdaten anlegen und bearbeiten (Assets, Deals, etc.)</w:t>
            </w:r>
          </w:p>
        </w:tc>
      </w:tr>
      <w:tr>
        <w:tc>
          <w:tcPr>
            <w:tcW w:type="dxa" w:w="220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Viewer</w:t>
            </w:r>
          </w:p>
        </w:tc>
        <w:tc>
          <w:tcPr>
            <w:tcW w:type="dxa" w:w="716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Daten nur ansehen, keine Änderungen</w:t>
            </w:r>
          </w:p>
        </w:tc>
      </w:tr>
    </w:tbl>
    <w:p>
      <w:r>
        <w:br w:type="page"/>
      </w:r>
    </w:p>
    <w:p>
      <w:pPr>
        <w:pStyle w:val="Heading1"/>
      </w:pPr>
      <w:r>
        <w:t xml:space="preserve">2. Das Herzstück: der Immobilien-Lebenszyklus</w:t>
      </w:r>
    </w:p>
    <w:p>
      <w:pPr>
        <w:spacing w:after="120" w:line="276"/>
      </w:pPr>
      <w:r>
        <w:t xml:space="preserve">Die fachliche Struktur folgt dem Weg, den eine Immobilie im Investment durchläuft. Jede Phase entspricht einem Bereich der Anwendung:</w:t>
      </w:r>
    </w:p>
    <w:p>
      <w:pPr>
        <w:pBdr>
          <w:top w:val="single" w:color="2E75B6" w:sz="1"/>
          <w:bottom w:val="single" w:color="2E75B6" w:sz="1"/>
          <w:left w:val="single" w:color="2E75B6" w:sz="1"/>
          <w:right w:val="single" w:color="2E75B6" w:sz="1"/>
        </w:pBdr>
        <w:shd w:fill="EFF4FA" w:val="clear"/>
        <w:spacing w:after="80" w:before="80"/>
        <w:jc w:val="center"/>
      </w:pPr>
      <w:r>
        <w:rPr>
          <w:rFonts w:ascii="Consolas" w:cs="Consolas" w:eastAsia="Consolas" w:hAnsi="Consolas"/>
          <w:color w:val="1F4E79"/>
          <w:sz w:val="19"/>
          <w:szCs w:val="19"/>
        </w:rPr>
        <w:t xml:space="preserve">  AKQUISITION        BESTAND            (ENTWICKLUNG)         VERKAUF</w:t>
      </w:r>
      <w:r>
        <w:rPr>
          <w:rFonts w:ascii="Consolas" w:cs="Consolas" w:eastAsia="Consolas" w:hAnsi="Consolas"/>
          <w:color w:val="1F4E79"/>
          <w:sz w:val="19"/>
          <w:szCs w:val="19"/>
        </w:rPr>
        <w:br/>
        <w:t xml:space="preserve">   (Deal)      ──▶   (Asset)    ◀──▶   (Development)   ──▶    (Sale)</w:t>
      </w:r>
      <w:r>
        <w:rPr>
          <w:rFonts w:ascii="Consolas" w:cs="Consolas" w:eastAsia="Consolas" w:hAnsi="Consolas"/>
          <w:color w:val="1F4E79"/>
          <w:sz w:val="19"/>
          <w:szCs w:val="19"/>
        </w:rPr>
        <w:br/>
        <w:t xml:space="preserve"/>
      </w:r>
      <w:r>
        <w:rPr>
          <w:rFonts w:ascii="Consolas" w:cs="Consolas" w:eastAsia="Consolas" w:hAnsi="Consolas"/>
          <w:color w:val="1F4E79"/>
          <w:sz w:val="19"/>
          <w:szCs w:val="19"/>
        </w:rPr>
        <w:br/>
        <w:t xml:space="preserve"> Objekt finden     Halten &amp;            Bauen /              Exit /</w:t>
      </w:r>
      <w:r>
        <w:rPr>
          <w:rFonts w:ascii="Consolas" w:cs="Consolas" w:eastAsia="Consolas" w:hAnsi="Consolas"/>
          <w:color w:val="1F4E79"/>
          <w:sz w:val="19"/>
          <w:szCs w:val="19"/>
        </w:rPr>
        <w:br/>
        <w:t xml:space="preserve"> &amp; prüfen          bewirtschaften      sanieren             veräußern</w:t>
      </w:r>
    </w:p>
    <w:p>
      <w:pPr>
        <w:pStyle w:val="ListParagraph"/>
        <w:numPr>
          <w:ilvl w:val="0"/>
          <w:numId w:val="2"/>
        </w:numPr>
        <w:spacing w:after="40" w:line="264"/>
      </w:pPr>
      <w:r>
        <w:rPr>
          <w:b/>
          <w:bCs/>
        </w:rPr>
        <w:t xml:space="preserve">Akquisition (Deal): </w:t>
      </w:r>
      <w:r>
        <w:t xml:space="preserve">Ein Objekt wird geprüft, kalkuliert und durch die Phasen geführt. Bei Erfolg wird daraus ein Bestandsobjekt.</w:t>
      </w:r>
    </w:p>
    <w:p>
      <w:pPr>
        <w:pStyle w:val="ListParagraph"/>
        <w:numPr>
          <w:ilvl w:val="0"/>
          <w:numId w:val="2"/>
        </w:numPr>
        <w:spacing w:after="40" w:line="264"/>
      </w:pPr>
      <w:r>
        <w:rPr>
          <w:b/>
          <w:bCs/>
        </w:rPr>
        <w:t xml:space="preserve">Bestand (Asset): </w:t>
      </w:r>
      <w:r>
        <w:t xml:space="preserve">Das gehaltene Objekt mit Einheiten, Mietern, Finanzierung und Kennzahlen.</w:t>
      </w:r>
    </w:p>
    <w:p>
      <w:pPr>
        <w:pStyle w:val="ListParagraph"/>
        <w:numPr>
          <w:ilvl w:val="0"/>
          <w:numId w:val="2"/>
        </w:numPr>
        <w:spacing w:after="40" w:line="264"/>
      </w:pPr>
      <w:r>
        <w:rPr>
          <w:b/>
          <w:bCs/>
        </w:rPr>
        <w:t xml:space="preserve">Entwicklung (Development): </w:t>
      </w:r>
      <w:r>
        <w:t xml:space="preserve">Neubau- oder Sanierungsprojekte mit Gewerken, Budgets und Verkauf von Einheiten.</w:t>
      </w:r>
    </w:p>
    <w:p>
      <w:pPr>
        <w:pStyle w:val="ListParagraph"/>
        <w:numPr>
          <w:ilvl w:val="0"/>
          <w:numId w:val="2"/>
        </w:numPr>
        <w:spacing w:after="40" w:line="264"/>
      </w:pPr>
      <w:r>
        <w:rPr>
          <w:b/>
          <w:bCs/>
        </w:rPr>
        <w:t xml:space="preserve">Verkauf (Sale): </w:t>
      </w:r>
      <w:r>
        <w:t xml:space="preserve">Der Exit eines Bestandsobjekts mit Käufer-Tracking und Preisfindung.</w:t>
      </w:r>
    </w:p>
    <w:p>
      <w:pPr>
        <w:spacing w:after="80"/>
      </w:pPr>
      <w:r>
        <w:t xml:space="preserve"/>
      </w:r>
    </w:p>
    <w:p>
      <w:pPr>
        <w:spacing w:after="120" w:line="276"/>
      </w:pPr>
      <w:r>
        <w:rPr>
          <w:b/>
          <w:bCs/>
        </w:rPr>
        <w:t xml:space="preserve">Wichtig: </w:t>
      </w:r>
      <w:r>
        <w:t xml:space="preserve">Ein Verkauf verweist auf das ursprüngliche Asset (sourceAssetId). So bleibt die Verbindung 'dieses Objekt wurde verkauft' erhalten.</w:t>
      </w:r>
    </w:p>
    <w:p>
      <w:r>
        <w:br w:type="page"/>
      </w:r>
    </w:p>
    <w:p>
      <w:pPr>
        <w:pStyle w:val="Heading1"/>
      </w:pPr>
      <w:r>
        <w:t xml:space="preserve">3. Die Funktionsbereiche im Detail</w:t>
      </w:r>
    </w:p>
    <w:p>
      <w:pPr>
        <w:pStyle w:val="Heading2"/>
      </w:pPr>
      <w:r>
        <w:t xml:space="preserve">3.1 Portfolio / Dashboard</w:t>
      </w:r>
    </w:p>
    <w:p>
      <w:pPr>
        <w:spacing w:after="120" w:line="276"/>
      </w:pPr>
      <w:r>
        <w:t xml:space="preserve">Die Startseite gibt den Gesamtüberblick: zentrale Kennzahlen (KPIs), die Liste der Bestandsobjekte, die Deal-Pipeline und einen Marktüberblick. Hier sieht man auf einen Blick, wie das Portfolio steht.</w:t>
      </w:r>
    </w:p>
    <w:p>
      <w:pPr>
        <w:pStyle w:val="Heading2"/>
      </w:pPr>
      <w:r>
        <w:t xml:space="preserve">3.2 Akquisition (Deals)</w:t>
      </w:r>
    </w:p>
    <w:p>
      <w:pPr>
        <w:spacing w:after="120" w:line="276"/>
      </w:pPr>
      <w:r>
        <w:t xml:space="preserve">Hier werden Ankaufschancen erfasst und durch einen klaren Prozess geführt. Ein Assistent (Wizard) unterstützt die Eingabe.</w:t>
      </w:r>
    </w:p>
    <w:p>
      <w:pPr>
        <w:spacing w:after="120" w:line="276"/>
      </w:pPr>
      <w:r>
        <w:rPr>
          <w:b/>
          <w:bCs/>
        </w:rPr>
        <w:t xml:space="preserve">Phasen einer Akquisition:</w:t>
      </w:r>
    </w:p>
    <w:p>
      <w:pPr>
        <w:pBdr>
          <w:top w:val="single" w:color="2E75B6" w:sz="1"/>
          <w:bottom w:val="single" w:color="2E75B6" w:sz="1"/>
          <w:left w:val="single" w:color="2E75B6" w:sz="1"/>
          <w:right w:val="single" w:color="2E75B6" w:sz="1"/>
        </w:pBdr>
        <w:shd w:fill="EFF4FA" w:val="clear"/>
        <w:spacing w:after="80" w:before="80"/>
        <w:jc w:val="center"/>
      </w:pPr>
      <w:r>
        <w:rPr>
          <w:rFonts w:ascii="Consolas" w:cs="Consolas" w:eastAsia="Consolas" w:hAnsi="Consolas"/>
          <w:color w:val="1F4E79"/>
          <w:sz w:val="19"/>
          <w:szCs w:val="19"/>
        </w:rPr>
        <w:t xml:space="preserve">Screening  ▶  LOI  ▶  Due Diligence  ▶  Signing  ▶  Closing</w:t>
      </w:r>
    </w:p>
    <w:p>
      <w:pPr>
        <w:spacing w:after="120" w:line="276"/>
      </w:pPr>
      <w:r>
        <w:t xml:space="preserve">Pro Deal werden u. a. erfasst: Objekt- und Standortdaten, Kaufpreisvorstellung, Makler, Annahmen zur Kalkulation (Underwriting: Mietansatz, Capex, Haltedauer, Exit-Faktor) und zur Finanzierung (Darlehen, Zins, Tilgung, Covenants). Ein Deal-Dashboard zeigt daraus die Kennzahlen.</w:t>
      </w:r>
    </w:p>
    <w:p>
      <w:pPr>
        <w:pStyle w:val="Heading2"/>
      </w:pPr>
      <w:r>
        <w:t xml:space="preserve">3.3 Bestand (Assets)</w:t>
      </w:r>
    </w:p>
    <w:p>
      <w:pPr>
        <w:spacing w:after="120" w:line="276"/>
      </w:pPr>
      <w:r>
        <w:t xml:space="preserve">Das Bestandsmanagement bildet ein gehaltenes Objekt vollständig ab. Eine Detailseite bündelt alle Informationen: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r>
              <w:rPr>
                <w:b/>
                <w:bCs/>
                <w:color w:val="FFFFFF"/>
                <w:sz w:val="19"/>
                <w:szCs w:val="19"/>
              </w:rPr>
              <w:t xml:space="preserve">Bereich</w:t>
            </w:r>
          </w:p>
        </w:tc>
        <w:tc>
          <w:tcPr>
            <w:tcW w:type="dxa" w:w="66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r>
              <w:rPr>
                <w:b/>
                <w:bCs/>
                <w:color w:val="FFFFFF"/>
                <w:sz w:val="19"/>
                <w:szCs w:val="19"/>
              </w:rPr>
              <w:t xml:space="preserve">Inhalt</w:t>
            </w:r>
          </w:p>
        </w:tc>
      </w:tr>
      <w:tr>
        <w:tc>
          <w:tcPr>
            <w:tcW w:type="dxa" w:w="270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Stammdaten &amp; Bewertung</w:t>
            </w:r>
          </w:p>
        </w:tc>
        <w:tc>
          <w:tcPr>
            <w:tcW w:type="dxa" w:w="666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Adresse, Nutzungsart, Status, Kaufpreis, aktueller Wert</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Flächen &amp; Einheiten</w:t>
            </w:r>
          </w:p>
        </w:tc>
        <w:tc>
          <w:tcPr>
            <w:tcW w:type="dxa" w:w="66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Gesamt-/vermietbare Fläche, Vermietungsstand, Einheiten mit Mietern</w:t>
            </w:r>
          </w:p>
        </w:tc>
      </w:tr>
      <w:tr>
        <w:tc>
          <w:tcPr>
            <w:tcW w:type="dxa" w:w="270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Mietverträge</w:t>
            </w:r>
          </w:p>
        </w:tc>
        <w:tc>
          <w:tcPr>
            <w:tcW w:type="dxa" w:w="666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Mieter, Miete/m², Laufzeiten je Einheit</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Finanzierung (Debt)</w:t>
            </w:r>
          </w:p>
        </w:tc>
        <w:tc>
          <w:tcPr>
            <w:tcW w:type="dxa" w:w="66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Darlehen (Senior/Mezzanine/Junior), Zins, Tilgung, Fälligkeit</w:t>
            </w:r>
          </w:p>
        </w:tc>
      </w:tr>
      <w:tr>
        <w:tc>
          <w:tcPr>
            <w:tcW w:type="dxa" w:w="270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Covenants</w:t>
            </w:r>
          </w:p>
        </w:tc>
        <w:tc>
          <w:tcPr>
            <w:tcW w:type="dxa" w:w="666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Auflagen (LTV, DSCR, ICR) mit Status OK / Warnung / Verletzung</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Cashflows</w:t>
            </w:r>
          </w:p>
        </w:tc>
        <w:tc>
          <w:tcPr>
            <w:tcW w:type="dxa" w:w="66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Erfasste und prognostizierte Zahlungsströme</w:t>
            </w:r>
          </w:p>
        </w:tc>
      </w:tr>
      <w:tr>
        <w:tc>
          <w:tcPr>
            <w:tcW w:type="dxa" w:w="270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Capex-Projekte</w:t>
            </w:r>
          </w:p>
        </w:tc>
        <w:tc>
          <w:tcPr>
            <w:tcW w:type="dxa" w:w="666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Investitionsmaßnahmen mit Budget und Status</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Dokumente</w:t>
            </w:r>
          </w:p>
        </w:tc>
        <w:tc>
          <w:tcPr>
            <w:tcW w:type="dxa" w:w="66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Kaufvertrag, Mietverträge, Finanzierung, Gutachten, DD, etc.</w:t>
            </w:r>
          </w:p>
        </w:tc>
      </w:tr>
    </w:tbl>
    <w:p>
      <w:pPr>
        <w:pStyle w:val="Heading2"/>
      </w:pPr>
      <w:r>
        <w:t xml:space="preserve">3.4 Projektentwicklung (Developments)</w:t>
      </w:r>
    </w:p>
    <w:p>
      <w:pPr>
        <w:spacing w:after="120" w:line="276"/>
      </w:pPr>
      <w:r>
        <w:t xml:space="preserve">Für Neubau- und Sanierungsprojekte: Verfolgung von Baufortschritt, Gewerken (Trades), Budgets und dem Abverkauf von Einheiten.</w:t>
      </w:r>
    </w:p>
    <w:p>
      <w:pPr>
        <w:pStyle w:val="ListParagraph"/>
        <w:numPr>
          <w:ilvl w:val="0"/>
          <w:numId w:val="2"/>
        </w:numPr>
        <w:spacing w:after="40" w:line="264"/>
      </w:pPr>
      <w:r>
        <w:t xml:space="preserve">Einheiten: Flächen, Preise, Käufer, Verkaufsstatus.</w:t>
      </w:r>
    </w:p>
    <w:p>
      <w:pPr>
        <w:pStyle w:val="ListParagraph"/>
        <w:numPr>
          <w:ilvl w:val="0"/>
          <w:numId w:val="2"/>
        </w:numPr>
        <w:spacing w:after="40" w:line="264"/>
      </w:pPr>
      <w:r>
        <w:t xml:space="preserve">Gewerke: z. B. Rohbau, Fassade, HLKS, Elektro – mit Budget, Beauftragung und Ist-Kosten.</w:t>
      </w:r>
    </w:p>
    <w:p>
      <w:pPr>
        <w:pStyle w:val="ListParagraph"/>
        <w:numPr>
          <w:ilvl w:val="0"/>
          <w:numId w:val="2"/>
        </w:numPr>
        <w:spacing w:after="40" w:line="264"/>
      </w:pPr>
      <w:r>
        <w:t xml:space="preserve">Capex: Gesamtbudget, Reserve, verbrauchte Mittel, Zeitplan.</w:t>
      </w:r>
    </w:p>
    <w:p>
      <w:pPr>
        <w:pStyle w:val="ListParagraph"/>
        <w:numPr>
          <w:ilvl w:val="0"/>
          <w:numId w:val="2"/>
        </w:numPr>
        <w:spacing w:after="40" w:line="264"/>
      </w:pPr>
      <w:r>
        <w:t xml:space="preserve">Angebote &amp; Rechnungen: Käufer-Angebote sowie Rechnungen je Gewerk mit Status.</w:t>
      </w:r>
    </w:p>
    <w:p>
      <w:pPr>
        <w:pStyle w:val="Heading2"/>
      </w:pPr>
      <w:r>
        <w:t xml:space="preserve">3.5 Verkauf (Sales)</w:t>
      </w:r>
    </w:p>
    <w:p>
      <w:pPr>
        <w:spacing w:after="120" w:line="276"/>
      </w:pPr>
      <w:r>
        <w:t xml:space="preserve">Die Exit-Pipeline: Ein Bestandsobjekt wird zum Verkauf gestellt. Erfasst werden gelisteter und erzielter Preis, das Verkaufsdatum, interessierte Käufer (mit Status) sowie die zugehörigen Dokumente.</w:t>
      </w:r>
    </w:p>
    <w:p>
      <w:pPr>
        <w:pStyle w:val="Heading2"/>
      </w:pPr>
      <w:r>
        <w:t xml:space="preserve">3.6 Marktrecherche (Markt)</w:t>
      </w:r>
    </w:p>
    <w:p>
      <w:pPr>
        <w:spacing w:after="120" w:line="276"/>
      </w:pPr>
      <w:r>
        <w:t xml:space="preserve">KI-gestützte Marktdaten je Stadt und Nutzungsart (Wohnen, Büro, Einzelhandel, Logistik): Mieten, Kaufpreise und Faktoren als Vergleichsmaßstab (Benchmarks). Diese Standortdaten werden gespeichert und mit einem Verlauf (Update-Log) versehen.</w:t>
      </w:r>
    </w:p>
    <w:p>
      <w:pPr>
        <w:pStyle w:val="Heading2"/>
      </w:pPr>
      <w:r>
        <w:t xml:space="preserve">3.7 Deal-Radar</w:t>
      </w:r>
    </w:p>
    <w:p>
      <w:pPr>
        <w:spacing w:after="120" w:line="276"/>
      </w:pPr>
      <w:r>
        <w:t xml:space="preserve">Ein KI-Agent durchsucht den Markt nach passenden Investment-Objekten und liefert eine Vorauswahl inklusive einer ersten Einschätzung. So werden potenzielle Deals aktiv vorgeschlagen.</w:t>
      </w:r>
    </w:p>
    <w:p>
      <w:pPr>
        <w:pStyle w:val="Heading2"/>
      </w:pPr>
      <w:r>
        <w:t xml:space="preserve">3.8 News</w:t>
      </w:r>
    </w:p>
    <w:p>
      <w:pPr>
        <w:spacing w:after="120" w:line="276"/>
      </w:pPr>
      <w:r>
        <w:t xml:space="preserve">Täglich aufbereitete, kategorisierte Immobilien-Nachrichten mit Einschätzung der Relevanz (Impact) und einer kurzen Zusammenfassung.</w:t>
      </w:r>
    </w:p>
    <w:p>
      <w:pPr>
        <w:pStyle w:val="Heading2"/>
      </w:pPr>
      <w:r>
        <w:t xml:space="preserve">3.9 AI-Copilot</w:t>
      </w:r>
    </w:p>
    <w:p>
      <w:pPr>
        <w:spacing w:after="120" w:line="276"/>
      </w:pPr>
      <w:r>
        <w:t xml:space="preserve">Ein Chat-Assistent, der bei Analysen und Fragen rund um die Plattformdaten unterstützt.</w:t>
      </w:r>
    </w:p>
    <w:p>
      <w:pPr>
        <w:pStyle w:val="Heading2"/>
      </w:pPr>
      <w:r>
        <w:t xml:space="preserve">3.10 Unterstützende Bereiche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r>
              <w:rPr>
                <w:b/>
                <w:bCs/>
                <w:color w:val="FFFFFF"/>
                <w:sz w:val="19"/>
                <w:szCs w:val="19"/>
              </w:rPr>
              <w:t xml:space="preserve">Bereich</w:t>
            </w:r>
          </w:p>
        </w:tc>
        <w:tc>
          <w:tcPr>
            <w:tcW w:type="dxa" w:w="66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r>
              <w:rPr>
                <w:b/>
                <w:bCs/>
                <w:color w:val="FFFFFF"/>
                <w:sz w:val="19"/>
                <w:szCs w:val="19"/>
              </w:rPr>
              <w:t xml:space="preserve">Funktion</w:t>
            </w:r>
          </w:p>
        </w:tc>
      </w:tr>
      <w:tr>
        <w:tc>
          <w:tcPr>
            <w:tcW w:type="dxa" w:w="270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Kontakte (Adressbuch)</w:t>
            </w:r>
          </w:p>
        </w:tc>
        <w:tc>
          <w:tcPr>
            <w:tcW w:type="dxa" w:w="666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Investoren, Entwickler, Makler, Banken etc.; mit Kategorien, Tags und Verknüpfungen zu Objekten</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Kalender / Termine</w:t>
            </w:r>
          </w:p>
        </w:tc>
        <w:tc>
          <w:tcPr>
            <w:tcW w:type="dxa" w:w="66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Besichtigungen, Meetings, Signing/Closing – optional mit einem Objekt verknüpft</w:t>
            </w:r>
          </w:p>
        </w:tc>
      </w:tr>
      <w:tr>
        <w:tc>
          <w:tcPr>
            <w:tcW w:type="dxa" w:w="270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Dokumente</w:t>
            </w:r>
          </w:p>
        </w:tc>
        <w:tc>
          <w:tcPr>
            <w:tcW w:type="dxa" w:w="666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Zentrale Ablage relevanter Unterlagen je Objekt</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CashFlow</w:t>
            </w:r>
          </w:p>
        </w:tc>
        <w:tc>
          <w:tcPr>
            <w:tcW w:type="dxa" w:w="66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Übergreifende Betrachtung der Zahlungsströme</w:t>
            </w:r>
          </w:p>
        </w:tc>
      </w:tr>
      <w:tr>
        <w:tc>
          <w:tcPr>
            <w:tcW w:type="dxa" w:w="270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Einstellungen</w:t>
            </w:r>
          </w:p>
        </w:tc>
        <w:tc>
          <w:tcPr>
            <w:tcW w:type="dxa" w:w="666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Organisation, Profil, Sprache (DE/EN)</w:t>
            </w:r>
          </w:p>
        </w:tc>
      </w:tr>
    </w:tbl>
    <w:p>
      <w:r>
        <w:br w:type="page"/>
      </w:r>
    </w:p>
    <w:p>
      <w:pPr>
        <w:pStyle w:val="Heading1"/>
      </w:pPr>
      <w:r>
        <w:t xml:space="preserve">4. Fachliche Objekte &amp; ihre Beziehungen</w:t>
      </w:r>
    </w:p>
    <w:p>
      <w:pPr>
        <w:spacing w:after="120" w:line="276"/>
      </w:pPr>
      <w:r>
        <w:t xml:space="preserve">Die folgende Übersicht zeigt, welche Objekte es gibt und wie sie zusammenhängen – ohne technische Details.</w:t>
      </w:r>
    </w:p>
    <w:p>
      <w:pPr>
        <w:pBdr>
          <w:top w:val="single" w:color="2E75B6" w:sz="1"/>
          <w:bottom w:val="single" w:color="2E75B6" w:sz="1"/>
          <w:left w:val="single" w:color="2E75B6" w:sz="1"/>
          <w:right w:val="single" w:color="2E75B6" w:sz="1"/>
        </w:pBdr>
        <w:shd w:fill="EFF4FA" w:val="clear"/>
        <w:spacing w:after="80" w:before="80"/>
        <w:jc w:val="center"/>
      </w:pPr>
      <w:r>
        <w:rPr>
          <w:rFonts w:ascii="Consolas" w:cs="Consolas" w:eastAsia="Consolas" w:hAnsi="Consolas"/>
          <w:color w:val="1F4E79"/>
          <w:sz w:val="19"/>
          <w:szCs w:val="19"/>
        </w:rPr>
        <w:t xml:space="preserve">                 ORGANISATION (Mandant)</w:t>
      </w:r>
      <w:r>
        <w:rPr>
          <w:rFonts w:ascii="Consolas" w:cs="Consolas" w:eastAsia="Consolas" w:hAnsi="Consolas"/>
          <w:color w:val="1F4E79"/>
          <w:sz w:val="19"/>
          <w:szCs w:val="19"/>
        </w:rPr>
        <w:br/>
        <w:t xml:space="preserve">                        │</w:t>
      </w:r>
      <w:r>
        <w:rPr>
          <w:rFonts w:ascii="Consolas" w:cs="Consolas" w:eastAsia="Consolas" w:hAnsi="Consolas"/>
          <w:color w:val="1F4E79"/>
          <w:sz w:val="19"/>
          <w:szCs w:val="19"/>
        </w:rPr>
        <w:br/>
        <w:t xml:space="preserve">   ┌──────────┬─────────┼──────────┬───────────┬──────────┐</w:t>
      </w:r>
      <w:r>
        <w:rPr>
          <w:rFonts w:ascii="Consolas" w:cs="Consolas" w:eastAsia="Consolas" w:hAnsi="Consolas"/>
          <w:color w:val="1F4E79"/>
          <w:sz w:val="19"/>
          <w:szCs w:val="19"/>
        </w:rPr>
        <w:br/>
        <w:t xml:space="preserve"> Kontakte   Termine   Märkte     Deals      Assets      Sales</w:t>
      </w:r>
      <w:r>
        <w:rPr>
          <w:rFonts w:ascii="Consolas" w:cs="Consolas" w:eastAsia="Consolas" w:hAnsi="Consolas"/>
          <w:color w:val="1F4E79"/>
          <w:sz w:val="19"/>
          <w:szCs w:val="19"/>
        </w:rPr>
        <w:br/>
        <w:t xml:space="preserve">                                   │           │           │</w:t>
      </w:r>
      <w:r>
        <w:rPr>
          <w:rFonts w:ascii="Consolas" w:cs="Consolas" w:eastAsia="Consolas" w:hAnsi="Consolas"/>
          <w:color w:val="1F4E79"/>
          <w:sz w:val="19"/>
          <w:szCs w:val="19"/>
        </w:rPr>
        <w:br/>
        <w:t xml:space="preserve">                              (wird zu)   Einheiten    verweist auf</w:t>
      </w:r>
      <w:r>
        <w:rPr>
          <w:rFonts w:ascii="Consolas" w:cs="Consolas" w:eastAsia="Consolas" w:hAnsi="Consolas"/>
          <w:color w:val="1F4E79"/>
          <w:sz w:val="19"/>
          <w:szCs w:val="19"/>
        </w:rPr>
        <w:br/>
        <w:t xml:space="preserve">                                   └──────────▶│        ◀── Asset</w:t>
      </w:r>
      <w:r>
        <w:rPr>
          <w:rFonts w:ascii="Consolas" w:cs="Consolas" w:eastAsia="Consolas" w:hAnsi="Consolas"/>
          <w:color w:val="1F4E79"/>
          <w:sz w:val="19"/>
          <w:szCs w:val="19"/>
        </w:rPr>
        <w:br/>
        <w:t xml:space="preserve">                                          Mietverträge</w:t>
      </w:r>
      <w:r>
        <w:rPr>
          <w:rFonts w:ascii="Consolas" w:cs="Consolas" w:eastAsia="Consolas" w:hAnsi="Consolas"/>
          <w:color w:val="1F4E79"/>
          <w:sz w:val="19"/>
          <w:szCs w:val="19"/>
        </w:rPr>
        <w:br/>
        <w:t xml:space="preserve">                                          Finanzierung</w:t>
      </w:r>
      <w:r>
        <w:rPr>
          <w:rFonts w:ascii="Consolas" w:cs="Consolas" w:eastAsia="Consolas" w:hAnsi="Consolas"/>
          <w:color w:val="1F4E79"/>
          <w:sz w:val="19"/>
          <w:szCs w:val="19"/>
        </w:rPr>
        <w:br/>
        <w:t xml:space="preserve">                                          Covenants / Capex</w:t>
      </w:r>
      <w:r>
        <w:rPr>
          <w:rFonts w:ascii="Consolas" w:cs="Consolas" w:eastAsia="Consolas" w:hAnsi="Consolas"/>
          <w:color w:val="1F4E79"/>
          <w:sz w:val="19"/>
          <w:szCs w:val="19"/>
        </w:rPr>
        <w:br/>
        <w:t xml:space="preserve">                  Developments ──▶ Einheiten · Gewerke · Angebote</w:t>
      </w:r>
    </w:p>
    <w:p>
      <w:pPr>
        <w:pStyle w:val="Heading2"/>
      </w:pPr>
      <w:r>
        <w:t xml:space="preserve">4.1 Was in einem Objekt steckt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r>
              <w:rPr>
                <w:b/>
                <w:bCs/>
                <w:color w:val="FFFFFF"/>
                <w:sz w:val="19"/>
                <w:szCs w:val="19"/>
              </w:rPr>
              <w:t xml:space="preserve">Objekt</w:t>
            </w:r>
          </w:p>
        </w:tc>
        <w:tc>
          <w:tcPr>
            <w:tcW w:type="dxa" w:w="74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r>
              <w:rPr>
                <w:b/>
                <w:bCs/>
                <w:color w:val="FFFFFF"/>
                <w:sz w:val="19"/>
                <w:szCs w:val="19"/>
              </w:rPr>
              <w:t xml:space="preserve">Enthält u. a.</w:t>
            </w:r>
          </w:p>
        </w:tc>
      </w:tr>
      <w:tr>
        <w:tc>
          <w:tcPr>
            <w:tcW w:type="dxa" w:w="190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Deal</w:t>
            </w:r>
          </w:p>
        </w:tc>
        <w:tc>
          <w:tcPr>
            <w:tcW w:type="dxa" w:w="746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Phase, Kaufpreisvorstellung, Makler, Kalkulations- und Finanzierungsannahmen, Aktivitätsverlauf</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Asset</w:t>
            </w:r>
          </w:p>
        </w:tc>
        <w:tc>
          <w:tcPr>
            <w:tcW w:type="dxa" w:w="7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Einheiten, Mietverträge, Finanzierung, Covenants, Cashflows, Capex, Dokumente</w:t>
            </w:r>
          </w:p>
        </w:tc>
      </w:tr>
      <w:tr>
        <w:tc>
          <w:tcPr>
            <w:tcW w:type="dxa" w:w="190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Development</w:t>
            </w:r>
          </w:p>
        </w:tc>
        <w:tc>
          <w:tcPr>
            <w:tcW w:type="dxa" w:w="746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Einheiten, Gewerke, Capex/Budget, Angebote, Rechnungen, Dokumente</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Sale</w:t>
            </w:r>
          </w:p>
        </w:tc>
        <w:tc>
          <w:tcPr>
            <w:tcW w:type="dxa" w:w="7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Quell-Asset, gelisteter/erzielter Preis, Käufer, Dokumente</w:t>
            </w:r>
          </w:p>
        </w:tc>
      </w:tr>
      <w:tr>
        <w:tc>
          <w:tcPr>
            <w:tcW w:type="dxa" w:w="190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Kontakt</w:t>
            </w:r>
          </w:p>
        </w:tc>
        <w:tc>
          <w:tcPr>
            <w:tcW w:type="dxa" w:w="746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Kategorie, Firma, Kontaktdaten, Tags, Verknüpfungen zu Objekten</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Termin</w:t>
            </w:r>
          </w:p>
        </w:tc>
        <w:tc>
          <w:tcPr>
            <w:tcW w:type="dxa" w:w="7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Titel, Datum/Zeit, Ort, Teilnehmer, optional verknüpftes Objekt</w:t>
            </w:r>
          </w:p>
        </w:tc>
      </w:tr>
      <w:tr>
        <w:tc>
          <w:tcPr>
            <w:tcW w:type="dxa" w:w="190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Markt-Standort</w:t>
            </w:r>
          </w:p>
        </w:tc>
        <w:tc>
          <w:tcPr>
            <w:tcW w:type="dxa" w:w="746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Stadt/Region, Benchmarks je Nutzungsart, Aktualisierungsverlauf</w:t>
            </w:r>
          </w:p>
        </w:tc>
      </w:tr>
    </w:tbl>
    <w:p>
      <w:r>
        <w:br w:type="page"/>
      </w:r>
    </w:p>
    <w:p>
      <w:pPr>
        <w:pStyle w:val="Heading1"/>
      </w:pPr>
      <w:r>
        <w:t xml:space="preserve">5. Die wichtigsten Kennzahlen (KPIs)</w:t>
      </w:r>
    </w:p>
    <w:p>
      <w:pPr>
        <w:spacing w:after="120" w:line="276"/>
      </w:pPr>
      <w:r>
        <w:t xml:space="preserve">Die Anwendung berechnet die zentralen Kennzahlen des Immobilien-Investments automatisch aus den erfassten Daten: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r>
              <w:rPr>
                <w:b/>
                <w:bCs/>
                <w:color w:val="FFFFFF"/>
                <w:sz w:val="19"/>
                <w:szCs w:val="19"/>
              </w:rPr>
              <w:t xml:space="preserve">Kennzahl</w:t>
            </w:r>
          </w:p>
        </w:tc>
        <w:tc>
          <w:tcPr>
            <w:tcW w:type="dxa" w:w="64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r>
              <w:rPr>
                <w:b/>
                <w:bCs/>
                <w:color w:val="FFFFFF"/>
                <w:sz w:val="19"/>
                <w:szCs w:val="19"/>
              </w:rPr>
              <w:t xml:space="preserve">Bedeutung (vereinfacht)</w:t>
            </w:r>
          </w:p>
        </w:tc>
      </w:tr>
      <w:tr>
        <w:tc>
          <w:tcPr>
            <w:tcW w:type="dxa" w:w="290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NIY (Net Initial Yield)</w:t>
            </w:r>
          </w:p>
        </w:tc>
        <w:tc>
          <w:tcPr>
            <w:tcW w:type="dxa" w:w="646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Anfangsrendite: Nettomieteinnahmen im Verhältnis zum Kaufpreis</w:t>
            </w:r>
          </w:p>
        </w:tc>
      </w:tr>
      <w:tr>
        <w:tc>
          <w:tcPr>
            <w:tcW w:type="dxa" w:w="2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Kaufpreisfaktor</w:t>
            </w:r>
          </w:p>
        </w:tc>
        <w:tc>
          <w:tcPr>
            <w:tcW w:type="dxa" w:w="6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Vielfaches der Jahresmiete, das für das Objekt gezahlt wird</w:t>
            </w:r>
          </w:p>
        </w:tc>
      </w:tr>
      <w:tr>
        <w:tc>
          <w:tcPr>
            <w:tcW w:type="dxa" w:w="290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LTV (Loan-to-Value)</w:t>
            </w:r>
          </w:p>
        </w:tc>
        <w:tc>
          <w:tcPr>
            <w:tcW w:type="dxa" w:w="646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Anteil der Fremdfinanzierung am Objektwert</w:t>
            </w:r>
          </w:p>
        </w:tc>
      </w:tr>
      <w:tr>
        <w:tc>
          <w:tcPr>
            <w:tcW w:type="dxa" w:w="2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DSCR</w:t>
            </w:r>
          </w:p>
        </w:tc>
        <w:tc>
          <w:tcPr>
            <w:tcW w:type="dxa" w:w="6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Verhältnis von Einnahmen zu Kapitaldienst – Tragfähigkeit der Finanzierung</w:t>
            </w:r>
          </w:p>
        </w:tc>
      </w:tr>
      <w:tr>
        <w:tc>
          <w:tcPr>
            <w:tcW w:type="dxa" w:w="290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ICR</w:t>
            </w:r>
          </w:p>
        </w:tc>
        <w:tc>
          <w:tcPr>
            <w:tcW w:type="dxa" w:w="646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Zinsdeckungsgrad: reichen die Einnahmen für die Zinsen?</w:t>
            </w:r>
          </w:p>
        </w:tc>
      </w:tr>
      <w:tr>
        <w:tc>
          <w:tcPr>
            <w:tcW w:type="dxa" w:w="2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Cash-on-Cash</w:t>
            </w:r>
          </w:p>
        </w:tc>
        <w:tc>
          <w:tcPr>
            <w:tcW w:type="dxa" w:w="6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sz w:val="18"/>
                <w:szCs w:val="18"/>
              </w:rPr>
              <w:t xml:space="preserve">Laufende Barrendite auf das eingesetzte Eigenkapital</w:t>
            </w:r>
          </w:p>
        </w:tc>
      </w:tr>
      <w:tr>
        <w:tc>
          <w:tcPr>
            <w:tcW w:type="dxa" w:w="290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IRR / MoIC</w:t>
            </w:r>
          </w:p>
        </w:tc>
        <w:tc>
          <w:tcPr>
            <w:tcW w:type="dxa" w:w="6460"/>
            <w:tcBorders>
              <w:top w:val="single" w:color="BFBFBF" w:sz="1"/>
              <w:left w:val="single" w:color="BFBFBF" w:sz="1"/>
              <w:bottom w:val="single" w:color="BFBFBF" w:sz="1"/>
              <w:right w:val="single" w:color="BFBFBF" w:sz="1"/>
            </w:tcBorders>
            <w:shd w:fill="EFF4FA" w:val="clear"/>
            <w:tcMar>
              <w:top w:type="dxa" w:w="60"/>
              <w:left w:type="dxa" w:w="120"/>
              <w:bottom w:type="dxa" w:w="60"/>
              <w:right w:type="dxa" w:w="120"/>
            </w:tcMar>
          </w:tcPr>
          <w:p>
            <w:r>
              <w:rPr>
                <w:sz w:val="18"/>
                <w:szCs w:val="18"/>
              </w:rPr>
              <w:t xml:space="preserve">Gesamtrendite über die Haltedauer inkl. Verkauf</w:t>
            </w:r>
          </w:p>
        </w:tc>
      </w:tr>
    </w:tbl>
    <w:p>
      <w:pPr>
        <w:spacing w:after="80"/>
      </w:pPr>
      <w:r>
        <w:t xml:space="preserve"/>
      </w:r>
    </w:p>
    <w:p>
      <w:pPr>
        <w:spacing w:after="120" w:line="276"/>
      </w:pPr>
      <w:r>
        <w:rPr>
          <w:i/>
          <w:iCs/>
        </w:rPr>
        <w:t xml:space="preserve">Diese Kennzahlen erscheinen u. a. im Deal-Dashboard und in den Asset-Detailseiten und fließen in den exportierbaren Investment-Bericht (PDF) ein.</w:t>
      </w:r>
    </w:p>
    <w:p>
      <w:r>
        <w:br w:type="page"/>
      </w:r>
    </w:p>
    <w:p>
      <w:pPr>
        <w:pStyle w:val="Heading1"/>
      </w:pPr>
      <w:r>
        <w:t xml:space="preserve">6. Typische Arbeitsabläufe</w:t>
      </w:r>
    </w:p>
    <w:p>
      <w:pPr>
        <w:pStyle w:val="Heading2"/>
      </w:pPr>
      <w:r>
        <w:t xml:space="preserve">6.1 Vom Deal zum Bestand</w:t>
      </w:r>
    </w:p>
    <w:p>
      <w:pPr>
        <w:pStyle w:val="ListParagraph"/>
        <w:numPr>
          <w:ilvl w:val="0"/>
          <w:numId w:val="3"/>
        </w:numPr>
        <w:spacing w:after="40" w:line="264"/>
      </w:pPr>
      <w:r>
        <w:t xml:space="preserve">Neuen Deal anlegen (manuell oder aus dem Deal-Radar übernehmen).</w:t>
      </w:r>
    </w:p>
    <w:p>
      <w:pPr>
        <w:pStyle w:val="ListParagraph"/>
        <w:numPr>
          <w:ilvl w:val="0"/>
          <w:numId w:val="3"/>
        </w:numPr>
        <w:spacing w:after="40" w:line="264"/>
      </w:pPr>
      <w:r>
        <w:t xml:space="preserve">Annahmen erfassen: Mieten, Capex, Finanzierung, Exit – Kennzahlen werden berechnet.</w:t>
      </w:r>
    </w:p>
    <w:p>
      <w:pPr>
        <w:pStyle w:val="ListParagraph"/>
        <w:numPr>
          <w:ilvl w:val="0"/>
          <w:numId w:val="3"/>
        </w:numPr>
        <w:spacing w:after="40" w:line="264"/>
      </w:pPr>
      <w:r>
        <w:t xml:space="preserve">Deal durch die Phasen führen: Screening → LOI → DD → Signing → Closing.</w:t>
      </w:r>
    </w:p>
    <w:p>
      <w:pPr>
        <w:pStyle w:val="ListParagraph"/>
        <w:numPr>
          <w:ilvl w:val="0"/>
          <w:numId w:val="3"/>
        </w:numPr>
        <w:spacing w:after="40" w:line="264"/>
      </w:pPr>
      <w:r>
        <w:t xml:space="preserve">Nach dem Closing als Bestandsobjekt (Asset) weiterführen.</w:t>
      </w:r>
    </w:p>
    <w:p>
      <w:pPr>
        <w:pStyle w:val="Heading2"/>
      </w:pPr>
      <w:r>
        <w:t xml:space="preserve">6.2 Bestand bewirtschaften</w:t>
      </w:r>
    </w:p>
    <w:p>
      <w:pPr>
        <w:pStyle w:val="ListParagraph"/>
        <w:numPr>
          <w:ilvl w:val="0"/>
          <w:numId w:val="3"/>
        </w:numPr>
        <w:spacing w:after="40" w:line="264"/>
      </w:pPr>
      <w:r>
        <w:t xml:space="preserve">Einheiten, Mietverträge und Finanzierung pflegen.</w:t>
      </w:r>
    </w:p>
    <w:p>
      <w:pPr>
        <w:pStyle w:val="ListParagraph"/>
        <w:numPr>
          <w:ilvl w:val="0"/>
          <w:numId w:val="3"/>
        </w:numPr>
        <w:spacing w:after="40" w:line="264"/>
      </w:pPr>
      <w:r>
        <w:t xml:space="preserve">Covenants überwachen (Ampel-Status), Cashflows und Capex verfolgen.</w:t>
      </w:r>
    </w:p>
    <w:p>
      <w:pPr>
        <w:pStyle w:val="ListParagraph"/>
        <w:numPr>
          <w:ilvl w:val="0"/>
          <w:numId w:val="3"/>
        </w:numPr>
        <w:spacing w:after="40" w:line="264"/>
      </w:pPr>
      <w:r>
        <w:t xml:space="preserve">Dokumente und Termine zum Objekt ablegen.</w:t>
      </w:r>
    </w:p>
    <w:p>
      <w:pPr>
        <w:pStyle w:val="Heading2"/>
      </w:pPr>
      <w:r>
        <w:t xml:space="preserve">6.3 Markt analysieren</w:t>
      </w:r>
    </w:p>
    <w:p>
      <w:pPr>
        <w:pStyle w:val="ListParagraph"/>
        <w:numPr>
          <w:ilvl w:val="0"/>
          <w:numId w:val="3"/>
        </w:numPr>
        <w:spacing w:after="40" w:line="264"/>
      </w:pPr>
      <w:r>
        <w:t xml:space="preserve">Stadt/Nutzungsart auswählen und Marktrecherche starten.</w:t>
      </w:r>
    </w:p>
    <w:p>
      <w:pPr>
        <w:pStyle w:val="ListParagraph"/>
        <w:numPr>
          <w:ilvl w:val="0"/>
          <w:numId w:val="3"/>
        </w:numPr>
        <w:spacing w:after="40" w:line="264"/>
      </w:pPr>
      <w:r>
        <w:t xml:space="preserve">KI liefert Benchmarks (Miete/Kaufpreis/Faktor); diese werden gespeichert.</w:t>
      </w:r>
    </w:p>
    <w:p>
      <w:pPr>
        <w:pStyle w:val="ListParagraph"/>
        <w:numPr>
          <w:ilvl w:val="0"/>
          <w:numId w:val="3"/>
        </w:numPr>
        <w:spacing w:after="40" w:line="264"/>
      </w:pPr>
      <w:r>
        <w:t xml:space="preserve">Benchmarks als Vergleichsmaßstab für Deals und Bewertungen nutzen.</w:t>
      </w:r>
    </w:p>
    <w:p>
      <w:pPr>
        <w:pStyle w:val="Heading2"/>
      </w:pPr>
      <w:r>
        <w:t xml:space="preserve">6.4 Verkaufen (Exit)</w:t>
      </w:r>
    </w:p>
    <w:p>
      <w:pPr>
        <w:pStyle w:val="ListParagraph"/>
        <w:numPr>
          <w:ilvl w:val="0"/>
          <w:numId w:val="3"/>
        </w:numPr>
        <w:spacing w:after="40" w:line="264"/>
      </w:pPr>
      <w:r>
        <w:t xml:space="preserve">Bestandsobjekt zum Verkauf stellen (Sale, verweist auf das Asset).</w:t>
      </w:r>
    </w:p>
    <w:p>
      <w:pPr>
        <w:pStyle w:val="ListParagraph"/>
        <w:numPr>
          <w:ilvl w:val="0"/>
          <w:numId w:val="3"/>
        </w:numPr>
        <w:spacing w:after="40" w:line="264"/>
      </w:pPr>
      <w:r>
        <w:t xml:space="preserve">Interessenten erfassen und Status pflegen.</w:t>
      </w:r>
    </w:p>
    <w:p>
      <w:pPr>
        <w:pStyle w:val="ListParagraph"/>
        <w:numPr>
          <w:ilvl w:val="0"/>
          <w:numId w:val="3"/>
        </w:numPr>
        <w:spacing w:after="40" w:line="264"/>
      </w:pPr>
      <w:r>
        <w:t xml:space="preserve">Erzielten Preis und Verkaufsdatum festhalten, Dokumente ablegen.</w:t>
      </w:r>
    </w:p>
    <w:p>
      <w:pPr>
        <w:pStyle w:val="Heading2"/>
      </w:pPr>
      <w:r>
        <w:t xml:space="preserve">6.5 Erststart</w:t>
      </w:r>
    </w:p>
    <w:p>
      <w:pPr>
        <w:pStyle w:val="ListParagraph"/>
        <w:numPr>
          <w:ilvl w:val="0"/>
          <w:numId w:val="3"/>
        </w:numPr>
        <w:spacing w:after="40" w:line="264"/>
      </w:pPr>
      <w:r>
        <w:t xml:space="preserve">Anmelden.</w:t>
      </w:r>
    </w:p>
    <w:p>
      <w:pPr>
        <w:pStyle w:val="ListParagraph"/>
        <w:numPr>
          <w:ilvl w:val="0"/>
          <w:numId w:val="3"/>
        </w:numPr>
        <w:spacing w:after="40" w:line="264"/>
      </w:pPr>
      <w:r>
        <w:t xml:space="preserve">Die Anwendung legt automatisch eine erste Organisation an und füllt sie mit Beispieldaten, damit man sofort loslegen kann.</w:t>
      </w:r>
    </w:p>
    <w:p>
      <w:pPr>
        <w:spacing w:after="80"/>
      </w:pPr>
      <w:r>
        <w:t xml:space="preserve"/>
      </w:r>
    </w:p>
    <w:p>
      <w:pPr>
        <w:pBdr>
          <w:top w:val="single" w:color="2E75B6" w:sz="6" w:space="4"/>
        </w:pBdr>
      </w:pPr>
      <w:r>
        <w:t xml:space="preserve"/>
      </w:r>
    </w:p>
    <w:p>
      <w:pPr>
        <w:jc w:val="center"/>
      </w:pPr>
      <w:r>
        <w:rPr>
          <w:i/>
          <w:iCs/>
          <w:color w:val="666666"/>
          <w:sz w:val="18"/>
          <w:szCs w:val="18"/>
        </w:rPr>
        <w:t xml:space="preserve">Ende des Dokuments · Realaize – Funktionale &amp; strukturelle Übersicht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color w:val="666666"/>
        <w:sz w:val="16"/>
        <w:szCs w:val="16"/>
      </w:rPr>
      <w:t xml:space="preserve">Realaize – Funktionale Übersicht   |   Seite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4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2026-06-11T23:59:50.740Z</dcterms:created>
  <dcterms:modified xsi:type="dcterms:W3CDTF">2026-06-11T23:59:50.810Z</dcterms:modified>
</cp:coreProperties>
</file>

<file path=docProps/custom.xml><?xml version="1.0" encoding="utf-8"?>
<Properties xmlns="http://schemas.openxmlformats.org/officeDocument/2006/custom-properties" xmlns:vt="http://schemas.openxmlformats.org/officeDocument/2006/docPropsVTypes"/>
</file>