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06AD6"/>
          <w:sz w:val="18"/>
        </w:rPr>
        <w:t>REALAIZE  ·  LEISTUNGSBESCHREIBUNG</w:t>
      </w:r>
    </w:p>
    <w:p>
      <w:pPr>
        <w:spacing w:after="0"/>
      </w:pPr>
      <w:r>
        <w:rPr>
          <w:b/>
          <w:color w:val="1C1C1E"/>
          <w:sz w:val="52"/>
        </w:rPr>
        <w:t>Modul „Development"</w:t>
      </w:r>
    </w:p>
    <w:p>
      <w:pPr>
        <w:spacing w:after="280"/>
      </w:pPr>
      <w:r>
        <w:rPr>
          <w:color w:val="5A5A60"/>
          <w:sz w:val="26"/>
        </w:rPr>
        <w:t>Projektentwicklung, Bau-Controlling &amp; laufende Wirtschaftlichkeitsrechnung</w:t>
      </w:r>
    </w:p>
    <w:p>
      <w:r>
        <w:rPr>
          <w:i/>
          <w:color w:val="8A8A90"/>
          <w:sz w:val="19"/>
        </w:rPr>
        <w:t>Anlage zum Dienstleistungsvertrag — Beschreibung des Leistungsumfangs</w:t>
      </w:r>
    </w:p>
    <w:p>
      <w:pPr>
        <w:spacing w:before="240"/>
      </w:pPr>
      <w:r>
        <w:rPr>
          <w:color w:val="5A5A60"/>
        </w:rPr>
        <w:t xml:space="preserve">Das Modul </w:t>
      </w:r>
      <w:r>
        <w:rPr>
          <w:b/>
          <w:color w:val="1C1C1E"/>
        </w:rPr>
        <w:t>Development</w:t>
      </w:r>
      <w:r>
        <w:rPr>
          <w:color w:val="5A5A60"/>
        </w:rPr>
        <w:t xml:space="preserve"> bildet den gesamten Lebenszyklus eines Bau- bzw. Sanierungsprojekts vom Ankauf bis zur Übergabe in Bestand oder Verkauf ab. Es dient als zentrale Steuerungs- und Controlling-Umgebung, in der die kaufmännische Planung (Underwriting) und der tatsächliche Bauverlauf fortlaufend gegenübergestellt werden. Die nachstehende Beschreibung definiert den funktionalen Leistungsumfang, der im Rahmen des Dienstleistungsvertrags bereitgestellt wird.</w:t>
      </w:r>
    </w:p>
    <w:p>
      <w:pPr>
        <w:spacing w:before="200" w:after="60"/>
      </w:pPr>
      <w:r>
        <w:rPr>
          <w:b/>
          <w:color w:val="006AD6"/>
          <w:sz w:val="23"/>
        </w:rPr>
        <w:t>Leistungsumfang im Überblick</w:t>
      </w:r>
    </w:p>
    <w:tbl>
      <w:tblPr>
        <w:tblStyle w:val="TableGrid"/>
        <w:tblW w:type="auto" w:w="0"/>
        <w:jc w:val="center"/>
        <w:tblLook w:firstColumn="1" w:firstRow="1" w:lastColumn="0" w:lastRow="0" w:noHBand="0" w:noVBand="1" w:val="04A0"/>
      </w:tblPr>
      <w:tblGrid>
        <w:gridCol w:w="3173"/>
        <w:gridCol w:w="3173"/>
        <w:gridCol w:w="3173"/>
      </w:tblGrid>
      <w:tr>
        <w:tc>
          <w:tcPr>
            <w:tcW w:type="dxa" w:w="567"/>
            <w:shd w:val="clear" w:color="auto" w:fill="006AD6"/>
          </w:tcPr>
          <w:p>
            <w:r>
              <w:rPr>
                <w:b/>
                <w:color w:val="FFFFFF"/>
                <w:sz w:val="19"/>
              </w:rPr>
              <w:t>#</w:t>
            </w:r>
          </w:p>
        </w:tc>
        <w:tc>
          <w:tcPr>
            <w:tcW w:type="dxa" w:w="3685"/>
            <w:shd w:val="clear" w:color="auto" w:fill="006AD6"/>
          </w:tcPr>
          <w:p>
            <w:r>
              <w:rPr>
                <w:b/>
                <w:color w:val="FFFFFF"/>
                <w:sz w:val="19"/>
              </w:rPr>
              <w:t>Leistungsbaustein</w:t>
            </w:r>
          </w:p>
        </w:tc>
        <w:tc>
          <w:tcPr>
            <w:tcW w:type="dxa" w:w="4819"/>
            <w:shd w:val="clear" w:color="auto" w:fill="006AD6"/>
          </w:tcPr>
          <w:p>
            <w:r>
              <w:rPr>
                <w:b/>
                <w:color w:val="FFFFFF"/>
                <w:sz w:val="19"/>
              </w:rPr>
              <w:t>Inhalt</w:t>
            </w:r>
          </w:p>
        </w:tc>
      </w:tr>
      <w:tr>
        <w:tc>
          <w:tcPr>
            <w:tcW w:type="dxa" w:w="567"/>
          </w:tcPr>
          <w:p>
            <w:r>
              <w:rPr>
                <w:b/>
                <w:color w:val="006AD6"/>
                <w:sz w:val="19"/>
              </w:rPr>
              <w:t>1</w:t>
            </w:r>
          </w:p>
        </w:tc>
        <w:tc>
          <w:tcPr>
            <w:tcW w:type="dxa" w:w="3685"/>
          </w:tcPr>
          <w:p>
            <w:r>
              <w:rPr>
                <w:b/>
                <w:color w:val="1C1C1E"/>
                <w:sz w:val="19"/>
              </w:rPr>
              <w:t>Projektmanagement</w:t>
            </w:r>
          </w:p>
        </w:tc>
        <w:tc>
          <w:tcPr>
            <w:tcW w:type="dxa" w:w="4819"/>
          </w:tcPr>
          <w:p>
            <w:r>
              <w:rPr>
                <w:color w:val="5A5A60"/>
                <w:sz w:val="19"/>
              </w:rPr>
              <w:t>Struktur, Phasen, Gewerke, Dokumentation</w:t>
            </w:r>
          </w:p>
        </w:tc>
      </w:tr>
      <w:tr>
        <w:tc>
          <w:tcPr>
            <w:tcW w:type="dxa" w:w="567"/>
          </w:tcPr>
          <w:p>
            <w:r>
              <w:rPr>
                <w:b/>
                <w:color w:val="006AD6"/>
                <w:sz w:val="19"/>
              </w:rPr>
              <w:t>2</w:t>
            </w:r>
          </w:p>
        </w:tc>
        <w:tc>
          <w:tcPr>
            <w:tcW w:type="dxa" w:w="3685"/>
          </w:tcPr>
          <w:p>
            <w:r>
              <w:rPr>
                <w:b/>
                <w:color w:val="1C1C1E"/>
                <w:sz w:val="19"/>
              </w:rPr>
              <w:t>Kosten- &amp; Timing-Monitoring</w:t>
            </w:r>
          </w:p>
        </w:tc>
        <w:tc>
          <w:tcPr>
            <w:tcW w:type="dxa" w:w="4819"/>
          </w:tcPr>
          <w:p>
            <w:r>
              <w:rPr>
                <w:color w:val="5A5A60"/>
                <w:sz w:val="19"/>
              </w:rPr>
              <w:t>Soll/Ist je Gewerk, Bauzeitenplan</w:t>
            </w:r>
          </w:p>
        </w:tc>
      </w:tr>
      <w:tr>
        <w:tc>
          <w:tcPr>
            <w:tcW w:type="dxa" w:w="567"/>
          </w:tcPr>
          <w:p>
            <w:r>
              <w:rPr>
                <w:b/>
                <w:color w:val="006AD6"/>
                <w:sz w:val="19"/>
              </w:rPr>
              <w:t>3</w:t>
            </w:r>
          </w:p>
        </w:tc>
        <w:tc>
          <w:tcPr>
            <w:tcW w:type="dxa" w:w="3685"/>
          </w:tcPr>
          <w:p>
            <w:r>
              <w:rPr>
                <w:b/>
                <w:color w:val="1C1C1E"/>
                <w:sz w:val="19"/>
              </w:rPr>
              <w:t>Angebots- &amp; Vergabemanagement</w:t>
            </w:r>
          </w:p>
        </w:tc>
        <w:tc>
          <w:tcPr>
            <w:tcW w:type="dxa" w:w="4819"/>
          </w:tcPr>
          <w:p>
            <w:r>
              <w:rPr>
                <w:color w:val="5A5A60"/>
                <w:sz w:val="19"/>
              </w:rPr>
              <w:t>Angebote, Vergaben, Auftragnehmer</w:t>
            </w:r>
          </w:p>
        </w:tc>
      </w:tr>
      <w:tr>
        <w:tc>
          <w:tcPr>
            <w:tcW w:type="dxa" w:w="567"/>
          </w:tcPr>
          <w:p>
            <w:r>
              <w:rPr>
                <w:b/>
                <w:color w:val="006AD6"/>
                <w:sz w:val="19"/>
              </w:rPr>
              <w:t>4</w:t>
            </w:r>
          </w:p>
        </w:tc>
        <w:tc>
          <w:tcPr>
            <w:tcW w:type="dxa" w:w="3685"/>
          </w:tcPr>
          <w:p>
            <w:r>
              <w:rPr>
                <w:b/>
                <w:color w:val="1C1C1E"/>
                <w:sz w:val="19"/>
              </w:rPr>
              <w:t>Rechnungssammlung</w:t>
            </w:r>
          </w:p>
        </w:tc>
        <w:tc>
          <w:tcPr>
            <w:tcW w:type="dxa" w:w="4819"/>
          </w:tcPr>
          <w:p>
            <w:r>
              <w:rPr>
                <w:color w:val="5A5A60"/>
                <w:sz w:val="19"/>
              </w:rPr>
              <w:t>Rechnungserfassung nach Typ, Zahlungsstände</w:t>
            </w:r>
          </w:p>
        </w:tc>
      </w:tr>
      <w:tr>
        <w:tc>
          <w:tcPr>
            <w:tcW w:type="dxa" w:w="567"/>
          </w:tcPr>
          <w:p>
            <w:r>
              <w:rPr>
                <w:b/>
                <w:color w:val="006AD6"/>
                <w:sz w:val="19"/>
              </w:rPr>
              <w:t>5</w:t>
            </w:r>
          </w:p>
        </w:tc>
        <w:tc>
          <w:tcPr>
            <w:tcW w:type="dxa" w:w="3685"/>
          </w:tcPr>
          <w:p>
            <w:r>
              <w:rPr>
                <w:b/>
                <w:color w:val="1C1C1E"/>
                <w:sz w:val="19"/>
              </w:rPr>
              <w:t>Laufende Wirtschaftlichkeitsrechnung</w:t>
            </w:r>
          </w:p>
        </w:tc>
        <w:tc>
          <w:tcPr>
            <w:tcW w:type="dxa" w:w="4819"/>
          </w:tcPr>
          <w:p>
            <w:r>
              <w:rPr>
                <w:color w:val="5A5A60"/>
                <w:sz w:val="19"/>
              </w:rPr>
              <w:t>Ist-Abgleich überschreibt Underwriting</w:t>
            </w:r>
          </w:p>
        </w:tc>
      </w:tr>
      <w:tr>
        <w:tc>
          <w:tcPr>
            <w:tcW w:type="dxa" w:w="567"/>
          </w:tcPr>
          <w:p>
            <w:r>
              <w:rPr>
                <w:b/>
                <w:color w:val="006AD6"/>
                <w:sz w:val="19"/>
              </w:rPr>
              <w:t>6</w:t>
            </w:r>
          </w:p>
        </w:tc>
        <w:tc>
          <w:tcPr>
            <w:tcW w:type="dxa" w:w="3685"/>
          </w:tcPr>
          <w:p>
            <w:r>
              <w:rPr>
                <w:b/>
                <w:color w:val="1C1C1E"/>
                <w:sz w:val="19"/>
              </w:rPr>
              <w:t>KPI-Monitoring</w:t>
            </w:r>
          </w:p>
        </w:tc>
        <w:tc>
          <w:tcPr>
            <w:tcW w:type="dxa" w:w="4819"/>
          </w:tcPr>
          <w:p>
            <w:r>
              <w:rPr>
                <w:color w:val="5A5A60"/>
                <w:sz w:val="19"/>
              </w:rPr>
              <w:t>Kennzahlen, Ampeln, Reifegrad</w:t>
            </w:r>
          </w:p>
        </w:tc>
      </w:tr>
      <w:tr>
        <w:tc>
          <w:tcPr>
            <w:tcW w:type="dxa" w:w="567"/>
          </w:tcPr>
          <w:p>
            <w:r>
              <w:rPr>
                <w:b/>
                <w:color w:val="006AD6"/>
                <w:sz w:val="19"/>
              </w:rPr>
              <w:t>7</w:t>
            </w:r>
          </w:p>
        </w:tc>
        <w:tc>
          <w:tcPr>
            <w:tcW w:type="dxa" w:w="3685"/>
          </w:tcPr>
          <w:p>
            <w:r>
              <w:rPr>
                <w:b/>
                <w:color w:val="1C1C1E"/>
                <w:sz w:val="19"/>
              </w:rPr>
              <w:t>Finanzierung (Debt)</w:t>
            </w:r>
          </w:p>
        </w:tc>
        <w:tc>
          <w:tcPr>
            <w:tcW w:type="dxa" w:w="4819"/>
          </w:tcPr>
          <w:p>
            <w:r>
              <w:rPr>
                <w:color w:val="5A5A60"/>
                <w:sz w:val="19"/>
              </w:rPr>
              <w:t>LTV/LTC, Zins, Bullet/Annuität</w:t>
            </w:r>
          </w:p>
        </w:tc>
      </w:tr>
      <w:tr>
        <w:tc>
          <w:tcPr>
            <w:tcW w:type="dxa" w:w="567"/>
          </w:tcPr>
          <w:p>
            <w:r>
              <w:rPr>
                <w:b/>
                <w:color w:val="006AD6"/>
                <w:sz w:val="19"/>
              </w:rPr>
              <w:t>8</w:t>
            </w:r>
          </w:p>
        </w:tc>
        <w:tc>
          <w:tcPr>
            <w:tcW w:type="dxa" w:w="3685"/>
          </w:tcPr>
          <w:p>
            <w:r>
              <w:rPr>
                <w:b/>
                <w:color w:val="1C1C1E"/>
                <w:sz w:val="19"/>
              </w:rPr>
              <w:t>Bewertung &amp; Exit</w:t>
            </w:r>
          </w:p>
        </w:tc>
        <w:tc>
          <w:tcPr>
            <w:tcW w:type="dxa" w:w="4819"/>
          </w:tcPr>
          <w:p>
            <w:r>
              <w:rPr>
                <w:color w:val="5A5A60"/>
                <w:sz w:val="19"/>
              </w:rPr>
              <w:t>NOI-Bewertung, Cashflow/IRR, Hold/Sell</w:t>
            </w:r>
          </w:p>
        </w:tc>
      </w:tr>
      <w:tr>
        <w:tc>
          <w:tcPr>
            <w:tcW w:type="dxa" w:w="567"/>
          </w:tcPr>
          <w:p>
            <w:r>
              <w:rPr>
                <w:b/>
                <w:color w:val="006AD6"/>
                <w:sz w:val="19"/>
              </w:rPr>
              <w:t>9</w:t>
            </w:r>
          </w:p>
        </w:tc>
        <w:tc>
          <w:tcPr>
            <w:tcW w:type="dxa" w:w="3685"/>
          </w:tcPr>
          <w:p>
            <w:r>
              <w:rPr>
                <w:b/>
                <w:color w:val="1C1C1E"/>
                <w:sz w:val="19"/>
              </w:rPr>
              <w:t>Construction Advisor</w:t>
            </w:r>
          </w:p>
        </w:tc>
        <w:tc>
          <w:tcPr>
            <w:tcW w:type="dxa" w:w="4819"/>
          </w:tcPr>
          <w:p>
            <w:r>
              <w:rPr>
                <w:color w:val="5A5A60"/>
                <w:sz w:val="19"/>
              </w:rPr>
              <w:t>Kostenbenchmarks DACH</w:t>
            </w:r>
          </w:p>
        </w:tc>
      </w:tr>
      <w:tr>
        <w:tc>
          <w:tcPr>
            <w:tcW w:type="dxa" w:w="567"/>
          </w:tcPr>
          <w:p>
            <w:r>
              <w:rPr>
                <w:b/>
                <w:color w:val="006AD6"/>
                <w:sz w:val="19"/>
              </w:rPr>
              <w:t>10</w:t>
            </w:r>
          </w:p>
        </w:tc>
        <w:tc>
          <w:tcPr>
            <w:tcW w:type="dxa" w:w="3685"/>
          </w:tcPr>
          <w:p>
            <w:r>
              <w:rPr>
                <w:b/>
                <w:color w:val="1C1C1E"/>
                <w:sz w:val="19"/>
              </w:rPr>
              <w:t>Übergabe &amp; Dokumentation</w:t>
            </w:r>
          </w:p>
        </w:tc>
        <w:tc>
          <w:tcPr>
            <w:tcW w:type="dxa" w:w="4819"/>
          </w:tcPr>
          <w:p>
            <w:r>
              <w:rPr>
                <w:color w:val="5A5A60"/>
                <w:sz w:val="19"/>
              </w:rPr>
              <w:t>Bestand/Verkauf, Dokumente, Audit-Log</w:t>
            </w:r>
          </w:p>
        </w:tc>
      </w:tr>
    </w:tbl>
    <w:p>
      <w:r>
        <w:br w:type="page"/>
      </w:r>
    </w:p>
    <w:p>
      <w:pPr>
        <w:spacing w:before="320" w:after="120"/>
        <w:pBdr>
          <w:bottom w:val="single" w:sz="6" w:space="4" w:color="006AD6"/>
        </w:pBdr>
      </w:pPr>
      <w:r>
        <w:rPr>
          <w:rFonts w:ascii="Calibri" w:hAnsi="Calibri"/>
          <w:b/>
          <w:color w:val="1C1C1E"/>
          <w:sz w:val="30"/>
        </w:rPr>
        <w:t>1  Projektmanagement</w:t>
      </w:r>
    </w:p>
    <w:p>
      <w:pPr>
        <w:spacing w:before="200" w:after="60"/>
      </w:pPr>
      <w:r>
        <w:rPr>
          <w:b/>
          <w:color w:val="006AD6"/>
          <w:sz w:val="23"/>
        </w:rPr>
        <w:t>Projektübersicht (Portfolio-Ebene)</w:t>
      </w:r>
    </w:p>
    <w:p>
      <w:pPr>
        <w:spacing w:after="120"/>
      </w:pPr>
      <w:r>
        <w:rPr>
          <w:color w:val="5A5A60"/>
        </w:rPr>
        <w:t>Alle Entwicklungsprojekte werden in einer zentralen Portfolio-Ansicht zusammengeführt — mit Objektbild, Standort, Projekttyp (Neubau, Kernsanierung, Modernisierung, Umbau, Aufstockung, Anbau), Nutzungsart, Gesamtbudget, bereits vergebenen Kosten und geplantem Fertigstellungstermin. Aggregierte Kennzahlen (Anzahl Projekte, Gesamtbudget, bisher verausgabte Mittel, Anzahl aktiver Baustellen) sind auf einen Blick verfügbar.</w:t>
      </w:r>
    </w:p>
    <w:p>
      <w:pPr>
        <w:spacing w:before="200" w:after="60"/>
      </w:pPr>
      <w:r>
        <w:rPr>
          <w:b/>
          <w:color w:val="006AD6"/>
          <w:sz w:val="23"/>
        </w:rPr>
        <w:t>Projektstruktur nach Gewerken</w:t>
      </w:r>
    </w:p>
    <w:p>
      <w:pPr>
        <w:spacing w:after="120"/>
      </w:pPr>
      <w:r>
        <w:rPr>
          <w:color w:val="5A5A60"/>
        </w:rPr>
        <w:t xml:space="preserve">Jedes Projekt wird in einzelne </w:t>
      </w:r>
      <w:r>
        <w:rPr>
          <w:b/>
          <w:color w:val="1C1C1E"/>
        </w:rPr>
        <w:t>Gewerke</w:t>
      </w:r>
      <w:r>
        <w:rPr>
          <w:color w:val="5A5A60"/>
        </w:rPr>
        <w:t xml:space="preserve"> gegliedert. Vordefinierte Kategorien u. a.:</w:t>
      </w:r>
    </w:p>
    <w:p>
      <w:pPr>
        <w:pStyle w:val="ListBullet"/>
        <w:spacing w:after="60"/>
      </w:pPr>
      <w:r>
        <w:rPr>
          <w:color w:val="5A5A60"/>
        </w:rPr>
        <w:t>Abbruch &amp; Entsorgung, Rohbau, Dach &amp; Abdichtung, Fassade &amp; Außenanlagen</w:t>
      </w:r>
    </w:p>
    <w:p>
      <w:pPr>
        <w:pStyle w:val="ListBullet"/>
        <w:spacing w:after="60"/>
      </w:pPr>
      <w:r>
        <w:rPr>
          <w:color w:val="5A5A60"/>
        </w:rPr>
        <w:t>Fenster &amp; Türen, Innenausbau</w:t>
      </w:r>
    </w:p>
    <w:p>
      <w:pPr>
        <w:pStyle w:val="ListBullet"/>
        <w:spacing w:after="60"/>
      </w:pPr>
      <w:r>
        <w:rPr>
          <w:color w:val="5A5A60"/>
        </w:rPr>
        <w:t>Technische Gebäudeausrüstung (TGA): Heizung, Sanitär, Elektro, Lüftung, Aufzug</w:t>
      </w:r>
    </w:p>
    <w:p>
      <w:pPr>
        <w:pStyle w:val="ListBullet"/>
        <w:spacing w:after="60"/>
      </w:pPr>
      <w:r>
        <w:rPr>
          <w:color w:val="5A5A60"/>
        </w:rPr>
        <w:t>Außenanlagen &amp; Tiefbau, Planung &amp; Architektur, Genehmigungen &amp; Gebühren</w:t>
      </w:r>
    </w:p>
    <w:p>
      <w:pPr>
        <w:pStyle w:val="ListBullet"/>
        <w:spacing w:after="60"/>
      </w:pPr>
      <w:r>
        <w:rPr>
          <w:color w:val="5A5A60"/>
        </w:rPr>
        <w:t>Reserve / Unvorhergesehenes sowie Sonstiges</w:t>
      </w:r>
    </w:p>
    <w:p>
      <w:pPr>
        <w:spacing w:after="120"/>
      </w:pPr>
      <w:r>
        <w:rPr>
          <w:color w:val="5A5A60"/>
        </w:rPr>
        <w:t>Je Gewerk werden Beschreibung, Menge/Einheit (m², Stück, Pauschal), verantwortlicher Auftragnehmer, Zeitraum und Status geführt.</w:t>
      </w:r>
    </w:p>
    <w:p>
      <w:pPr>
        <w:spacing w:before="200" w:after="60"/>
      </w:pPr>
      <w:r>
        <w:rPr>
          <w:b/>
          <w:color w:val="006AD6"/>
          <w:sz w:val="23"/>
        </w:rPr>
        <w:t>Statusverfolgung (Projekt- und Gewerkeebene)</w:t>
      </w:r>
    </w:p>
    <w:p>
      <w:pPr>
        <w:spacing w:after="120"/>
      </w:pPr>
      <w:r>
        <w:rPr>
          <w:color w:val="5A5A60"/>
        </w:rPr>
        <w:t xml:space="preserve">Auf </w:t>
      </w:r>
      <w:r>
        <w:rPr>
          <w:b/>
          <w:color w:val="1C1C1E"/>
        </w:rPr>
        <w:t>Projektebene</w:t>
      </w:r>
      <w:r>
        <w:rPr>
          <w:color w:val="5A5A60"/>
        </w:rPr>
        <w:t xml:space="preserve"> wird der Fortschritt entlang der Phasen abgebildet:</w:t>
      </w:r>
    </w:p>
    <w:p>
      <w:pPr>
        <w:spacing w:after="80"/>
      </w:pPr>
      <w:r>
        <w:rPr>
          <w:color w:val="5A5A60"/>
        </w:rPr>
        <w:t>Planung → Genehmigung → Ausschreibung → Bau → Abnahme → Fertiggestellt</w:t>
      </w:r>
    </w:p>
    <w:p>
      <w:pPr>
        <w:spacing w:after="120"/>
      </w:pPr>
      <w:r>
        <w:rPr>
          <w:color w:val="5A5A60"/>
        </w:rPr>
        <w:t xml:space="preserve">Auf </w:t>
      </w:r>
      <w:r>
        <w:rPr>
          <w:b/>
          <w:color w:val="1C1C1E"/>
        </w:rPr>
        <w:t>Gewerkeebene</w:t>
      </w:r>
      <w:r>
        <w:rPr>
          <w:color w:val="5A5A60"/>
        </w:rPr>
        <w:t xml:space="preserve"> zusätzlich der Vergabestatus:</w:t>
      </w:r>
    </w:p>
    <w:p>
      <w:pPr>
        <w:spacing w:after="120"/>
      </w:pPr>
      <w:r>
        <w:rPr>
          <w:color w:val="5A5A60"/>
        </w:rPr>
        <w:t>Offen → Ausgeschrieben → Angebot → Vergeben → Abgeschlossen</w:t>
      </w:r>
    </w:p>
    <w:p>
      <w:pPr>
        <w:spacing w:before="200" w:after="60"/>
      </w:pPr>
      <w:r>
        <w:rPr>
          <w:b/>
          <w:color w:val="006AD6"/>
          <w:sz w:val="23"/>
        </w:rPr>
        <w:t>Reifegrad &amp; Datenqualität</w:t>
      </w:r>
    </w:p>
    <w:p>
      <w:pPr>
        <w:spacing w:after="120"/>
      </w:pPr>
      <w:r>
        <w:rPr>
          <w:color w:val="5A5A60"/>
        </w:rPr>
        <w:t xml:space="preserve">Ein </w:t>
      </w:r>
      <w:r>
        <w:rPr>
          <w:b/>
          <w:color w:val="1C1C1E"/>
        </w:rPr>
        <w:t>Vollständigkeits-Score</w:t>
      </w:r>
      <w:r>
        <w:rPr>
          <w:color w:val="5A5A60"/>
        </w:rPr>
        <w:t xml:space="preserve"> (Completeness Ring) je Projekt zeigt an, wie vollständig die hinterlegten Projektdaten sind — als Qualitätsindikator für die Belastbarkeit der nachgelagerten Auswertungen.</w:t>
      </w:r>
    </w:p>
    <w:p>
      <w:pPr>
        <w:spacing w:before="200" w:after="60"/>
      </w:pPr>
      <w:r>
        <w:rPr>
          <w:b/>
          <w:color w:val="006AD6"/>
          <w:sz w:val="23"/>
        </w:rPr>
        <w:t>Dokumentation &amp; Historie</w:t>
      </w:r>
    </w:p>
    <w:p>
      <w:pPr>
        <w:spacing w:after="120"/>
      </w:pPr>
      <w:r>
        <w:rPr>
          <w:color w:val="5A5A60"/>
        </w:rPr>
        <w:t xml:space="preserve">Zu jedem Projekt lassen sich Dokumente (mit Verschlagwortung), Bilder inkl. Titelbild sowie ein </w:t>
      </w:r>
      <w:r>
        <w:rPr>
          <w:b/>
          <w:color w:val="1C1C1E"/>
        </w:rPr>
        <w:t>Aktivitäts-/Audit-Log</w:t>
      </w:r>
      <w:r>
        <w:rPr>
          <w:color w:val="5A5A60"/>
        </w:rPr>
        <w:t xml:space="preserve"> führen. Wesentliche Entscheidungen — etwa die Überführung in Bestand oder Verkauf — werden protokolliert und sind nachvollziehbar.</w:t>
      </w:r>
    </w:p>
    <w:p>
      <w:pPr>
        <w:spacing w:before="320" w:after="120"/>
        <w:pBdr>
          <w:bottom w:val="single" w:sz="6" w:space="4" w:color="006AD6"/>
        </w:pBdr>
      </w:pPr>
      <w:r>
        <w:rPr>
          <w:rFonts w:ascii="Calibri" w:hAnsi="Calibri"/>
          <w:b/>
          <w:color w:val="1C1C1E"/>
          <w:sz w:val="30"/>
        </w:rPr>
        <w:t>2  Kosten- &amp; Timing-Monitoring</w:t>
      </w:r>
    </w:p>
    <w:p>
      <w:pPr>
        <w:spacing w:before="200" w:after="60"/>
      </w:pPr>
      <w:r>
        <w:rPr>
          <w:b/>
          <w:color w:val="006AD6"/>
          <w:sz w:val="23"/>
        </w:rPr>
        <w:t>Kostencontrolling nach Gewerk (Vier-Stufen-Vergleich)</w:t>
      </w:r>
    </w:p>
    <w:p>
      <w:pPr>
        <w:spacing w:after="120"/>
      </w:pPr>
      <w:r>
        <w:rPr>
          <w:color w:val="5A5A60"/>
        </w:rPr>
        <w:t>Die zentrale Kostentabelle stellt je Gewerk vier Wertspalten unmittelbar nebeneinander:</w:t>
      </w:r>
    </w:p>
    <w:p>
      <w:pPr>
        <w:pStyle w:val="ListBullet"/>
        <w:spacing w:after="60"/>
      </w:pPr>
      <w:r>
        <w:rPr>
          <w:color w:val="5A5A60"/>
        </w:rPr>
      </w:r>
      <w:r>
        <w:rPr>
          <w:b/>
          <w:color w:val="1C1C1E"/>
        </w:rPr>
        <w:t>Underwriting</w:t>
      </w:r>
      <w:r>
        <w:rPr>
          <w:color w:val="5A5A60"/>
        </w:rPr>
        <w:t xml:space="preserve"> — der ursprünglich kalkulierte Budgetansatz</w:t>
      </w:r>
    </w:p>
    <w:p>
      <w:pPr>
        <w:pStyle w:val="ListBullet"/>
        <w:spacing w:after="60"/>
      </w:pPr>
      <w:r>
        <w:rPr>
          <w:color w:val="5A5A60"/>
        </w:rPr>
      </w:r>
      <w:r>
        <w:rPr>
          <w:b/>
          <w:color w:val="1C1C1E"/>
        </w:rPr>
        <w:t>Angebot</w:t>
      </w:r>
      <w:r>
        <w:rPr>
          <w:color w:val="5A5A60"/>
        </w:rPr>
        <w:t xml:space="preserve"> — die eingegangenen Angebotssummen</w:t>
      </w:r>
    </w:p>
    <w:p>
      <w:pPr>
        <w:pStyle w:val="ListBullet"/>
        <w:spacing w:after="60"/>
      </w:pPr>
      <w:r>
        <w:rPr>
          <w:color w:val="5A5A60"/>
        </w:rPr>
      </w:r>
      <w:r>
        <w:rPr>
          <w:b/>
          <w:color w:val="1C1C1E"/>
        </w:rPr>
        <w:t>Vergabe</w:t>
      </w:r>
      <w:r>
        <w:rPr>
          <w:color w:val="5A5A60"/>
        </w:rPr>
        <w:t xml:space="preserve"> — die tatsächlich beauftragte Summe</w:t>
      </w:r>
    </w:p>
    <w:p>
      <w:pPr>
        <w:pStyle w:val="ListBullet"/>
        <w:spacing w:after="60"/>
      </w:pPr>
      <w:r>
        <w:rPr>
          <w:color w:val="5A5A60"/>
        </w:rPr>
      </w:r>
      <w:r>
        <w:rPr>
          <w:b/>
          <w:color w:val="1C1C1E"/>
        </w:rPr>
        <w:t>Δ Budget</w:t>
      </w:r>
      <w:r>
        <w:rPr>
          <w:color w:val="5A5A60"/>
        </w:rPr>
        <w:t xml:space="preserve"> — die automatisch berechnete Abweichung zwischen Vergabe und Underwriting</w:t>
      </w:r>
    </w:p>
    <w:p>
      <w:pPr>
        <w:spacing w:after="120"/>
      </w:pPr>
      <w:r>
        <w:rPr>
          <w:color w:val="5A5A60"/>
        </w:rPr>
        <w:t>Budgetüberschreitungen werden farblich hervorgehoben (grün = im/unter Budget, rot = überschritten) — sowohl je Gewerk als auch in der Gesamtsumme über alle Gewerke.</w:t>
      </w:r>
    </w:p>
    <w:p>
      <w:pPr>
        <w:spacing w:before="200" w:after="60"/>
      </w:pPr>
      <w:r>
        <w:rPr>
          <w:b/>
          <w:color w:val="006AD6"/>
          <w:sz w:val="23"/>
        </w:rPr>
        <w:t>Bauzeitenplan (Gantt)</w:t>
      </w:r>
    </w:p>
    <w:p>
      <w:pPr>
        <w:spacing w:after="120"/>
      </w:pPr>
      <w:r>
        <w:rPr>
          <w:color w:val="5A5A60"/>
        </w:rPr>
        <w:t>Ein Gantt-Diagramm stellt alle Gewerke über einen 24-Monats-Zeitstrahl dar. Start und Dauer je Gewerk sind direkt editierbar; die Balken sind nach Vergabestatus eingefärbt und zeigen die jeweilige Auftrags-/Budgetsumme, sodass Planungs-, Angebots-, Vergabe- und Abschlussstände auf der Zeitachse sofort erkennbar sind.</w:t>
      </w:r>
    </w:p>
    <w:p>
      <w:pPr>
        <w:spacing w:before="200" w:after="60"/>
      </w:pPr>
      <w:r>
        <w:rPr>
          <w:b/>
          <w:color w:val="006AD6"/>
          <w:sz w:val="23"/>
        </w:rPr>
        <w:t>Fortschrittsanzeige</w:t>
      </w:r>
    </w:p>
    <w:p>
      <w:pPr>
        <w:spacing w:after="120"/>
      </w:pPr>
      <w:r>
        <w:rPr>
          <w:color w:val="5A5A60"/>
        </w:rPr>
        <w:t>Balken- und Prozentanzeigen visualisieren den Budget-Ausnutzungsgrad („x % vergeben") sowie den zeitlichen Verlauf bis zum geplanten Fertigstellungstermin.</w:t>
      </w:r>
    </w:p>
    <w:p>
      <w:pPr>
        <w:spacing w:before="320" w:after="120"/>
        <w:pBdr>
          <w:bottom w:val="single" w:sz="6" w:space="4" w:color="006AD6"/>
        </w:pBdr>
      </w:pPr>
      <w:r>
        <w:rPr>
          <w:rFonts w:ascii="Calibri" w:hAnsi="Calibri"/>
          <w:b/>
          <w:color w:val="1C1C1E"/>
          <w:sz w:val="30"/>
        </w:rPr>
        <w:t>3  Angebots- &amp; Vergabemanagement</w:t>
      </w:r>
    </w:p>
    <w:p>
      <w:pPr>
        <w:spacing w:before="200" w:after="60"/>
      </w:pPr>
      <w:r>
        <w:rPr>
          <w:b/>
          <w:color w:val="006AD6"/>
          <w:sz w:val="23"/>
        </w:rPr>
        <w:t>Angebotserfassung</w:t>
      </w:r>
    </w:p>
    <w:p>
      <w:pPr>
        <w:spacing w:after="120"/>
      </w:pPr>
      <w:r>
        <w:rPr>
          <w:color w:val="5A5A60"/>
        </w:rPr>
        <w:t>Zu jedem Gewerk können mehrere Angebote erfasst werden — mit Gewerkezuordnung, Maßnahme, Beschreibung, Datum sowie Netto- und Bruttobetrag. Der Bruttobetrag wird automatisch aus dem Netto (inkl. USt) berechnet. Eine Summenzeile weist das gesamte Angebotsvolumen aus.</w:t>
      </w:r>
    </w:p>
    <w:p>
      <w:pPr>
        <w:spacing w:before="200" w:after="60"/>
      </w:pPr>
      <w:r>
        <w:rPr>
          <w:b/>
          <w:color w:val="006AD6"/>
          <w:sz w:val="23"/>
        </w:rPr>
        <w:t>Vergabe / Beauftragung</w:t>
      </w:r>
    </w:p>
    <w:p>
      <w:pPr>
        <w:spacing w:after="120"/>
      </w:pPr>
      <w:r>
        <w:rPr>
          <w:color w:val="5A5A60"/>
        </w:rPr>
        <w:t>Die beauftragte Summe (Vergabe) wird je Gewerk festgehalten und dem Underwriting-Budget gegenübergestellt. Der Gewerkestatus dokumentiert den Vergabefortschritt bis zum Abschluss.</w:t>
      </w:r>
    </w:p>
    <w:p>
      <w:pPr>
        <w:spacing w:before="200" w:after="60"/>
      </w:pPr>
      <w:r>
        <w:rPr>
          <w:b/>
          <w:color w:val="006AD6"/>
          <w:sz w:val="23"/>
        </w:rPr>
        <w:t>Auftragnehmerverknüpfung</w:t>
      </w:r>
    </w:p>
    <w:p>
      <w:pPr>
        <w:spacing w:after="120"/>
      </w:pPr>
      <w:r>
        <w:rPr>
          <w:color w:val="5A5A60"/>
        </w:rPr>
        <w:t xml:space="preserve">Jedes Gewerk kann mit einem Kontakt aus dem zentralen </w:t>
      </w:r>
      <w:r>
        <w:rPr>
          <w:b/>
          <w:color w:val="1C1C1E"/>
        </w:rPr>
        <w:t>Adressbuch</w:t>
      </w:r>
      <w:r>
        <w:rPr>
          <w:color w:val="5A5A60"/>
        </w:rPr>
        <w:t xml:space="preserve"> (Handwerker / Nachunternehmer) verknüpft werden, sodass Verantwortlichkeiten eindeutig zugeordnet und projektübergreifend auswertbar sind.</w:t>
      </w:r>
    </w:p>
    <w:p>
      <w:pPr>
        <w:spacing w:before="320" w:after="120"/>
        <w:pBdr>
          <w:bottom w:val="single" w:sz="6" w:space="4" w:color="006AD6"/>
        </w:pBdr>
      </w:pPr>
      <w:r>
        <w:rPr>
          <w:rFonts w:ascii="Calibri" w:hAnsi="Calibri"/>
          <w:b/>
          <w:color w:val="1C1C1E"/>
          <w:sz w:val="30"/>
        </w:rPr>
        <w:t>4  Rechnungssammlung</w:t>
      </w:r>
    </w:p>
    <w:p>
      <w:pPr>
        <w:spacing w:before="200" w:after="60"/>
      </w:pPr>
      <w:r>
        <w:rPr>
          <w:b/>
          <w:color w:val="006AD6"/>
          <w:sz w:val="23"/>
        </w:rPr>
        <w:t>Strukturierte Rechnungserfassung</w:t>
      </w:r>
    </w:p>
    <w:p>
      <w:pPr>
        <w:spacing w:after="120"/>
      </w:pPr>
      <w:r>
        <w:rPr>
          <w:color w:val="5A5A60"/>
        </w:rPr>
        <w:t>Alle eingehenden Rechnungen werden je Gewerk strukturiert gesammelt — mit Gewerkezuordnung, Maßnahme, Beschreibung, Datum sowie Netto-/Bruttobetrag (Brutto automatisch aus Netto).</w:t>
      </w:r>
    </w:p>
    <w:p>
      <w:pPr>
        <w:spacing w:before="200" w:after="60"/>
      </w:pPr>
      <w:r>
        <w:rPr>
          <w:b/>
          <w:color w:val="006AD6"/>
          <w:sz w:val="23"/>
        </w:rPr>
        <w:t>Rechnungstypen</w:t>
      </w:r>
    </w:p>
    <w:p>
      <w:pPr>
        <w:spacing w:after="120"/>
      </w:pPr>
      <w:r>
        <w:rPr>
          <w:color w:val="5A5A60"/>
        </w:rPr>
        <w:t>Zur Abbildung des Zahlungsverlaufs über die Bauphase wird unterschieden zwischen:</w:t>
      </w:r>
    </w:p>
    <w:p>
      <w:pPr>
        <w:pStyle w:val="ListBullet"/>
        <w:spacing w:after="60"/>
      </w:pPr>
      <w:r>
        <w:rPr>
          <w:color w:val="5A5A60"/>
        </w:rPr>
      </w:r>
      <w:r>
        <w:rPr>
          <w:b/>
          <w:color w:val="1C1C1E"/>
        </w:rPr>
        <w:t>Anzahlung</w:t>
      </w:r>
      <w:r>
        <w:rPr>
          <w:color w:val="5A5A60"/>
        </w:rPr>
      </w:r>
    </w:p>
    <w:p>
      <w:pPr>
        <w:pStyle w:val="ListBullet"/>
        <w:spacing w:after="60"/>
      </w:pPr>
      <w:r>
        <w:rPr>
          <w:color w:val="5A5A60"/>
        </w:rPr>
      </w:r>
      <w:r>
        <w:rPr>
          <w:b/>
          <w:color w:val="1C1C1E"/>
        </w:rPr>
        <w:t>Baufortschritt</w:t>
      </w:r>
      <w:r>
        <w:rPr>
          <w:color w:val="5A5A60"/>
        </w:rPr>
        <w:t xml:space="preserve"> (Abschlagszahlung)</w:t>
      </w:r>
    </w:p>
    <w:p>
      <w:pPr>
        <w:pStyle w:val="ListBullet"/>
        <w:spacing w:after="60"/>
      </w:pPr>
      <w:r>
        <w:rPr>
          <w:color w:val="5A5A60"/>
        </w:rPr>
      </w:r>
      <w:r>
        <w:rPr>
          <w:b/>
          <w:color w:val="1C1C1E"/>
        </w:rPr>
        <w:t>Vollzahlung</w:t>
      </w:r>
      <w:r>
        <w:rPr>
          <w:color w:val="5A5A60"/>
        </w:rPr>
      </w:r>
    </w:p>
    <w:p>
      <w:pPr>
        <w:pStyle w:val="ListBullet"/>
        <w:spacing w:after="60"/>
      </w:pPr>
      <w:r>
        <w:rPr>
          <w:color w:val="5A5A60"/>
        </w:rPr>
      </w:r>
      <w:r>
        <w:rPr>
          <w:b/>
          <w:color w:val="1C1C1E"/>
        </w:rPr>
        <w:t>Schlussrechnung</w:t>
      </w:r>
      <w:r>
        <w:rPr>
          <w:color w:val="5A5A60"/>
        </w:rPr>
      </w:r>
    </w:p>
    <w:p>
      <w:pPr>
        <w:spacing w:before="200" w:after="60"/>
      </w:pPr>
      <w:r>
        <w:rPr>
          <w:b/>
          <w:color w:val="006AD6"/>
          <w:sz w:val="23"/>
        </w:rPr>
        <w:t>Zahlungsstände</w:t>
      </w:r>
    </w:p>
    <w:p>
      <w:pPr>
        <w:spacing w:after="120"/>
      </w:pPr>
      <w:r>
        <w:rPr>
          <w:color w:val="5A5A60"/>
        </w:rPr>
        <w:t xml:space="preserve">Eine Summenzeile („Gesamt bezahlt") weist die bereits geleisteten Zahlungen aus. Diese bilden den </w:t>
      </w:r>
      <w:r>
        <w:rPr>
          <w:b/>
          <w:color w:val="1C1C1E"/>
        </w:rPr>
        <w:t>Ist-Kostenstand</w:t>
      </w:r>
      <w:r>
        <w:rPr>
          <w:color w:val="5A5A60"/>
        </w:rPr>
        <w:t>, der unmittelbar in die Wirtschaftlichkeitsrechnung einfließt.</w:t>
      </w:r>
    </w:p>
    <w:p>
      <w:pPr>
        <w:spacing w:before="320" w:after="120"/>
        <w:pBdr>
          <w:bottom w:val="single" w:sz="6" w:space="4" w:color="006AD6"/>
        </w:pBdr>
      </w:pPr>
      <w:r>
        <w:rPr>
          <w:rFonts w:ascii="Calibri" w:hAnsi="Calibri"/>
          <w:b/>
          <w:color w:val="1C1C1E"/>
          <w:sz w:val="30"/>
        </w:rPr>
        <w:t>5  Laufende Wirtschaftlichkeitsrechnung (Ist-Abgleich &amp; Überschreibung des Underwritings)</w:t>
      </w:r>
    </w:p>
    <w:p>
      <w:pPr>
        <w:spacing w:after="120"/>
      </w:pPr>
      <w:r>
        <w:rPr>
          <w:color w:val="5A5A60"/>
        </w:rPr>
        <w:t>Kernstück des Moduls ist die kontinuierliche Rückkopplung des tatsächlichen Bauverlaufs in die Wirtschaftlichkeitsrechnung.</w:t>
      </w:r>
    </w:p>
    <w:p>
      <w:pPr>
        <w:spacing w:before="200" w:after="60"/>
      </w:pPr>
      <w:r>
        <w:rPr>
          <w:b/>
          <w:color w:val="006AD6"/>
          <w:sz w:val="23"/>
        </w:rPr>
        <w:t>Fortlaufender Soll/Ist-Abgleich</w:t>
      </w:r>
    </w:p>
    <w:p>
      <w:pPr>
        <w:spacing w:after="120"/>
      </w:pPr>
      <w:r>
        <w:rPr>
          <w:color w:val="5A5A60"/>
        </w:rPr>
        <w:t xml:space="preserve">Für jedes Gewerk werden Underwriting-Budget → Angebot → Vergabe → tatsächliche Zahlungen fortlaufend verglichen. Die </w:t>
      </w:r>
      <w:r>
        <w:rPr>
          <w:b/>
          <w:color w:val="1C1C1E"/>
        </w:rPr>
        <w:t>tatsächlich gebuchten Kosten</w:t>
      </w:r>
      <w:r>
        <w:rPr>
          <w:color w:val="5A5A60"/>
        </w:rPr>
        <w:t xml:space="preserve"> (Vergaben und Zahlungen) treten an die Stelle der ursprünglichen Kalkulationsannahmen — das bestehende Underwriting wird also durch die realen Werte fortgeschrieben bzw. überschrieben.</w:t>
      </w:r>
    </w:p>
    <w:p>
      <w:pPr>
        <w:spacing w:before="200" w:after="60"/>
      </w:pPr>
      <w:r>
        <w:rPr>
          <w:b/>
          <w:color w:val="006AD6"/>
          <w:sz w:val="23"/>
        </w:rPr>
        <w:t>Underwriting-Snapshot als Referenz</w:t>
      </w:r>
    </w:p>
    <w:p>
      <w:pPr>
        <w:spacing w:after="120"/>
      </w:pPr>
      <w:r>
        <w:rPr>
          <w:color w:val="5A5A60"/>
        </w:rPr>
        <w:t xml:space="preserve">Ein zum Ankauf hinterlegter </w:t>
      </w:r>
      <w:r>
        <w:rPr>
          <w:b/>
          <w:color w:val="1C1C1E"/>
        </w:rPr>
        <w:t>Underwriting-Snapshot</w:t>
      </w:r>
      <w:r>
        <w:rPr>
          <w:color w:val="5A5A60"/>
        </w:rPr>
        <w:t xml:space="preserve"> dient als eingefrorene Referenz, gegen die die laufende Entwicklung gemessen wird. Abweichungen zwischen Ankaufsfall und aktuellem Stand bleiben damit jederzeit transparent.</w:t>
      </w:r>
    </w:p>
    <w:p>
      <w:pPr>
        <w:spacing w:before="200" w:after="60"/>
      </w:pPr>
      <w:r>
        <w:rPr>
          <w:b/>
          <w:color w:val="006AD6"/>
          <w:sz w:val="23"/>
        </w:rPr>
        <w:t>Aktualisierte Gesamtinvestition &amp; Development Profit</w:t>
      </w:r>
    </w:p>
    <w:p>
      <w:pPr>
        <w:spacing w:after="120"/>
      </w:pPr>
      <w:r>
        <w:rPr>
          <w:color w:val="5A5A60"/>
        </w:rPr>
        <w:t xml:space="preserve">Aus Kaufpreis zuzüglich der jeweils aktuellen Baukosten wird die Gesamtinvestition laufend neu berechnet. Gegen die Bewertung bei Fertigstellung ergibt sich fortlaufend der </w:t>
      </w:r>
      <w:r>
        <w:rPr>
          <w:b/>
          <w:color w:val="1C1C1E"/>
        </w:rPr>
        <w:t>Development Profit</w:t>
      </w:r>
      <w:r>
        <w:rPr>
          <w:color w:val="5A5A60"/>
        </w:rPr>
        <w:t xml:space="preserve"> (in EUR und in Prozent der Gesamtinvestition).</w:t>
      </w:r>
    </w:p>
    <w:p>
      <w:pPr>
        <w:spacing w:before="320" w:after="120"/>
        <w:pBdr>
          <w:bottom w:val="single" w:sz="6" w:space="4" w:color="006AD6"/>
        </w:pBdr>
      </w:pPr>
      <w:r>
        <w:rPr>
          <w:rFonts w:ascii="Calibri" w:hAnsi="Calibri"/>
          <w:b/>
          <w:color w:val="1C1C1E"/>
          <w:sz w:val="30"/>
        </w:rPr>
        <w:t>6  KPI-Monitoring</w:t>
      </w:r>
    </w:p>
    <w:p>
      <w:pPr>
        <w:spacing w:after="120"/>
      </w:pPr>
      <w:r>
        <w:rPr>
          <w:color w:val="5A5A60"/>
        </w:rPr>
        <w:t>Auf Projektebene wird eine Kennzahlenleiste geführt, die die wirtschaftliche Lage jederzeit zusammenfasst und sich automatisch aktualisiert, sobald Angebote, Vergaben oder Rechnungen erfasst werden:</w:t>
      </w:r>
    </w:p>
    <w:p>
      <w:pPr>
        <w:pStyle w:val="ListBullet"/>
        <w:spacing w:after="60"/>
      </w:pPr>
      <w:r>
        <w:rPr>
          <w:color w:val="5A5A60"/>
        </w:rPr>
      </w:r>
      <w:r>
        <w:rPr>
          <w:b/>
          <w:color w:val="1C1C1E"/>
        </w:rPr>
        <w:t>Kaufpreis</w:t>
      </w:r>
      <w:r>
        <w:rPr>
          <w:color w:val="5A5A60"/>
        </w:rPr>
        <w:t xml:space="preserve"> und </w:t>
      </w:r>
      <w:r>
        <w:rPr>
          <w:b/>
          <w:color w:val="1C1C1E"/>
        </w:rPr>
        <w:t>Gesamtbudget Bau</w:t>
      </w:r>
      <w:r>
        <w:rPr>
          <w:color w:val="5A5A60"/>
        </w:rPr>
      </w:r>
    </w:p>
    <w:p>
      <w:pPr>
        <w:pStyle w:val="ListBullet"/>
        <w:spacing w:after="60"/>
      </w:pPr>
      <w:r>
        <w:rPr>
          <w:color w:val="5A5A60"/>
        </w:rPr>
      </w:r>
      <w:r>
        <w:rPr>
          <w:b/>
          <w:color w:val="1C1C1E"/>
        </w:rPr>
        <w:t>Vergaben</w:t>
      </w:r>
      <w:r>
        <w:rPr>
          <w:color w:val="5A5A60"/>
        </w:rPr>
        <w:t xml:space="preserve"> inkl. Anteil in % des Budgets (mit Ampelbewertung)</w:t>
      </w:r>
    </w:p>
    <w:p>
      <w:pPr>
        <w:pStyle w:val="ListBullet"/>
        <w:spacing w:after="60"/>
      </w:pPr>
      <w:r>
        <w:rPr>
          <w:color w:val="5A5A60"/>
        </w:rPr>
      </w:r>
      <w:r>
        <w:rPr>
          <w:b/>
          <w:color w:val="1C1C1E"/>
        </w:rPr>
        <w:t>Zahlungen</w:t>
      </w:r>
      <w:r>
        <w:rPr>
          <w:color w:val="5A5A60"/>
        </w:rPr>
        <w:t xml:space="preserve"> (tatsächlicher Mittelabfluss)</w:t>
      </w:r>
    </w:p>
    <w:p>
      <w:pPr>
        <w:pStyle w:val="ListBullet"/>
        <w:spacing w:after="60"/>
      </w:pPr>
      <w:r>
        <w:rPr>
          <w:color w:val="5A5A60"/>
        </w:rPr>
      </w:r>
      <w:r>
        <w:rPr>
          <w:b/>
          <w:color w:val="1C1C1E"/>
        </w:rPr>
        <w:t>Projektierter Verkaufspreis</w:t>
      </w:r>
      <w:r>
        <w:rPr>
          <w:color w:val="5A5A60"/>
        </w:rPr>
        <w:t xml:space="preserve"> sowie </w:t>
      </w:r>
      <w:r>
        <w:rPr>
          <w:b/>
          <w:color w:val="1C1C1E"/>
        </w:rPr>
        <w:t>IRR</w:t>
      </w:r>
      <w:r>
        <w:rPr>
          <w:color w:val="5A5A60"/>
        </w:rPr>
        <w:t xml:space="preserve"> und </w:t>
      </w:r>
      <w:r>
        <w:rPr>
          <w:b/>
          <w:color w:val="1C1C1E"/>
        </w:rPr>
        <w:t>Nettogewinn</w:t>
      </w:r>
      <w:r>
        <w:rPr>
          <w:color w:val="5A5A60"/>
        </w:rPr>
        <w:t xml:space="preserve"> aus der Wirtschaftlichkeitsrechnung</w:t>
      </w:r>
    </w:p>
    <w:p>
      <w:pPr>
        <w:spacing w:after="120"/>
      </w:pPr>
      <w:r>
        <w:rPr>
          <w:color w:val="5A5A60"/>
        </w:rPr>
        <w:t>Ergänzend visualisieren Diagramme das Budget je Gewerk im Vergleich zu den Vergaben; der Reifegrad-Score signalisiert die Datenqualität.</w:t>
      </w:r>
    </w:p>
    <w:p>
      <w:pPr>
        <w:spacing w:before="320" w:after="120"/>
        <w:pBdr>
          <w:bottom w:val="single" w:sz="6" w:space="4" w:color="006AD6"/>
        </w:pBdr>
      </w:pPr>
      <w:r>
        <w:rPr>
          <w:rFonts w:ascii="Calibri" w:hAnsi="Calibri"/>
          <w:b/>
          <w:color w:val="1C1C1E"/>
          <w:sz w:val="30"/>
        </w:rPr>
        <w:t>7  Finanzierungssteuerung (Debt)</w:t>
      </w:r>
    </w:p>
    <w:p>
      <w:pPr>
        <w:spacing w:after="120"/>
      </w:pPr>
      <w:r>
        <w:rPr>
          <w:color w:val="5A5A60"/>
        </w:rPr>
        <w:t xml:space="preserve">Ergänzend zur reinen Kostensicht bildet das Modul die </w:t>
      </w:r>
      <w:r>
        <w:rPr>
          <w:b/>
          <w:color w:val="1C1C1E"/>
        </w:rPr>
        <w:t>Projektfinanzierung</w:t>
      </w:r>
      <w:r>
        <w:rPr>
          <w:color w:val="5A5A60"/>
        </w:rPr>
        <w:t xml:space="preserve"> ab. Auf Basis editierbarer Annahmen werden Finanzierungsstruktur und Kapitaldienst berechnet:</w:t>
      </w:r>
    </w:p>
    <w:p>
      <w:pPr>
        <w:pStyle w:val="ListBullet"/>
        <w:spacing w:after="60"/>
      </w:pPr>
      <w:r>
        <w:rPr>
          <w:color w:val="5A5A60"/>
        </w:rPr>
      </w:r>
      <w:r>
        <w:rPr>
          <w:b/>
          <w:color w:val="1C1C1E"/>
        </w:rPr>
        <w:t>LTV</w:t>
      </w:r>
      <w:r>
        <w:rPr>
          <w:color w:val="5A5A60"/>
        </w:rPr>
        <w:t xml:space="preserve"> (Beleihung des Kaufpreises) und </w:t>
      </w:r>
      <w:r>
        <w:rPr>
          <w:b/>
          <w:color w:val="1C1C1E"/>
        </w:rPr>
        <w:t>LTC</w:t>
      </w:r>
      <w:r>
        <w:rPr>
          <w:color w:val="5A5A60"/>
        </w:rPr>
        <w:t xml:space="preserve"> (Beleihung der Baukosten) — getrennt steuerbar</w:t>
      </w:r>
    </w:p>
    <w:p>
      <w:pPr>
        <w:pStyle w:val="ListBullet"/>
        <w:spacing w:after="60"/>
      </w:pPr>
      <w:r>
        <w:rPr>
          <w:color w:val="5A5A60"/>
        </w:rPr>
      </w:r>
      <w:r>
        <w:rPr>
          <w:b/>
          <w:color w:val="1C1C1E"/>
        </w:rPr>
        <w:t>Zinssatz p. a.</w:t>
      </w:r>
      <w:r>
        <w:rPr>
          <w:color w:val="5A5A60"/>
        </w:rPr>
        <w:t xml:space="preserve"> sowie Wahl der Darlehensart: </w:t>
      </w:r>
      <w:r>
        <w:rPr>
          <w:b/>
          <w:color w:val="1C1C1E"/>
        </w:rPr>
        <w:t>Bullet-Darlehen</w:t>
      </w:r>
      <w:r>
        <w:rPr>
          <w:color w:val="5A5A60"/>
        </w:rPr>
        <w:t xml:space="preserve"> (Rückzahlung bei Fertigstellung, terminiert nach Gantt) oder </w:t>
      </w:r>
      <w:r>
        <w:rPr>
          <w:b/>
          <w:color w:val="1C1C1E"/>
        </w:rPr>
        <w:t>Annuitätendarlehen</w:t>
      </w:r>
      <w:r>
        <w:rPr>
          <w:color w:val="5A5A60"/>
        </w:rPr>
        <w:t xml:space="preserve"> mit Laufzeit</w:t>
      </w:r>
    </w:p>
    <w:p>
      <w:pPr>
        <w:pStyle w:val="ListBullet"/>
        <w:spacing w:after="60"/>
      </w:pPr>
      <w:r>
        <w:rPr>
          <w:color w:val="5A5A60"/>
        </w:rPr>
        <w:t xml:space="preserve">Automatische Ableitung von Kaufpreis- und Baukostendarlehen, </w:t>
      </w:r>
      <w:r>
        <w:rPr>
          <w:b/>
          <w:color w:val="1C1C1E"/>
        </w:rPr>
        <w:t>Gesamtdarlehen</w:t>
      </w:r>
      <w:r>
        <w:rPr>
          <w:color w:val="5A5A60"/>
        </w:rPr>
        <w:t xml:space="preserve">, Jahres- und Monatszins, Annuität sowie erforderlichem </w:t>
      </w:r>
      <w:r>
        <w:rPr>
          <w:b/>
          <w:color w:val="1C1C1E"/>
        </w:rPr>
        <w:t>Eigenkapital</w:t>
      </w:r>
      <w:r>
        <w:rPr>
          <w:color w:val="5A5A60"/>
        </w:rPr>
      </w:r>
    </w:p>
    <w:p>
      <w:pPr>
        <w:spacing w:before="320" w:after="120"/>
        <w:pBdr>
          <w:bottom w:val="single" w:sz="6" w:space="4" w:color="006AD6"/>
        </w:pBdr>
      </w:pPr>
      <w:r>
        <w:rPr>
          <w:rFonts w:ascii="Calibri" w:hAnsi="Calibri"/>
          <w:b/>
          <w:color w:val="1C1C1E"/>
          <w:sz w:val="30"/>
        </w:rPr>
        <w:t>8  Bewertung, Cashflow &amp; Exit-Entscheidung</w:t>
      </w:r>
    </w:p>
    <w:p>
      <w:pPr>
        <w:spacing w:before="200" w:after="60"/>
      </w:pPr>
      <w:r>
        <w:rPr>
          <w:b/>
          <w:color w:val="006AD6"/>
          <w:sz w:val="23"/>
        </w:rPr>
        <w:t>Bewertung bei Fertigstellung</w:t>
      </w:r>
    </w:p>
    <w:p>
      <w:pPr>
        <w:spacing w:after="120"/>
      </w:pPr>
      <w:r>
        <w:rPr>
          <w:color w:val="5A5A60"/>
        </w:rPr>
        <w:t xml:space="preserve">Aus dem Rent Roll (Mieteinnahmen) wird über einen nachvollziehbaren Wasserfall Bruttomiete → abzüglich Bewirtschaftungskosten (OpEx) → </w:t>
      </w:r>
      <w:r>
        <w:rPr>
          <w:b/>
          <w:color w:val="1C1C1E"/>
        </w:rPr>
        <w:t>NOI</w:t>
      </w:r>
      <w:r>
        <w:rPr>
          <w:color w:val="5A5A60"/>
        </w:rPr>
        <w:t xml:space="preserve"> der Ertragswert ermittelt. Die Bewertung erfolgt formelbasiert und transparent:</w:t>
      </w:r>
    </w:p>
    <w:p>
      <w:pPr>
        <w:spacing w:after="80"/>
      </w:pPr>
      <w:r>
        <w:rPr>
          <w:color w:val="5A5A60"/>
        </w:rPr>
        <w:t>Valuation = NOI ÷ (Exit Yield × (1 + Erwerbsnebenkosten))</w:t>
      </w:r>
    </w:p>
    <w:p>
      <w:pPr>
        <w:spacing w:after="120"/>
      </w:pPr>
      <w:r>
        <w:rPr>
          <w:color w:val="5A5A60"/>
        </w:rPr>
        <w:t>Das Ergebnis wird auf Wunsch direkt als projektierter Verkaufspreis übernommen.</w:t>
      </w:r>
    </w:p>
    <w:p>
      <w:pPr>
        <w:spacing w:before="200" w:after="60"/>
      </w:pPr>
      <w:r>
        <w:rPr>
          <w:b/>
          <w:color w:val="006AD6"/>
          <w:sz w:val="23"/>
        </w:rPr>
        <w:t>Cashflow-Prognose &amp; Rendite (DCF)</w:t>
      </w:r>
    </w:p>
    <w:p>
      <w:pPr>
        <w:spacing w:after="120"/>
      </w:pPr>
      <w:r>
        <w:rPr>
          <w:color w:val="5A5A60"/>
        </w:rPr>
        <w:t xml:space="preserve">Eine mehrjährige DCF-Rechnung liefert Jahres-Cashflows (Gross Rent, EGI, NOI, Kapitaldienst, Levered Cash Flow, kumulativ) samt Marktannahmen (Haltedauer, Mietwachstum, Exit-Cap-Rate) und den Kennzahlen </w:t>
      </w:r>
      <w:r>
        <w:rPr>
          <w:b/>
          <w:color w:val="1C1C1E"/>
        </w:rPr>
        <w:t>Unlevered IRR, Levered IRR, Equity Multiple</w:t>
      </w:r>
      <w:r>
        <w:rPr>
          <w:color w:val="5A5A60"/>
        </w:rPr>
        <w:t xml:space="preserve"> und </w:t>
      </w:r>
      <w:r>
        <w:rPr>
          <w:b/>
          <w:color w:val="1C1C1E"/>
        </w:rPr>
        <w:t>Exit-Wert</w:t>
      </w:r>
      <w:r>
        <w:rPr>
          <w:color w:val="5A5A60"/>
        </w:rPr>
        <w:t>.</w:t>
      </w:r>
    </w:p>
    <w:p>
      <w:pPr>
        <w:spacing w:before="200" w:after="60"/>
      </w:pPr>
      <w:r>
        <w:rPr>
          <w:b/>
          <w:color w:val="006AD6"/>
          <w:sz w:val="23"/>
        </w:rPr>
        <w:t>Hold/Sell-Analyse &amp; Übergabe</w:t>
      </w:r>
    </w:p>
    <w:p>
      <w:pPr>
        <w:spacing w:after="120"/>
      </w:pPr>
      <w:r>
        <w:rPr>
          <w:color w:val="5A5A60"/>
        </w:rPr>
        <w:t xml:space="preserve">Die Anwendung stellt Halten und Verkaufen gegenüber und spricht eine </w:t>
      </w:r>
      <w:r>
        <w:rPr>
          <w:b/>
          <w:color w:val="1C1C1E"/>
        </w:rPr>
        <w:t>Empfehlung</w:t>
      </w:r>
      <w:r>
        <w:rPr>
          <w:color w:val="5A5A60"/>
        </w:rPr>
        <w:t xml:space="preserve"> aus:</w:t>
      </w:r>
    </w:p>
    <w:p>
      <w:pPr>
        <w:pStyle w:val="ListBullet"/>
        <w:spacing w:after="60"/>
      </w:pPr>
      <w:r>
        <w:rPr>
          <w:color w:val="5A5A60"/>
        </w:rPr>
      </w:r>
      <w:r>
        <w:rPr>
          <w:b/>
          <w:color w:val="1C1C1E"/>
        </w:rPr>
        <w:t>Hold-Szenario:</w:t>
      </w:r>
      <w:r>
        <w:rPr>
          <w:color w:val="5A5A60"/>
        </w:rPr>
        <w:t xml:space="preserve"> 10-Jahres-IRR gegen Hurdle Rate, Netto-Cashflow-Prognose</w:t>
      </w:r>
    </w:p>
    <w:p>
      <w:pPr>
        <w:pStyle w:val="ListBullet"/>
        <w:spacing w:after="60"/>
      </w:pPr>
      <w:r>
        <w:rPr>
          <w:color w:val="5A5A60"/>
        </w:rPr>
      </w:r>
      <w:r>
        <w:rPr>
          <w:b/>
          <w:color w:val="1C1C1E"/>
        </w:rPr>
        <w:t>Sell-Szenario:</w:t>
      </w:r>
      <w:r>
        <w:rPr>
          <w:color w:val="5A5A60"/>
        </w:rPr>
        <w:t xml:space="preserve"> Bruttogewinn, Steuer, Nettogewinn, ROI nach Steuer, Sell-IRR (Verkaufspreis editierbar)</w:t>
      </w:r>
    </w:p>
    <w:p>
      <w:pPr>
        <w:spacing w:after="120"/>
      </w:pPr>
      <w:r>
        <w:rPr>
          <w:color w:val="5A5A60"/>
        </w:rPr>
        <w:t xml:space="preserve">Per Entscheidung </w:t>
      </w:r>
      <w:r>
        <w:rPr>
          <w:b/>
          <w:color w:val="1C1C1E"/>
        </w:rPr>
        <w:t>„Hold → Bestand"</w:t>
      </w:r>
      <w:r>
        <w:rPr>
          <w:color w:val="5A5A60"/>
        </w:rPr>
        <w:t xml:space="preserve"> oder </w:t>
      </w:r>
      <w:r>
        <w:rPr>
          <w:b/>
          <w:color w:val="1C1C1E"/>
        </w:rPr>
        <w:t>„Sell → Verkauf"</w:t>
      </w:r>
      <w:r>
        <w:rPr>
          <w:color w:val="5A5A60"/>
        </w:rPr>
        <w:t xml:space="preserve"> wird das fertiggestellte Objekt mit den dann gültigen Ist-Werten in das jeweilige Modul überführt; die Aktion wird im Audit-Log dokumentiert.</w:t>
      </w:r>
    </w:p>
    <w:p>
      <w:pPr>
        <w:spacing w:before="320" w:after="120"/>
        <w:pBdr>
          <w:bottom w:val="single" w:sz="6" w:space="4" w:color="006AD6"/>
        </w:pBdr>
      </w:pPr>
      <w:r>
        <w:rPr>
          <w:rFonts w:ascii="Calibri" w:hAnsi="Calibri"/>
          <w:b/>
          <w:color w:val="1C1C1E"/>
          <w:sz w:val="30"/>
        </w:rPr>
        <w:t>9  Construction Advisor (Kostenberatung)</w:t>
      </w:r>
    </w:p>
    <w:p>
      <w:pPr>
        <w:spacing w:after="120"/>
      </w:pPr>
      <w:r>
        <w:rPr>
          <w:color w:val="5A5A60"/>
        </w:rPr>
        <w:t xml:space="preserve">Ein integrierter, dialogbasierter </w:t>
      </w:r>
      <w:r>
        <w:rPr>
          <w:b/>
          <w:color w:val="1C1C1E"/>
        </w:rPr>
        <w:t>Kostenberater</w:t>
      </w:r>
      <w:r>
        <w:rPr>
          <w:color w:val="5A5A60"/>
        </w:rPr>
        <w:t xml:space="preserve"> liefert projektbezogene Kostenbenchmarks für den DACH-Raum (z. B. Rohbau, TGA, Fassade, Fenster, Innenausbau, Aufzug, Planungshonorare, empfohlene Reserve). Die Richtwerte dienen der Plausibilisierung des Underwritings und sind jederzeit manuell überschreibbar.</w:t>
      </w:r>
    </w:p>
    <w:p>
      <w:pPr>
        <w:spacing w:before="320" w:after="120"/>
        <w:pBdr>
          <w:bottom w:val="single" w:sz="6" w:space="4" w:color="006AD6"/>
        </w:pBdr>
      </w:pPr>
      <w:r>
        <w:rPr>
          <w:rFonts w:ascii="Calibri" w:hAnsi="Calibri"/>
          <w:b/>
          <w:color w:val="1C1C1E"/>
          <w:sz w:val="30"/>
        </w:rPr>
        <w:t>10  Rent Roll &amp; Datenbasis</w:t>
      </w:r>
    </w:p>
    <w:p>
      <w:pPr>
        <w:spacing w:after="120"/>
      </w:pPr>
      <w:r>
        <w:rPr>
          <w:color w:val="5A5A60"/>
        </w:rPr>
        <w:t xml:space="preserve">Für Bewertung und Cashflow pflegt das Modul einen </w:t>
      </w:r>
      <w:r>
        <w:rPr>
          <w:b/>
          <w:color w:val="1C1C1E"/>
        </w:rPr>
        <w:t>Rent Roll</w:t>
      </w:r>
      <w:r>
        <w:rPr>
          <w:color w:val="5A5A60"/>
        </w:rPr>
        <w:t xml:space="preserve"> (Mieterliste) je Projekt — mit Einheit, Geschoss, Fläche, Nutzungsart, Mieter, Miethöhe (Ist und ERV), Mietlaufzeit und Indexierung. Die Mieteinnahmen bilden die Grundlage für NOI, Bewertung und Exit-Kennzahlen. Bilder und Dokumente vervollständigen die Projektakte.</w:t>
      </w:r>
    </w:p>
    <w:p>
      <w:pPr>
        <w:spacing w:before="320" w:after="120"/>
        <w:pBdr>
          <w:bottom w:val="single" w:sz="6" w:space="4" w:color="006AD6"/>
        </w:pBdr>
      </w:pPr>
      <w:r>
        <w:rPr>
          <w:rFonts w:ascii="Calibri" w:hAnsi="Calibri"/>
          <w:b/>
          <w:color w:val="1C1C1E"/>
          <w:sz w:val="30"/>
        </w:rPr>
        <w:t>Zusammenfassung des Nutzens</w:t>
      </w:r>
    </w:p>
    <w:p>
      <w:pPr>
        <w:spacing w:after="120"/>
      </w:pPr>
      <w:r>
        <w:rPr>
          <w:color w:val="5A5A60"/>
        </w:rPr>
        <w:t>Der Auftraggeber erhält eine durchgängige Steuerungsplattform, die</w:t>
      </w:r>
    </w:p>
    <w:p>
      <w:pPr>
        <w:pStyle w:val="ListBullet"/>
        <w:spacing w:after="60"/>
      </w:pPr>
      <w:r>
        <w:rPr>
          <w:color w:val="5A5A60"/>
        </w:rPr>
        <w:t xml:space="preserve">Bauprojekte strukturiert </w:t>
      </w:r>
      <w:r>
        <w:rPr>
          <w:b/>
          <w:color w:val="1C1C1E"/>
        </w:rPr>
        <w:t>plant und überwacht</w:t>
      </w:r>
      <w:r>
        <w:rPr>
          <w:color w:val="5A5A60"/>
        </w:rPr>
        <w:t xml:space="preserve"> (Gewerke, Termine, Status)</w:t>
      </w:r>
    </w:p>
    <w:p>
      <w:pPr>
        <w:pStyle w:val="ListBullet"/>
        <w:spacing w:after="60"/>
      </w:pPr>
      <w:r>
        <w:rPr>
          <w:color w:val="5A5A60"/>
        </w:rPr>
      </w:r>
      <w:r>
        <w:rPr>
          <w:b/>
          <w:color w:val="1C1C1E"/>
        </w:rPr>
        <w:t>Kosten und Zeit in Echtzeit gegen den Plan hält</w:t>
      </w:r>
      <w:r>
        <w:rPr>
          <w:color w:val="5A5A60"/>
        </w:rPr>
      </w:r>
    </w:p>
    <w:p>
      <w:pPr>
        <w:pStyle w:val="ListBullet"/>
        <w:spacing w:after="60"/>
      </w:pPr>
      <w:r>
        <w:rPr>
          <w:color w:val="5A5A60"/>
        </w:rPr>
      </w:r>
      <w:r>
        <w:rPr>
          <w:b/>
          <w:color w:val="1C1C1E"/>
        </w:rPr>
        <w:t>Angebote und Vergaben verwaltet</w:t>
      </w:r>
      <w:r>
        <w:rPr>
          <w:color w:val="5A5A60"/>
        </w:rPr>
        <w:t xml:space="preserve"> und Verantwortlichkeiten eindeutig zuordnet</w:t>
      </w:r>
    </w:p>
    <w:p>
      <w:pPr>
        <w:pStyle w:val="ListBullet"/>
        <w:spacing w:after="60"/>
      </w:pPr>
      <w:r>
        <w:rPr>
          <w:color w:val="5A5A60"/>
        </w:rPr>
      </w:r>
      <w:r>
        <w:rPr>
          <w:b/>
          <w:color w:val="1C1C1E"/>
        </w:rPr>
        <w:t>Rechnungen zentral sammelt</w:t>
      </w:r>
      <w:r>
        <w:rPr>
          <w:color w:val="5A5A60"/>
        </w:rPr>
        <w:t xml:space="preserve"> und Zahlungsstände nachvollziehbar macht</w:t>
      </w:r>
    </w:p>
    <w:p>
      <w:pPr>
        <w:pStyle w:val="ListBullet"/>
        <w:spacing w:after="60"/>
      </w:pPr>
      <w:r>
        <w:rPr>
          <w:color w:val="5A5A60"/>
        </w:rPr>
        <w:t xml:space="preserve">die </w:t>
      </w:r>
      <w:r>
        <w:rPr>
          <w:b/>
          <w:color w:val="1C1C1E"/>
        </w:rPr>
        <w:t>Wirtschaftlichkeit laufend neu berechnet</w:t>
      </w:r>
      <w:r>
        <w:rPr>
          <w:color w:val="5A5A60"/>
        </w:rPr>
        <w:t>, indem tatsächliche Kosten das ursprüngliche Underwriting fortschreiben</w:t>
      </w:r>
    </w:p>
    <w:p>
      <w:pPr>
        <w:pStyle w:val="ListBullet"/>
        <w:spacing w:after="60"/>
      </w:pPr>
      <w:r>
        <w:rPr>
          <w:color w:val="5A5A60"/>
        </w:rPr>
      </w:r>
      <w:r>
        <w:rPr>
          <w:b/>
          <w:color w:val="1C1C1E"/>
        </w:rPr>
        <w:t>Finanzierung, Bewertung und Exit</w:t>
      </w:r>
      <w:r>
        <w:rPr>
          <w:color w:val="5A5A60"/>
        </w:rPr>
        <w:t xml:space="preserve"> integriert abbildet</w:t>
      </w:r>
    </w:p>
    <w:p>
      <w:pPr>
        <w:pStyle w:val="ListBullet"/>
        <w:spacing w:after="60"/>
      </w:pPr>
      <w:r>
        <w:rPr>
          <w:color w:val="5A5A60"/>
        </w:rPr>
        <w:t xml:space="preserve">die </w:t>
      </w:r>
      <w:r>
        <w:rPr>
          <w:b/>
          <w:color w:val="1C1C1E"/>
        </w:rPr>
        <w:t>wesentlichen Kennzahlen kontinuierlich zur Entscheidungsfindung</w:t>
      </w:r>
      <w:r>
        <w:rPr>
          <w:color w:val="5A5A60"/>
        </w:rPr>
        <w:t xml:space="preserve"> bereitstellt</w:t>
      </w:r>
    </w:p>
    <w:p>
      <w:pPr>
        <w:spacing w:before="360"/>
      </w:pPr>
      <w:r>
        <w:rPr>
          <w:i/>
          <w:color w:val="8A8A90"/>
          <w:sz w:val="17"/>
        </w:rPr>
        <w:t>Realaize — Anlage „Leistungsbeschreibung Development-Section" · Stand: 17.07.2026</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5A5A6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