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pPr>
        <w:pStyle w:val="Title"/>
      </w:pPr>
      <w:r>
        <w:t xml:space="preserve">Richtlinie zur Förderung von Mustervorhaben</w:t>
      </w:r>
    </w:p>
    <w:p>
      <w:pPr>
        <w:pStyle w:val="Heading1"/>
      </w:pPr>
      <w:r>
        <w:t xml:space="preserve">Abschnitt 1 Allgemeines</w:t>
      </w:r>
    </w:p>
    <w:p>
      <w:r>
        <w:t xml:space="preserve">1. Zweck der Förderung ist die Unterstützung kleiner Vorhaben.</w:t>
      </w:r>
    </w:p>
    <w:p>
      <w:r>
        <w:t xml:space="preserve">2. Gefördert werden Ausgaben, die nach dem 1. Januar 2026 entstehen.</w:t>
      </w:r>
    </w:p>
    <w:p>
      <w:r>
        <w:t xml:space="preserve">3. Eine Kumulierung mit anderen Förderungen ist ausgeschlossen.</w:t>
      </w:r>
    </w:p>
    <w:p>
      <w:pPr>
        <w:pStyle w:val="berschrift2"/>
      </w:pPr>
      <w:r>
        <w:t xml:space="preserve">Abschnitt 2 Verfahren</w:t>
      </w:r>
    </w:p>
    <w:p>
      <w:r>
        <w:t xml:space="preserve">Anträge sind schriftlich zu stellen.</w:t>
      </w:r>
    </w:p>
    <w:p>
      <w:r>
        <w:t xml:space="preserve">Die Bewilligungsbehörde entscheidet nach pflichtgemäßem Ermessen.</w:t>
      </w:r>
    </w:p>
    <w:p>
      <w:pPr>
        <w:outlineLvl w:val="1"/>
      </w:pPr>
      <w:r>
        <w:t xml:space="preserve">Zuständigkeit</w:t>
      </w:r>
    </w:p>
    <w:p>
      <w:r>
        <w:t xml:space="preserve">a) Zuständig ist die Bewilligungsbehörde.</w:t>
      </w:r>
    </w:p>
    <w:p>
      <w:r>
        <w:t xml:space="preserve">§ 3 Inkrafttreten</w:t>
      </w:r>
    </w:p>
    <w:p>
      <w:r>
        <w:t xml:space="preserve">Diese Richtlinie tritt am Tag nach ihrer Bekanntmachung in Kraft.</w:t>
      </w:r>
    </w:p>
    <w:sectPr/>
  </w:body>
</w:document>
</file>