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Artikel 15</w:t>
      </w:r>
    </w:p>
    <w:p>
      <w:r>
        <w:t xml:space="preserve">Änderung der Kassensicherungsverordnung</w:t>
      </w:r>
    </w:p>
    <w:p>
      <w:r>
        <w:t xml:space="preserve">Die Kassensicherungsverordnung vom 26. September 2017 (BGBl. I S. 3515), die zuletzt durch Artikel 2 der Verordnung vom 30. Juli 2021 (BGBl. I S. 3295) geändert worden ist, wird wie folgt geändert:</w:t>
      </w:r>
    </w:p>
    <w:p>
      <w:r>
        <w:t xml:space="preserve">In § 11 Absatz 1 Satz 1 wird die Angabe „§ 9 des BSI-Gesetzes“ durch die Angabe „§ 52 des BSI-Gesetzes“ ersetzt.</w:t>
      </w:r>
    </w:p>
    <w:sectPr/>
  </w:body>
</w:document>
</file>