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2"/>
      </w:pPr>
      <w:r>
        <w:t xml:space="preserve">§ 1 Zweck</w:t>
      </w:r>
    </w:p>
    <w:p>
      <w:r>
        <w:t xml:space="preserve">(1) Dieses Gesetz regelt die Förderung von Mustervorhaben.</w:t>
      </w:r>
    </w:p>
    <w:p>
      <w:r>
        <w:t xml:space="preserve">(2) Es gilt für Zuwendungen des Landes.</w:t>
      </w:r>
    </w:p>
    <w:p>
      <w:pPr>
        <w:pStyle w:val="Heading2"/>
      </w:pPr>
      <w:r>
        <w:t xml:space="preserve">§ 2 Begriffsbestimmungen</w:t>
      </w:r>
    </w:p>
    <w:p>
      <w:r>
        <w:t xml:space="preserve">(1) Zuwendungsempfänger ist, wer eine Zuwendung erhält.</w:t>
      </w:r>
    </w:p>
    <w:p>
      <w:r>
        <w:t xml:space="preserve">(2) Vorhaben ist jede abgrenzbare Maßnahme.</w:t>
      </w:r>
    </w:p>
    <w:p>
      <w:r>
        <w:t xml:space="preserve">(3) Ausgaben sind Zahlungen des Zuwendungsempfängers.</w:t>
      </w:r>
    </w:p>
    <w:p>
      <w:pPr>
        <w:pStyle w:val="Heading2"/>
      </w:pPr>
      <w:r>
        <w:t xml:space="preserve">§ 3 Verfahren</w:t>
      </w:r>
    </w:p>
    <w:p>
      <w:r>
        <w:t xml:space="preserve">(1) Der Antrag ist bei der Bewilligungsbehörde zu stellen.</w:t>
      </w:r>
    </w:p>
    <w:p>
      <w:r>
        <w:t xml:space="preserve">(2) Die Frist beträgt drei Monate.</w:t>
      </w:r>
    </w:p>
    <w:p>
      <w:pPr>
        <w:pStyle w:val="Heading2"/>
      </w:pPr>
      <w:r>
        <w:t xml:space="preserve">§ 4 Übergangsregelung</w:t>
      </w:r>
    </w:p>
    <w:p>
      <w:r>
        <w:t xml:space="preserve">(1) Für laufende Vorhaben gilt das bisherige Recht.</w:t>
      </w:r>
    </w:p>
    <w:sectPr/>
  </w:body>
</w:document>
</file>